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97AE7" w14:textId="77777777" w:rsidR="0048704C" w:rsidRDefault="0048704C" w:rsidP="0048704C">
      <w:pPr>
        <w:jc w:val="center"/>
        <w:rPr>
          <w:rFonts w:ascii="Arial" w:hAnsi="Arial" w:cs="Arial"/>
          <w:b/>
          <w:sz w:val="32"/>
          <w:szCs w:val="32"/>
        </w:rPr>
      </w:pPr>
      <w:r>
        <w:rPr>
          <w:rFonts w:ascii="Arial" w:hAnsi="Arial" w:cs="Arial"/>
          <w:b/>
          <w:noProof/>
          <w:sz w:val="32"/>
          <w:szCs w:val="32"/>
          <w:lang w:eastAsia="en-GB"/>
        </w:rPr>
        <w:drawing>
          <wp:inline distT="0" distB="0" distL="0" distR="0" wp14:anchorId="1DF12E1D" wp14:editId="4882C7DB">
            <wp:extent cx="1361580" cy="1361580"/>
            <wp:effectExtent l="19050" t="0" r="0" b="0"/>
            <wp:docPr id="1" name="Picture 0" descr="WBCT Master LogoCMYK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CT Master LogoCMYKround.jpg"/>
                    <pic:cNvPicPr/>
                  </pic:nvPicPr>
                  <pic:blipFill>
                    <a:blip r:embed="rId5" cstate="print"/>
                    <a:stretch>
                      <a:fillRect/>
                    </a:stretch>
                  </pic:blipFill>
                  <pic:spPr>
                    <a:xfrm>
                      <a:off x="0" y="0"/>
                      <a:ext cx="1361667" cy="1361667"/>
                    </a:xfrm>
                    <a:prstGeom prst="rect">
                      <a:avLst/>
                    </a:prstGeom>
                  </pic:spPr>
                </pic:pic>
              </a:graphicData>
            </a:graphic>
          </wp:inline>
        </w:drawing>
      </w:r>
    </w:p>
    <w:p w14:paraId="02ACD12E" w14:textId="77777777" w:rsidR="008C42AE" w:rsidRDefault="00000000">
      <w:pPr>
        <w:jc w:val="center"/>
        <w:rPr>
          <w:rFonts w:ascii="Arial" w:hAnsi="Arial" w:cs="Arial"/>
          <w:b/>
          <w:sz w:val="32"/>
          <w:szCs w:val="32"/>
        </w:rPr>
      </w:pPr>
      <w:r>
        <w:rPr>
          <w:rFonts w:ascii="Arial" w:eastAsia="Arial" w:hAnsi="Arial" w:cs="Arial"/>
          <w:b/>
          <w:sz w:val="32"/>
          <w:szCs w:val="32"/>
        </w:rPr>
        <w:t>Wilts &amp; Berks Canal Trust</w:t>
      </w:r>
    </w:p>
    <w:p w14:paraId="3AE17C59" w14:textId="77777777" w:rsidR="008C42AE" w:rsidRDefault="00000000">
      <w:pPr>
        <w:jc w:val="center"/>
        <w:rPr>
          <w:rFonts w:ascii="Arial" w:hAnsi="Arial" w:cs="Arial"/>
          <w:b/>
          <w:sz w:val="32"/>
          <w:szCs w:val="32"/>
        </w:rPr>
      </w:pPr>
      <w:r>
        <w:rPr>
          <w:rFonts w:ascii="Arial" w:eastAsia="Arial" w:hAnsi="Arial" w:cs="Arial"/>
          <w:b/>
          <w:sz w:val="32"/>
          <w:szCs w:val="32"/>
        </w:rPr>
        <w:t>Wiltshire Local Plan Scoping Consultation</w:t>
      </w:r>
    </w:p>
    <w:p w14:paraId="776C235E" w14:textId="77777777" w:rsidR="008C42AE" w:rsidRDefault="00000000">
      <w:pPr>
        <w:jc w:val="center"/>
        <w:rPr>
          <w:rFonts w:ascii="Arial" w:hAnsi="Arial" w:cs="Arial"/>
          <w:b/>
          <w:sz w:val="32"/>
          <w:szCs w:val="32"/>
        </w:rPr>
      </w:pPr>
      <w:r>
        <w:rPr>
          <w:rFonts w:ascii="Arial" w:eastAsia="Arial" w:hAnsi="Arial" w:cs="Arial"/>
          <w:b/>
          <w:sz w:val="32"/>
          <w:szCs w:val="32"/>
        </w:rPr>
        <w:t>Consultation Response</w:t>
      </w:r>
    </w:p>
    <w:p w14:paraId="0A95D778"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Response to Wiltshire Council</w:t>
      </w:r>
    </w:p>
    <w:p w14:paraId="3177D60F"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September 2026</w:t>
      </w:r>
    </w:p>
    <w:p w14:paraId="5D5BD184"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1. Introduction</w:t>
      </w:r>
    </w:p>
    <w:p w14:paraId="2681AD84"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Wilts &amp; Berks Canal Trust (WBCT) welcomes the opportunity to respond to the Wiltshire Local Plan Scoping Consultation. This response focuses on the matters most directly relevant to the restoration of the Wilts &amp; Berks Canal and the role that the canal can play in supporting sustainable growth, infrastructure delivery and place-making across Wiltshire.</w:t>
      </w:r>
    </w:p>
    <w:p w14:paraId="57EA5E65"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considers that the new Local Plan provides an important opportunity to move from general support for canal restoration towards a clearer, plan-led framework for safeguarding the route, keeping restoration physically deliverable, integrating the canal with growth and infrastructure planning, and securing proportionate delivery or contributions where justified.</w:t>
      </w:r>
    </w:p>
    <w:p w14:paraId="3BBDEF92" w14:textId="77777777" w:rsidR="00F95E07"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This response should be read alongside the following supporting documents, which are submitted with it:</w:t>
      </w:r>
    </w:p>
    <w:p w14:paraId="0D4CC850" w14:textId="77777777" w:rsidR="00F95E07"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sidRPr="00F95E07">
        <w:rPr>
          <w:rFonts w:ascii="Arial" w:eastAsia="Arial" w:hAnsi="Arial" w:cs="Arial"/>
          <w:color w:val="222222"/>
          <w:sz w:val="24"/>
          <w:szCs w:val="24"/>
          <w:lang w:eastAsia="en-GB"/>
        </w:rPr>
        <w:t>Suggested Framework for Local Plan Policies Supporting the Restoration of the Wilts &amp; Berks Canal - Draft Policy Framework, September 2026 (the Policy Framework); and</w:t>
      </w:r>
    </w:p>
    <w:p w14:paraId="15067CB8" w14:textId="62FFE04D"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sidRPr="00F95E07">
        <w:rPr>
          <w:rFonts w:ascii="Arial" w:eastAsia="Arial" w:hAnsi="Arial" w:cs="Arial"/>
          <w:color w:val="222222"/>
          <w:sz w:val="24"/>
          <w:szCs w:val="24"/>
          <w:lang w:eastAsia="en-GB"/>
        </w:rPr>
        <w:t>Proposed Local Plan Policy and Developer Contribution Framework, 28 September 2026, Rev 5 (the Developer Contribution Framework).</w:t>
      </w:r>
    </w:p>
    <w:p w14:paraId="34EB6294"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Policy Framework sets out the Trust's proposed policy structure and draft policy components. The Developer Contribution Framework provides the more detailed planning rationale, evidence and methodology relating to developer contributions. This response does not repeat those documents in full, but refers to them where relevant.</w:t>
      </w:r>
    </w:p>
    <w:p w14:paraId="4531A966"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lastRenderedPageBreak/>
        <w:t>2. Question 1 - Key challenges, priorities and opportunities for Wiltshire</w:t>
      </w:r>
    </w:p>
    <w:p w14:paraId="1D3C7B88"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What are the key local challenges, priorities and opportunities relevant for the future development of Wiltshire?</w:t>
      </w:r>
    </w:p>
    <w:p w14:paraId="345BE334"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From the Trust's perspective, a key challenge is ensuring that future growth does not sterilise or materially prejudice the restoration of the Wilts &amp; Berks Canal. Safeguarding the historic or proposed line on a plan is not sufficient on its own if development fixes land levels, bridge or structural clearances, drainage, utilities or access arrangements in a way that makes future restoration impracticable.</w:t>
      </w:r>
    </w:p>
    <w:p w14:paraId="442810B7"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corresponding opportunity is to recognise the canal as strategic green and blue infrastructure capable of supporting a range of Local Plan objectives. As set out in the Policy Framework, restoration can contribute to:</w:t>
      </w:r>
    </w:p>
    <w:p w14:paraId="5016199E"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walking, wheeling and cycling connectivity and wider active-travel networks;</w:t>
      </w:r>
    </w:p>
    <w:p w14:paraId="7AE193C4"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biodiversity enhancement, ecological connectivity and nature recovery;</w:t>
      </w:r>
    </w:p>
    <w:p w14:paraId="3AEED07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recreation, access to open space, health and wellbeing;</w:t>
      </w:r>
    </w:p>
    <w:p w14:paraId="76BF843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heritage conservation and interpretation;</w:t>
      </w:r>
    </w:p>
    <w:p w14:paraId="2C3F69C0"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tourism, visitor activity and local economic benefits;</w:t>
      </w:r>
    </w:p>
    <w:p w14:paraId="17C8C0B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landscape enhancement, climate resilience, water-resource management and flood-management opportunities; and</w:t>
      </w:r>
    </w:p>
    <w:p w14:paraId="0B952D41"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placemaking, regeneration and connections between communities.</w:t>
      </w:r>
    </w:p>
    <w:p w14:paraId="74F5E01D"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therefore considers that canal restoration should be treated as a cross-cutting infrastructure opportunity rather than solely as a heritage project. The new Local Plan should recognise both the need to protect future delivery and the potential for planned growth to help deliver canal-related infrastructure where there is a clear relationship with development.</w:t>
      </w:r>
    </w:p>
    <w:p w14:paraId="17A3C002"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Further detail is provided in Sections 2 to 4 of the Policy Framework and Sections 2 and 3 of the Developer Contribution Framework.</w:t>
      </w:r>
    </w:p>
    <w:p w14:paraId="0009CFCB"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3. Question 2 - Shaping the spatial strategy</w:t>
      </w:r>
    </w:p>
    <w:p w14:paraId="137541AA"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How do you think we should meet development needs and where we should focus growth?</w:t>
      </w:r>
    </w:p>
    <w:p w14:paraId="1464E2F7"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is not seeking to promote or resist particular locations for growth through this scoping response. Its principal request is that the canal restoration route is treated as an infrastructure consideration when the spatial strategy and site allocations are prepared.</w:t>
      </w:r>
    </w:p>
    <w:p w14:paraId="7D63D472"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Where proposed growth adjoins, crosses or otherwise affects the canal, the spatial strategy should ensure that development:</w:t>
      </w:r>
    </w:p>
    <w:p w14:paraId="79DA0254"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does not sever, sterilise or otherwise prejudice the restoration route;</w:t>
      </w:r>
    </w:p>
    <w:p w14:paraId="3B985451"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lastRenderedPageBreak/>
        <w:t>safeguards the land and engineering requirements necessary to keep restoration physically deliverable;</w:t>
      </w:r>
    </w:p>
    <w:p w14:paraId="5DE76E6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takes opportunities to integrate towpaths, walking and cycling links, green and blue infrastructure, biodiversity and public access;</w:t>
      </w:r>
    </w:p>
    <w:p w14:paraId="12827FF8"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addresses canal-related infrastructure requirements through site-specific allocation policy where appropriate; and</w:t>
      </w:r>
    </w:p>
    <w:p w14:paraId="337402D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provides direct delivery, land or proportionate contributions where justified by the circumstances of the development.</w:t>
      </w:r>
    </w:p>
    <w:p w14:paraId="049CEED6"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safeguarded canal corridor should be clearly identified through the Policies Map and supporting GIS evidence. The Trust is separately submitting its best available mapped land requirements through the Call for Sites process, supported by a GIS shapefile. The Trust would also welcome working with the Council to update the canal centreline used for Local Plan mapping as route design and evidence are refined. The Policy Framework explains the proposed approach to safeguarding, including the need to distinguish the mapped restoration corridor from wider areas used for assessment of potential infrastructure relationships.</w:t>
      </w:r>
    </w:p>
    <w:p w14:paraId="1383323B"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This approach would allow the canal to be considered at the same stage as other infrastructure and environmental matters when growth locations are assessed, rather than being addressed only after development proposals have become fixed.</w:t>
      </w:r>
    </w:p>
    <w:p w14:paraId="2B2AB489"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4. Question 3 - Informing locally specific policies</w:t>
      </w:r>
    </w:p>
    <w:p w14:paraId="205CC0F7"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What do you think locally specific policies could and should cover in the Wiltshire Local Plan?</w:t>
      </w:r>
    </w:p>
    <w:p w14:paraId="21638B5D"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considers that locally specific canal policies are required because national policy does not provide a route-specific mechanism for safeguarding the Wilts &amp; Berks Canal or for addressing the practical delivery requirements associated with its restoration in Wiltshire.</w:t>
      </w:r>
    </w:p>
    <w:p w14:paraId="02E63B24"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Policy Framework therefore proposes a linked set of policy components covering:</w:t>
      </w:r>
    </w:p>
    <w:p w14:paraId="55778B13"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strategic recognition of the canal as green and blue infrastructure;</w:t>
      </w:r>
    </w:p>
    <w:p w14:paraId="661F3E2E"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safeguarding of the historic and proposed canal corridor and the land, levels, structural clearances, drainage, utilities, water-storage/reservoir infrastructure and access needed for future restoration;</w:t>
      </w:r>
    </w:p>
    <w:p w14:paraId="57A1593B"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support for restoration and rewatering;</w:t>
      </w:r>
    </w:p>
    <w:p w14:paraId="63E90333"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integration of development with the canal, including active travel, public access, biodiversity, landscape, drainage and waterside placemaking;</w:t>
      </w:r>
    </w:p>
    <w:p w14:paraId="7D2CA267"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protection and enhancement of canal heritage;</w:t>
      </w:r>
    </w:p>
    <w:p w14:paraId="345F3252"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towpath design, accessibility, safety and user experience;</w:t>
      </w:r>
    </w:p>
    <w:p w14:paraId="431A32A7"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a policy basis for proportionate developer contributions or direct delivery where justified; and</w:t>
      </w:r>
    </w:p>
    <w:p w14:paraId="5F1619B7"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site-specific requirements for major allocations or opportunity areas that affect key restoration projects.</w:t>
      </w:r>
    </w:p>
    <w:p w14:paraId="6DE574A5"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 xml:space="preserve">The Trust's suggested policy components are set out in Appendices A and B of the Policy Framework. The precise way in which these are consolidated within the Local </w:t>
      </w:r>
      <w:r>
        <w:rPr>
          <w:rFonts w:ascii="Arial" w:eastAsia="Arial" w:hAnsi="Arial" w:cs="Arial"/>
          <w:color w:val="222222"/>
          <w:sz w:val="24"/>
          <w:szCs w:val="24"/>
          <w:lang w:eastAsia="en-GB"/>
        </w:rPr>
        <w:lastRenderedPageBreak/>
        <w:t>Plan is a matter for the Council, but the Trust considers that the above functions should be clearly covered.</w:t>
      </w:r>
    </w:p>
    <w:p w14:paraId="16B8BEC0"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In relation to developer contributions, the Trust does not propose an automatic canal tariff. The Developer Contribution Framework proposes an indicative 2 km assessment area as a screening and evidence tool, supported by recognised UK green-infrastructure accessibility evidence, while making clear that any individual obligation must be justified by the development's relationship with identified infrastructure and satisfy the statutory tests for planning obligations.</w:t>
      </w:r>
    </w:p>
    <w:p w14:paraId="487A994D"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5. Question 4 - Evidence requirements</w:t>
      </w:r>
    </w:p>
    <w:p w14:paraId="2257F8BD"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What evidence do you think is needed to inform the Plan? Do you have thoughts on how it should be prepared?</w:t>
      </w:r>
    </w:p>
    <w:p w14:paraId="23EE355E"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considers that the evidence base should be proportionate and should focus on the information necessary to safeguard the route, identify delivery requirements and support any future infrastructure or developer-contribution policies.</w:t>
      </w:r>
    </w:p>
    <w:p w14:paraId="04820E4D"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Relevant evidence should include:</w:t>
      </w:r>
    </w:p>
    <w:p w14:paraId="0C6B4777"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best-available GIS mapping of the canal restoration route, including confirmed alternative alignments and associated infrastructure land where known, with the historic/original route and indicative corridors used where future alignments or detailed land requirements have not yet been determined;</w:t>
      </w:r>
    </w:p>
    <w:p w14:paraId="0AA14925"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evidence of key engineering and physical-deliverability requirements, including levels, crossings, bridges and structural clearances, drainage, utilities and access;</w:t>
      </w:r>
    </w:p>
    <w:p>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water-resource evidence, including the need for and indicative location of reservoirs, storage areas, feeder systems and pumping infrastructure as technical studies progress;</w:t>
      </w:r>
    </w:p>
    <w:p w14:paraId="687FCAA9"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the relationship of the canal to green and blue infrastructure, active-travel networks, biodiversity and nature-recovery priorities, heritage assets and landscape character;</w:t>
      </w:r>
    </w:p>
    <w:p w14:paraId="098E9468"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a schedule of priority canal projects, infrastructure requirements, indicative costs, phasing, delivery responsibilities and potential funding sources for the Infrastructure Delivery Plan;</w:t>
      </w:r>
    </w:p>
    <w:p w14:paraId="3DE0198C"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evidence relating to development demand, accessibility and connectivity where canal-related developer contributions may be sought; and</w:t>
      </w:r>
    </w:p>
    <w:p w14:paraId="5940D970"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appropriate viability and proportionality evidence where contribution policies are developed.</w:t>
      </w:r>
    </w:p>
    <w:p>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recognises that the canal restoration programme extends well beyond the Local Plan period and that precise route and land requirements cannot yet be defined throughout. The Call for Sites mapping and accompanying GIS shapefile therefore represent the best available evidence at this stage. Where detailed design is unavailable, the mapping generally uses an indicative 30 metre corridor as an estimate of permanent land requirement, or retains the historic/original route where a future alternative has not yet been confirmed. The mapping is intended to be refined progressively as design, landowner engagement and technical work advance. This should be distinguished from the wider 100 metre either-side interim safeguarding and assessment area proposed in the Policy Framework, which is not intended to define the eventual land take but to ensure that development proposals are considered against restoration requirements while the route and supporting evidence are refined.</w:t>
      </w:r>
    </w:p>
    <w:p w14:paraId="27E285C4"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separate Developer Contribution Framework sets out the evidence-led basis for the indicative 2 km assessment area, including relevant UK green-infrastructure accessibility evidence. It is expressly proposed as a screening and assessment tool, not as an automatic contribution boundary.</w:t>
      </w:r>
    </w:p>
    <w:p w14:paraId="38326F25"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would welcome continued joint working with the Council on GIS mapping, including future refinement of the canal centreline and mapped land requirements, project schedules and the evidence needed to translate the policy framework into an implementable Infrastructure Delivery Plan. Where possible, existing Council and Trust evidence should be used and updated rather than duplicated.</w:t>
      </w:r>
    </w:p>
    <w:p w14:paraId="01DEA81A"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lastRenderedPageBreak/>
        <w:t>6. Question 5 - What the Wiltshire Local Plan should contain</w:t>
      </w:r>
    </w:p>
    <w:p w14:paraId="55E38FC3"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Do you have any further thoughts on what the Wiltshire Local Plan should contain?</w:t>
      </w:r>
    </w:p>
    <w:p w14:paraId="160F0D07"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In addition to the policy matters addressed above, the Trust asks that canal restoration is embedded in the delivery framework for the Plan.</w:t>
      </w:r>
    </w:p>
    <w:p w14:paraId="5A738036"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In particular, the Local Plan should:</w:t>
      </w:r>
    </w:p>
    <w:p w14:paraId="1C0A7A13"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identify the canal restoration programme as strategic green and blue infrastructure;</w:t>
      </w:r>
    </w:p>
    <w:p w14:paraId="58F9F84D"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show the safeguarded restoration route on the Policies Map;</w:t>
      </w:r>
    </w:p>
    <w:p w14:paraId="08B7942B"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include relevant canal projects and infrastructure requirements within the Infrastructure Delivery Plan;</w:t>
      </w:r>
    </w:p>
    <w:p w14:paraId="05BBE235"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recognise, where appropriate, the Melksham Link, Pewsham Waterside and Royal Wootton Bassett-Swindon Connection as priority projects, while safeguarding the North Wilts Canal route;</w:t>
      </w:r>
    </w:p>
    <w:p w14:paraId="13E1C1A8"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use site-specific allocation policies where development can directly affect or assist delivery of canal infrastructure; and</w:t>
      </w:r>
    </w:p>
    <w:p w14:paraId="56CEF890"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coordinate planning obligations, CIL where applicable, direct infrastructure delivery, Council investment programmes and external/partnership funding rather than relying on any single funding source.</w:t>
      </w:r>
    </w:p>
    <w:p w14:paraId="5D227E6F"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recent Wiltshire Council Canal Liaison discussion reinforced the importance of linking canal restoration not only to planning policy but also to infrastructure and investment planning. The Trust would therefore welcome dialogue with the Council on how relevant canal projects can be reflected in the Infrastructure Delivery Plan, Wiltshire Council's Asset Management Strategy 2025-2035 and wider capital/infrastructure investment processes, alongside consideration of CIL and other funding sources where applicable.</w:t>
      </w:r>
    </w:p>
    <w:p w14:paraId="0F59452A"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detailed policy and delivery proposals are contained in the accompanying Policy Framework and Developer Contribution Framework.</w:t>
      </w:r>
    </w:p>
    <w:p w14:paraId="6EBF11C1"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7. Question 6 - How should we engage?</w:t>
      </w:r>
    </w:p>
    <w:p w14:paraId="33190D7A" w14:textId="77777777" w:rsidR="008C42AE" w:rsidRDefault="00000000" w:rsidP="00F95E07">
      <w:pPr>
        <w:keepNext/>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b/>
          <w:i/>
          <w:color w:val="222222"/>
          <w:sz w:val="24"/>
          <w:szCs w:val="24"/>
          <w:lang w:eastAsia="en-GB"/>
        </w:rPr>
        <w:t>Please provide your thoughts on how we should engage with you in the preparation of the Wiltshire Local Plan.</w:t>
      </w:r>
    </w:p>
    <w:p w14:paraId="6326DE9B"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welcomes the increasingly constructive engagement with Wiltshire Council and would like to continue direct liaison throughout preparation of the Local Plan.</w:t>
      </w:r>
    </w:p>
    <w:p w14:paraId="6536BF9E"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Given that canal restoration cuts across planning policy, development management, highways and active travel, green and blue infrastructure, ecology, heritage, drainage, GIS and infrastructure funding, the Trust considers that targeted officer engagement will be more effective than relying solely on formal consultation stages.</w:t>
      </w:r>
    </w:p>
    <w:p w14:paraId="0061EC0A"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would particularly welcome:</w:t>
      </w:r>
    </w:p>
    <w:p w14:paraId="47A8F4BA"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lastRenderedPageBreak/>
        <w:t>continued liaison meetings with relevant Council officers and members at key plan-making stages;</w:t>
      </w:r>
    </w:p>
    <w:p w14:paraId="37C16D26"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early engagement on draft canal-related policy wording and site-allocation requirements;</w:t>
      </w:r>
    </w:p>
    <w:p w14:paraId="12850A0C"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joint working on the GIS/mapped restoration corridor, including future refinement of the centreline and associated land requirements as evidence progresses;</w:t>
      </w:r>
    </w:p>
    <w:p w14:paraId="14DF2D87"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engagement with infrastructure/CIL and investment teams where canal projects may form part of the Plan's delivery framework; and</w:t>
      </w:r>
    </w:p>
    <w:p w14:paraId="50E24C3D" w14:textId="77777777" w:rsidR="008C42AE" w:rsidRPr="00F95E07" w:rsidRDefault="00000000" w:rsidP="00F95E07">
      <w:pPr>
        <w:pStyle w:val="ListParagraph"/>
        <w:numPr>
          <w:ilvl w:val="0"/>
          <w:numId w:val="41"/>
        </w:numPr>
        <w:shd w:val="clear" w:color="auto" w:fill="FFFFFF"/>
        <w:spacing w:before="100" w:beforeAutospacing="1" w:after="100" w:afterAutospacing="1" w:line="240" w:lineRule="auto"/>
        <w:jc w:val="both"/>
        <w:rPr>
          <w:rFonts w:ascii="Arial" w:eastAsia="Arial" w:hAnsi="Arial" w:cs="Arial"/>
          <w:color w:val="222222"/>
          <w:sz w:val="24"/>
          <w:szCs w:val="24"/>
          <w:lang w:eastAsia="en-GB"/>
        </w:rPr>
      </w:pPr>
      <w:r>
        <w:rPr>
          <w:rFonts w:ascii="Arial" w:eastAsia="Arial" w:hAnsi="Arial" w:cs="Arial"/>
          <w:color w:val="222222"/>
          <w:sz w:val="24"/>
          <w:szCs w:val="24"/>
          <w:lang w:eastAsia="en-GB"/>
        </w:rPr>
        <w:t>continued early notification and engagement where major development proposals could affect the safeguarded route or key canal infrastructure.</w:t>
      </w:r>
    </w:p>
    <w:p w14:paraId="1493A2D8"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WBCT should therefore be treated as a relevant infrastructure and stakeholder body for future stages of Local Plan preparation, with direct notification of consultation and evidence-review opportunities.</w:t>
      </w:r>
    </w:p>
    <w:p w14:paraId="7EDAF468" w14:textId="77777777" w:rsidR="008C42AE" w:rsidRDefault="00000000" w:rsidP="00F95E07">
      <w:pPr>
        <w:keepNext/>
        <w:shd w:val="clear" w:color="auto" w:fill="FFFFFF"/>
        <w:spacing w:before="100" w:beforeAutospacing="1" w:after="100" w:afterAutospacing="1" w:line="240" w:lineRule="auto"/>
        <w:jc w:val="both"/>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t>8. Conclusion</w:t>
      </w:r>
    </w:p>
    <w:p w14:paraId="30DF45F9" w14:textId="77777777" w:rsidR="008C42AE" w:rsidRDefault="00000000" w:rsidP="00F95E07">
      <w:pPr>
        <w:shd w:val="clear" w:color="auto" w:fill="FFFFFF"/>
        <w:spacing w:before="100" w:beforeAutospacing="1" w:after="100" w:afterAutospacing="1" w:line="240" w:lineRule="auto"/>
        <w:jc w:val="both"/>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considers that the new Wiltshire Local Plan provides an important opportunity to place long-standing support for restoration of the Wilts &amp; Berks Canal on a clearer and more deliverable footing. The principal requests are for strategic recognition of the canal as green and blue infrastructure, mapped safeguarding that preserves physical deliverability, appropriate locally specific policy, inclusion of priority projects within infrastructure planning, and an evidence-led mechanism for securing delivery or contributions where justified. The Trust would welcome continued work with Wiltshire Council to refine the policy wording, GIS evidence, project schedules and delivery mechanisms as the Local Plan moves to its next stage.</w:t>
      </w:r>
    </w:p>
    <w:sectPr w:rsidR="008C42AE" w:rsidSect="00783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907"/>
    <w:multiLevelType w:val="multilevel"/>
    <w:tmpl w:val="00EE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939B2"/>
    <w:multiLevelType w:val="multilevel"/>
    <w:tmpl w:val="3926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8692B"/>
    <w:multiLevelType w:val="multilevel"/>
    <w:tmpl w:val="BBDE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46E3A"/>
    <w:multiLevelType w:val="multilevel"/>
    <w:tmpl w:val="E4B2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33B77"/>
    <w:multiLevelType w:val="multilevel"/>
    <w:tmpl w:val="EA84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E6E93"/>
    <w:multiLevelType w:val="multilevel"/>
    <w:tmpl w:val="90BE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D7544"/>
    <w:multiLevelType w:val="multilevel"/>
    <w:tmpl w:val="E228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37F38"/>
    <w:multiLevelType w:val="multilevel"/>
    <w:tmpl w:val="D75A1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0255FA"/>
    <w:multiLevelType w:val="multilevel"/>
    <w:tmpl w:val="2BD4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930D43"/>
    <w:multiLevelType w:val="multilevel"/>
    <w:tmpl w:val="0C08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AD0412"/>
    <w:multiLevelType w:val="multilevel"/>
    <w:tmpl w:val="C996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349FC"/>
    <w:multiLevelType w:val="multilevel"/>
    <w:tmpl w:val="35E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A17EB"/>
    <w:multiLevelType w:val="multilevel"/>
    <w:tmpl w:val="A624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8A5971"/>
    <w:multiLevelType w:val="multilevel"/>
    <w:tmpl w:val="235A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DF7063"/>
    <w:multiLevelType w:val="multilevel"/>
    <w:tmpl w:val="C664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9C401C"/>
    <w:multiLevelType w:val="multilevel"/>
    <w:tmpl w:val="4866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C6584F"/>
    <w:multiLevelType w:val="multilevel"/>
    <w:tmpl w:val="1994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924A11"/>
    <w:multiLevelType w:val="multilevel"/>
    <w:tmpl w:val="607C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B27530"/>
    <w:multiLevelType w:val="multilevel"/>
    <w:tmpl w:val="FDF6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A55360"/>
    <w:multiLevelType w:val="multilevel"/>
    <w:tmpl w:val="D548E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DC2FFE"/>
    <w:multiLevelType w:val="multilevel"/>
    <w:tmpl w:val="D90C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87FBD"/>
    <w:multiLevelType w:val="multilevel"/>
    <w:tmpl w:val="ABEA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ED241E"/>
    <w:multiLevelType w:val="hybridMultilevel"/>
    <w:tmpl w:val="95E8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E14E02"/>
    <w:multiLevelType w:val="multilevel"/>
    <w:tmpl w:val="D6D4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45721"/>
    <w:multiLevelType w:val="multilevel"/>
    <w:tmpl w:val="A2CE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2A10A4"/>
    <w:multiLevelType w:val="multilevel"/>
    <w:tmpl w:val="5028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341BAA"/>
    <w:multiLevelType w:val="multilevel"/>
    <w:tmpl w:val="2188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7A6927"/>
    <w:multiLevelType w:val="multilevel"/>
    <w:tmpl w:val="96E2B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7D68D7"/>
    <w:multiLevelType w:val="multilevel"/>
    <w:tmpl w:val="9780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266DE4"/>
    <w:multiLevelType w:val="multilevel"/>
    <w:tmpl w:val="0CEC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24199C"/>
    <w:multiLevelType w:val="multilevel"/>
    <w:tmpl w:val="6296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4D6124"/>
    <w:multiLevelType w:val="multilevel"/>
    <w:tmpl w:val="EA6E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503A8"/>
    <w:multiLevelType w:val="multilevel"/>
    <w:tmpl w:val="E186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875BCB"/>
    <w:multiLevelType w:val="multilevel"/>
    <w:tmpl w:val="8D0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D92D8B"/>
    <w:multiLevelType w:val="multilevel"/>
    <w:tmpl w:val="D4C6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1A16F6"/>
    <w:multiLevelType w:val="multilevel"/>
    <w:tmpl w:val="343C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A41282"/>
    <w:multiLevelType w:val="multilevel"/>
    <w:tmpl w:val="6984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8A780E"/>
    <w:multiLevelType w:val="multilevel"/>
    <w:tmpl w:val="03C8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1290E"/>
    <w:multiLevelType w:val="multilevel"/>
    <w:tmpl w:val="75C0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DF3543"/>
    <w:multiLevelType w:val="multilevel"/>
    <w:tmpl w:val="EE9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BE45FA"/>
    <w:multiLevelType w:val="multilevel"/>
    <w:tmpl w:val="B34A9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5221591">
    <w:abstractNumId w:val="19"/>
  </w:num>
  <w:num w:numId="2" w16cid:durableId="854032083">
    <w:abstractNumId w:val="15"/>
  </w:num>
  <w:num w:numId="3" w16cid:durableId="2033024444">
    <w:abstractNumId w:val="9"/>
  </w:num>
  <w:num w:numId="4" w16cid:durableId="1992295264">
    <w:abstractNumId w:val="27"/>
  </w:num>
  <w:num w:numId="5" w16cid:durableId="1945382425">
    <w:abstractNumId w:val="17"/>
  </w:num>
  <w:num w:numId="6" w16cid:durableId="1910922136">
    <w:abstractNumId w:val="40"/>
  </w:num>
  <w:num w:numId="7" w16cid:durableId="1067151356">
    <w:abstractNumId w:val="36"/>
  </w:num>
  <w:num w:numId="8" w16cid:durableId="846599665">
    <w:abstractNumId w:val="11"/>
  </w:num>
  <w:num w:numId="9" w16cid:durableId="305664623">
    <w:abstractNumId w:val="20"/>
  </w:num>
  <w:num w:numId="10" w16cid:durableId="2109812998">
    <w:abstractNumId w:val="16"/>
  </w:num>
  <w:num w:numId="11" w16cid:durableId="2115395515">
    <w:abstractNumId w:val="23"/>
  </w:num>
  <w:num w:numId="12" w16cid:durableId="691222023">
    <w:abstractNumId w:val="26"/>
  </w:num>
  <w:num w:numId="13" w16cid:durableId="1761414873">
    <w:abstractNumId w:val="21"/>
  </w:num>
  <w:num w:numId="14" w16cid:durableId="1103064282">
    <w:abstractNumId w:val="38"/>
  </w:num>
  <w:num w:numId="15" w16cid:durableId="2132898845">
    <w:abstractNumId w:val="33"/>
  </w:num>
  <w:num w:numId="16" w16cid:durableId="265577899">
    <w:abstractNumId w:val="18"/>
  </w:num>
  <w:num w:numId="17" w16cid:durableId="1383941619">
    <w:abstractNumId w:val="3"/>
  </w:num>
  <w:num w:numId="18" w16cid:durableId="727412117">
    <w:abstractNumId w:val="14"/>
  </w:num>
  <w:num w:numId="19" w16cid:durableId="1221357946">
    <w:abstractNumId w:val="13"/>
  </w:num>
  <w:num w:numId="20" w16cid:durableId="731731486">
    <w:abstractNumId w:val="8"/>
  </w:num>
  <w:num w:numId="21" w16cid:durableId="869074192">
    <w:abstractNumId w:val="24"/>
  </w:num>
  <w:num w:numId="22" w16cid:durableId="706486508">
    <w:abstractNumId w:val="29"/>
  </w:num>
  <w:num w:numId="23" w16cid:durableId="801701906">
    <w:abstractNumId w:val="32"/>
  </w:num>
  <w:num w:numId="24" w16cid:durableId="1244796930">
    <w:abstractNumId w:val="1"/>
  </w:num>
  <w:num w:numId="25" w16cid:durableId="472022910">
    <w:abstractNumId w:val="10"/>
  </w:num>
  <w:num w:numId="26" w16cid:durableId="578179871">
    <w:abstractNumId w:val="25"/>
  </w:num>
  <w:num w:numId="27" w16cid:durableId="210770099">
    <w:abstractNumId w:val="30"/>
  </w:num>
  <w:num w:numId="28" w16cid:durableId="850922381">
    <w:abstractNumId w:val="35"/>
  </w:num>
  <w:num w:numId="29" w16cid:durableId="195781426">
    <w:abstractNumId w:val="6"/>
  </w:num>
  <w:num w:numId="30" w16cid:durableId="1244221718">
    <w:abstractNumId w:val="39"/>
  </w:num>
  <w:num w:numId="31" w16cid:durableId="1911771694">
    <w:abstractNumId w:val="12"/>
  </w:num>
  <w:num w:numId="32" w16cid:durableId="936792252">
    <w:abstractNumId w:val="31"/>
  </w:num>
  <w:num w:numId="33" w16cid:durableId="1196576987">
    <w:abstractNumId w:val="0"/>
  </w:num>
  <w:num w:numId="34" w16cid:durableId="377510496">
    <w:abstractNumId w:val="28"/>
  </w:num>
  <w:num w:numId="35" w16cid:durableId="1513954461">
    <w:abstractNumId w:val="34"/>
  </w:num>
  <w:num w:numId="36" w16cid:durableId="1712849346">
    <w:abstractNumId w:val="7"/>
  </w:num>
  <w:num w:numId="37" w16cid:durableId="559633310">
    <w:abstractNumId w:val="5"/>
  </w:num>
  <w:num w:numId="38" w16cid:durableId="628784167">
    <w:abstractNumId w:val="37"/>
  </w:num>
  <w:num w:numId="39" w16cid:durableId="1155268890">
    <w:abstractNumId w:val="4"/>
  </w:num>
  <w:num w:numId="40" w16cid:durableId="1744718300">
    <w:abstractNumId w:val="2"/>
  </w:num>
  <w:num w:numId="41" w16cid:durableId="4032617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8704C"/>
    <w:rsid w:val="00001600"/>
    <w:rsid w:val="00001B39"/>
    <w:rsid w:val="00001CB0"/>
    <w:rsid w:val="0000230F"/>
    <w:rsid w:val="0000236C"/>
    <w:rsid w:val="00002F80"/>
    <w:rsid w:val="0000347D"/>
    <w:rsid w:val="000047EB"/>
    <w:rsid w:val="000057F6"/>
    <w:rsid w:val="000062F1"/>
    <w:rsid w:val="00006440"/>
    <w:rsid w:val="00006B6F"/>
    <w:rsid w:val="00007817"/>
    <w:rsid w:val="000078B8"/>
    <w:rsid w:val="0001221D"/>
    <w:rsid w:val="00012DAC"/>
    <w:rsid w:val="000167C3"/>
    <w:rsid w:val="00024D77"/>
    <w:rsid w:val="0002582A"/>
    <w:rsid w:val="00025AB0"/>
    <w:rsid w:val="00026FC3"/>
    <w:rsid w:val="00027351"/>
    <w:rsid w:val="000315AA"/>
    <w:rsid w:val="000325F4"/>
    <w:rsid w:val="00033AF4"/>
    <w:rsid w:val="000358E7"/>
    <w:rsid w:val="00035EEC"/>
    <w:rsid w:val="00036C10"/>
    <w:rsid w:val="00037B0F"/>
    <w:rsid w:val="00040D26"/>
    <w:rsid w:val="000412CB"/>
    <w:rsid w:val="000412FC"/>
    <w:rsid w:val="00041D51"/>
    <w:rsid w:val="00045397"/>
    <w:rsid w:val="00046914"/>
    <w:rsid w:val="00046988"/>
    <w:rsid w:val="000505E3"/>
    <w:rsid w:val="00051C44"/>
    <w:rsid w:val="0005278E"/>
    <w:rsid w:val="000544AC"/>
    <w:rsid w:val="00055DB2"/>
    <w:rsid w:val="00060C2B"/>
    <w:rsid w:val="00061E08"/>
    <w:rsid w:val="000627E5"/>
    <w:rsid w:val="00063A0D"/>
    <w:rsid w:val="0006587C"/>
    <w:rsid w:val="00066788"/>
    <w:rsid w:val="00066C9E"/>
    <w:rsid w:val="000673E8"/>
    <w:rsid w:val="0007359D"/>
    <w:rsid w:val="00073BEE"/>
    <w:rsid w:val="000767DB"/>
    <w:rsid w:val="000778CB"/>
    <w:rsid w:val="00077BDA"/>
    <w:rsid w:val="00077BE0"/>
    <w:rsid w:val="0008030E"/>
    <w:rsid w:val="00081399"/>
    <w:rsid w:val="00083611"/>
    <w:rsid w:val="00090BEB"/>
    <w:rsid w:val="00090FC1"/>
    <w:rsid w:val="000947ED"/>
    <w:rsid w:val="00095766"/>
    <w:rsid w:val="000961FE"/>
    <w:rsid w:val="000A0C29"/>
    <w:rsid w:val="000A0C37"/>
    <w:rsid w:val="000A1317"/>
    <w:rsid w:val="000A1861"/>
    <w:rsid w:val="000A5177"/>
    <w:rsid w:val="000A7086"/>
    <w:rsid w:val="000A7801"/>
    <w:rsid w:val="000B1806"/>
    <w:rsid w:val="000B1F1A"/>
    <w:rsid w:val="000B2641"/>
    <w:rsid w:val="000B3B7F"/>
    <w:rsid w:val="000B4848"/>
    <w:rsid w:val="000B4C84"/>
    <w:rsid w:val="000B571B"/>
    <w:rsid w:val="000B63D3"/>
    <w:rsid w:val="000B672B"/>
    <w:rsid w:val="000B7CB4"/>
    <w:rsid w:val="000B7E00"/>
    <w:rsid w:val="000B7EE4"/>
    <w:rsid w:val="000C3918"/>
    <w:rsid w:val="000C4203"/>
    <w:rsid w:val="000C479D"/>
    <w:rsid w:val="000C49E5"/>
    <w:rsid w:val="000C5439"/>
    <w:rsid w:val="000C55A4"/>
    <w:rsid w:val="000C6425"/>
    <w:rsid w:val="000C6B2B"/>
    <w:rsid w:val="000C720F"/>
    <w:rsid w:val="000C742D"/>
    <w:rsid w:val="000C76AC"/>
    <w:rsid w:val="000D20EA"/>
    <w:rsid w:val="000D2E7A"/>
    <w:rsid w:val="000D3375"/>
    <w:rsid w:val="000D4A14"/>
    <w:rsid w:val="000D6371"/>
    <w:rsid w:val="000D70C9"/>
    <w:rsid w:val="000D75ED"/>
    <w:rsid w:val="000D768D"/>
    <w:rsid w:val="000E089C"/>
    <w:rsid w:val="000E095C"/>
    <w:rsid w:val="000E1341"/>
    <w:rsid w:val="000E1CC1"/>
    <w:rsid w:val="000E2505"/>
    <w:rsid w:val="000E5876"/>
    <w:rsid w:val="000F0B60"/>
    <w:rsid w:val="000F5265"/>
    <w:rsid w:val="000F54DD"/>
    <w:rsid w:val="000F622A"/>
    <w:rsid w:val="0010016C"/>
    <w:rsid w:val="00100753"/>
    <w:rsid w:val="00100806"/>
    <w:rsid w:val="001034E9"/>
    <w:rsid w:val="00103D89"/>
    <w:rsid w:val="001046FE"/>
    <w:rsid w:val="00104BEB"/>
    <w:rsid w:val="0010564D"/>
    <w:rsid w:val="00111E29"/>
    <w:rsid w:val="001128F7"/>
    <w:rsid w:val="00113953"/>
    <w:rsid w:val="00114DD1"/>
    <w:rsid w:val="001216BA"/>
    <w:rsid w:val="00122097"/>
    <w:rsid w:val="00122741"/>
    <w:rsid w:val="00122C99"/>
    <w:rsid w:val="00123814"/>
    <w:rsid w:val="00127071"/>
    <w:rsid w:val="00130C72"/>
    <w:rsid w:val="0013393C"/>
    <w:rsid w:val="0013407B"/>
    <w:rsid w:val="001341F3"/>
    <w:rsid w:val="00134A27"/>
    <w:rsid w:val="001354F5"/>
    <w:rsid w:val="00140C0A"/>
    <w:rsid w:val="001410BB"/>
    <w:rsid w:val="001411E5"/>
    <w:rsid w:val="001417CD"/>
    <w:rsid w:val="00141DCC"/>
    <w:rsid w:val="0014262A"/>
    <w:rsid w:val="00143C02"/>
    <w:rsid w:val="00146564"/>
    <w:rsid w:val="00147496"/>
    <w:rsid w:val="001476E6"/>
    <w:rsid w:val="00150725"/>
    <w:rsid w:val="00150F94"/>
    <w:rsid w:val="00151271"/>
    <w:rsid w:val="00152AD3"/>
    <w:rsid w:val="00152F0D"/>
    <w:rsid w:val="001561A3"/>
    <w:rsid w:val="00157995"/>
    <w:rsid w:val="00160138"/>
    <w:rsid w:val="00160BCD"/>
    <w:rsid w:val="00161241"/>
    <w:rsid w:val="00164CFF"/>
    <w:rsid w:val="00167C88"/>
    <w:rsid w:val="00170B9F"/>
    <w:rsid w:val="00171132"/>
    <w:rsid w:val="00171B62"/>
    <w:rsid w:val="00171DCC"/>
    <w:rsid w:val="001724BD"/>
    <w:rsid w:val="0017274E"/>
    <w:rsid w:val="00175959"/>
    <w:rsid w:val="00176281"/>
    <w:rsid w:val="00177EEF"/>
    <w:rsid w:val="00181BE1"/>
    <w:rsid w:val="00191EC8"/>
    <w:rsid w:val="001953D6"/>
    <w:rsid w:val="00195BCF"/>
    <w:rsid w:val="0019762C"/>
    <w:rsid w:val="001A188A"/>
    <w:rsid w:val="001A2111"/>
    <w:rsid w:val="001A3914"/>
    <w:rsid w:val="001A6100"/>
    <w:rsid w:val="001A7099"/>
    <w:rsid w:val="001B1751"/>
    <w:rsid w:val="001B211D"/>
    <w:rsid w:val="001B2402"/>
    <w:rsid w:val="001B2FF8"/>
    <w:rsid w:val="001B3F89"/>
    <w:rsid w:val="001B5C8B"/>
    <w:rsid w:val="001C1A44"/>
    <w:rsid w:val="001C1F8E"/>
    <w:rsid w:val="001C3928"/>
    <w:rsid w:val="001C39F1"/>
    <w:rsid w:val="001C4E47"/>
    <w:rsid w:val="001C5C79"/>
    <w:rsid w:val="001C6471"/>
    <w:rsid w:val="001C7A6F"/>
    <w:rsid w:val="001D1F59"/>
    <w:rsid w:val="001D2578"/>
    <w:rsid w:val="001D49A8"/>
    <w:rsid w:val="001D4CE7"/>
    <w:rsid w:val="001D6316"/>
    <w:rsid w:val="001D6F10"/>
    <w:rsid w:val="001E28BF"/>
    <w:rsid w:val="001E326D"/>
    <w:rsid w:val="001E33EA"/>
    <w:rsid w:val="001E40C6"/>
    <w:rsid w:val="001E52CA"/>
    <w:rsid w:val="001E6DAF"/>
    <w:rsid w:val="001F134A"/>
    <w:rsid w:val="001F2C07"/>
    <w:rsid w:val="001F3EE4"/>
    <w:rsid w:val="001F4514"/>
    <w:rsid w:val="001F49CA"/>
    <w:rsid w:val="001F4C81"/>
    <w:rsid w:val="001F75E2"/>
    <w:rsid w:val="00203272"/>
    <w:rsid w:val="00204027"/>
    <w:rsid w:val="002045BB"/>
    <w:rsid w:val="00205424"/>
    <w:rsid w:val="00206A7A"/>
    <w:rsid w:val="002075F4"/>
    <w:rsid w:val="002112AA"/>
    <w:rsid w:val="00211928"/>
    <w:rsid w:val="00212122"/>
    <w:rsid w:val="00212592"/>
    <w:rsid w:val="00213A56"/>
    <w:rsid w:val="00214E07"/>
    <w:rsid w:val="00217A14"/>
    <w:rsid w:val="00217A4C"/>
    <w:rsid w:val="002213E2"/>
    <w:rsid w:val="00221CA7"/>
    <w:rsid w:val="00222ECF"/>
    <w:rsid w:val="002235EB"/>
    <w:rsid w:val="00224D4A"/>
    <w:rsid w:val="00225425"/>
    <w:rsid w:val="0022562B"/>
    <w:rsid w:val="002257A6"/>
    <w:rsid w:val="00226A70"/>
    <w:rsid w:val="002302B7"/>
    <w:rsid w:val="0023052D"/>
    <w:rsid w:val="00231BE9"/>
    <w:rsid w:val="00234711"/>
    <w:rsid w:val="00234EA2"/>
    <w:rsid w:val="00235923"/>
    <w:rsid w:val="00235BD5"/>
    <w:rsid w:val="00240718"/>
    <w:rsid w:val="00240C74"/>
    <w:rsid w:val="00241C97"/>
    <w:rsid w:val="00242321"/>
    <w:rsid w:val="00242709"/>
    <w:rsid w:val="002445E4"/>
    <w:rsid w:val="00245851"/>
    <w:rsid w:val="0024793B"/>
    <w:rsid w:val="00250D69"/>
    <w:rsid w:val="0025169E"/>
    <w:rsid w:val="00255DC8"/>
    <w:rsid w:val="0025643A"/>
    <w:rsid w:val="00256C40"/>
    <w:rsid w:val="00256ED0"/>
    <w:rsid w:val="00257EE2"/>
    <w:rsid w:val="00261BC7"/>
    <w:rsid w:val="00262E44"/>
    <w:rsid w:val="00263240"/>
    <w:rsid w:val="00264C7F"/>
    <w:rsid w:val="002656F5"/>
    <w:rsid w:val="0027067F"/>
    <w:rsid w:val="00270B43"/>
    <w:rsid w:val="00270DCB"/>
    <w:rsid w:val="0027107D"/>
    <w:rsid w:val="002736FF"/>
    <w:rsid w:val="002751DD"/>
    <w:rsid w:val="00283445"/>
    <w:rsid w:val="002842DC"/>
    <w:rsid w:val="0028580A"/>
    <w:rsid w:val="00290A8C"/>
    <w:rsid w:val="00291A22"/>
    <w:rsid w:val="0029289D"/>
    <w:rsid w:val="00293B0A"/>
    <w:rsid w:val="00296768"/>
    <w:rsid w:val="00296C77"/>
    <w:rsid w:val="002A0E88"/>
    <w:rsid w:val="002A5B2D"/>
    <w:rsid w:val="002A6152"/>
    <w:rsid w:val="002A7889"/>
    <w:rsid w:val="002A7C0D"/>
    <w:rsid w:val="002B02AF"/>
    <w:rsid w:val="002B032D"/>
    <w:rsid w:val="002B1F68"/>
    <w:rsid w:val="002B21B0"/>
    <w:rsid w:val="002B2A37"/>
    <w:rsid w:val="002B454C"/>
    <w:rsid w:val="002B477D"/>
    <w:rsid w:val="002B4BD8"/>
    <w:rsid w:val="002B737D"/>
    <w:rsid w:val="002C25C4"/>
    <w:rsid w:val="002C4B47"/>
    <w:rsid w:val="002C4E0C"/>
    <w:rsid w:val="002C67AE"/>
    <w:rsid w:val="002C6B25"/>
    <w:rsid w:val="002D34B6"/>
    <w:rsid w:val="002D3BA3"/>
    <w:rsid w:val="002D4B86"/>
    <w:rsid w:val="002D5417"/>
    <w:rsid w:val="002D6322"/>
    <w:rsid w:val="002D7FA3"/>
    <w:rsid w:val="002E2EA6"/>
    <w:rsid w:val="002E3153"/>
    <w:rsid w:val="002E31D7"/>
    <w:rsid w:val="002E3402"/>
    <w:rsid w:val="002E39E3"/>
    <w:rsid w:val="002E57F4"/>
    <w:rsid w:val="002E658C"/>
    <w:rsid w:val="002E7462"/>
    <w:rsid w:val="002E77AC"/>
    <w:rsid w:val="002F122F"/>
    <w:rsid w:val="002F235E"/>
    <w:rsid w:val="002F4D94"/>
    <w:rsid w:val="002F63B1"/>
    <w:rsid w:val="002F6DB9"/>
    <w:rsid w:val="002F7B14"/>
    <w:rsid w:val="00302B53"/>
    <w:rsid w:val="00302F41"/>
    <w:rsid w:val="003040CD"/>
    <w:rsid w:val="003052B8"/>
    <w:rsid w:val="0030589C"/>
    <w:rsid w:val="00315ADC"/>
    <w:rsid w:val="0031605D"/>
    <w:rsid w:val="003213C7"/>
    <w:rsid w:val="00322215"/>
    <w:rsid w:val="00322B1D"/>
    <w:rsid w:val="003239B8"/>
    <w:rsid w:val="00323B90"/>
    <w:rsid w:val="00323F25"/>
    <w:rsid w:val="00324AFB"/>
    <w:rsid w:val="00326153"/>
    <w:rsid w:val="00327763"/>
    <w:rsid w:val="00332369"/>
    <w:rsid w:val="00337412"/>
    <w:rsid w:val="00337A97"/>
    <w:rsid w:val="003401B6"/>
    <w:rsid w:val="003419C7"/>
    <w:rsid w:val="003428B3"/>
    <w:rsid w:val="0034347C"/>
    <w:rsid w:val="00343A0F"/>
    <w:rsid w:val="00344EE1"/>
    <w:rsid w:val="003463C7"/>
    <w:rsid w:val="00347707"/>
    <w:rsid w:val="003505E4"/>
    <w:rsid w:val="003509A5"/>
    <w:rsid w:val="003517A7"/>
    <w:rsid w:val="003527A1"/>
    <w:rsid w:val="00354AD1"/>
    <w:rsid w:val="00354DF5"/>
    <w:rsid w:val="00355520"/>
    <w:rsid w:val="00356651"/>
    <w:rsid w:val="003605EB"/>
    <w:rsid w:val="00360E7E"/>
    <w:rsid w:val="0036210E"/>
    <w:rsid w:val="0036552B"/>
    <w:rsid w:val="00372BE4"/>
    <w:rsid w:val="00373D52"/>
    <w:rsid w:val="00375BC6"/>
    <w:rsid w:val="00377029"/>
    <w:rsid w:val="003772E2"/>
    <w:rsid w:val="003818A3"/>
    <w:rsid w:val="00381E9C"/>
    <w:rsid w:val="0038352D"/>
    <w:rsid w:val="00383949"/>
    <w:rsid w:val="00383B40"/>
    <w:rsid w:val="00383E10"/>
    <w:rsid w:val="003845BC"/>
    <w:rsid w:val="00385FA8"/>
    <w:rsid w:val="00390B99"/>
    <w:rsid w:val="00391188"/>
    <w:rsid w:val="00391821"/>
    <w:rsid w:val="00392AEA"/>
    <w:rsid w:val="00393127"/>
    <w:rsid w:val="00397E3D"/>
    <w:rsid w:val="003A0E93"/>
    <w:rsid w:val="003A363C"/>
    <w:rsid w:val="003A6472"/>
    <w:rsid w:val="003A6C6A"/>
    <w:rsid w:val="003A7CED"/>
    <w:rsid w:val="003B02F5"/>
    <w:rsid w:val="003B203C"/>
    <w:rsid w:val="003B3F3C"/>
    <w:rsid w:val="003C05DF"/>
    <w:rsid w:val="003C412D"/>
    <w:rsid w:val="003C749E"/>
    <w:rsid w:val="003D0974"/>
    <w:rsid w:val="003D0E28"/>
    <w:rsid w:val="003D2A3E"/>
    <w:rsid w:val="003D34DD"/>
    <w:rsid w:val="003D6FA2"/>
    <w:rsid w:val="003D7B8C"/>
    <w:rsid w:val="003E005F"/>
    <w:rsid w:val="003E589E"/>
    <w:rsid w:val="003F0CE7"/>
    <w:rsid w:val="003F124E"/>
    <w:rsid w:val="003F6077"/>
    <w:rsid w:val="003F6467"/>
    <w:rsid w:val="004000C9"/>
    <w:rsid w:val="0040012B"/>
    <w:rsid w:val="004003A2"/>
    <w:rsid w:val="004009A1"/>
    <w:rsid w:val="004010C8"/>
    <w:rsid w:val="00402911"/>
    <w:rsid w:val="00403142"/>
    <w:rsid w:val="00404B2F"/>
    <w:rsid w:val="00404BC0"/>
    <w:rsid w:val="0041308F"/>
    <w:rsid w:val="0041649D"/>
    <w:rsid w:val="0042008D"/>
    <w:rsid w:val="00421780"/>
    <w:rsid w:val="0042257B"/>
    <w:rsid w:val="00423456"/>
    <w:rsid w:val="00423596"/>
    <w:rsid w:val="0042503D"/>
    <w:rsid w:val="00425481"/>
    <w:rsid w:val="00425527"/>
    <w:rsid w:val="004260C3"/>
    <w:rsid w:val="00426C5B"/>
    <w:rsid w:val="00426D0A"/>
    <w:rsid w:val="00430002"/>
    <w:rsid w:val="00431BA6"/>
    <w:rsid w:val="00432102"/>
    <w:rsid w:val="00432838"/>
    <w:rsid w:val="004341DA"/>
    <w:rsid w:val="0044155A"/>
    <w:rsid w:val="004419E0"/>
    <w:rsid w:val="00442394"/>
    <w:rsid w:val="004434D1"/>
    <w:rsid w:val="004442D6"/>
    <w:rsid w:val="00445055"/>
    <w:rsid w:val="00446F0E"/>
    <w:rsid w:val="00451ACC"/>
    <w:rsid w:val="00451FBA"/>
    <w:rsid w:val="0045313D"/>
    <w:rsid w:val="00454299"/>
    <w:rsid w:val="00454336"/>
    <w:rsid w:val="0045552A"/>
    <w:rsid w:val="00455AE6"/>
    <w:rsid w:val="004563A8"/>
    <w:rsid w:val="00456928"/>
    <w:rsid w:val="00456A1F"/>
    <w:rsid w:val="00456BF9"/>
    <w:rsid w:val="004574CC"/>
    <w:rsid w:val="00457B92"/>
    <w:rsid w:val="0046035D"/>
    <w:rsid w:val="00461566"/>
    <w:rsid w:val="00461ED1"/>
    <w:rsid w:val="004625B3"/>
    <w:rsid w:val="00462DB3"/>
    <w:rsid w:val="00463280"/>
    <w:rsid w:val="004635A4"/>
    <w:rsid w:val="00463D36"/>
    <w:rsid w:val="00464ADE"/>
    <w:rsid w:val="004707AB"/>
    <w:rsid w:val="00471D2D"/>
    <w:rsid w:val="0047381A"/>
    <w:rsid w:val="00473844"/>
    <w:rsid w:val="00475478"/>
    <w:rsid w:val="00475860"/>
    <w:rsid w:val="00476F2F"/>
    <w:rsid w:val="00480A9A"/>
    <w:rsid w:val="0048105B"/>
    <w:rsid w:val="004826F2"/>
    <w:rsid w:val="00482E71"/>
    <w:rsid w:val="00484230"/>
    <w:rsid w:val="00484BD3"/>
    <w:rsid w:val="0048704C"/>
    <w:rsid w:val="00487752"/>
    <w:rsid w:val="00487B76"/>
    <w:rsid w:val="0049103F"/>
    <w:rsid w:val="004914CC"/>
    <w:rsid w:val="004919DD"/>
    <w:rsid w:val="00492689"/>
    <w:rsid w:val="00492E87"/>
    <w:rsid w:val="0049330E"/>
    <w:rsid w:val="00497BC8"/>
    <w:rsid w:val="004A0DF0"/>
    <w:rsid w:val="004A1E0B"/>
    <w:rsid w:val="004A319E"/>
    <w:rsid w:val="004A3238"/>
    <w:rsid w:val="004A3E30"/>
    <w:rsid w:val="004A7B07"/>
    <w:rsid w:val="004B1CA8"/>
    <w:rsid w:val="004B4643"/>
    <w:rsid w:val="004B47E4"/>
    <w:rsid w:val="004B507E"/>
    <w:rsid w:val="004B5184"/>
    <w:rsid w:val="004B55B8"/>
    <w:rsid w:val="004B5E32"/>
    <w:rsid w:val="004B5E3B"/>
    <w:rsid w:val="004B6719"/>
    <w:rsid w:val="004C09FB"/>
    <w:rsid w:val="004C10A0"/>
    <w:rsid w:val="004C23E7"/>
    <w:rsid w:val="004C48A7"/>
    <w:rsid w:val="004C5366"/>
    <w:rsid w:val="004C5D3F"/>
    <w:rsid w:val="004C691A"/>
    <w:rsid w:val="004C6DA1"/>
    <w:rsid w:val="004C73E1"/>
    <w:rsid w:val="004C7FD3"/>
    <w:rsid w:val="004D0E00"/>
    <w:rsid w:val="004D0E81"/>
    <w:rsid w:val="004D3E53"/>
    <w:rsid w:val="004D4D8E"/>
    <w:rsid w:val="004D65E2"/>
    <w:rsid w:val="004D7B00"/>
    <w:rsid w:val="004E1968"/>
    <w:rsid w:val="004E1E74"/>
    <w:rsid w:val="004E33CF"/>
    <w:rsid w:val="004E39EC"/>
    <w:rsid w:val="004E501F"/>
    <w:rsid w:val="004E5022"/>
    <w:rsid w:val="004E7744"/>
    <w:rsid w:val="004F0FEA"/>
    <w:rsid w:val="004F15FF"/>
    <w:rsid w:val="004F2A34"/>
    <w:rsid w:val="004F33BC"/>
    <w:rsid w:val="004F5549"/>
    <w:rsid w:val="004F555D"/>
    <w:rsid w:val="00500A6D"/>
    <w:rsid w:val="00501224"/>
    <w:rsid w:val="00501AB7"/>
    <w:rsid w:val="00501CE5"/>
    <w:rsid w:val="00502C09"/>
    <w:rsid w:val="00503FED"/>
    <w:rsid w:val="0050513F"/>
    <w:rsid w:val="00505627"/>
    <w:rsid w:val="00506829"/>
    <w:rsid w:val="0051299F"/>
    <w:rsid w:val="005138F1"/>
    <w:rsid w:val="005156A9"/>
    <w:rsid w:val="0051766B"/>
    <w:rsid w:val="00520F09"/>
    <w:rsid w:val="005227A0"/>
    <w:rsid w:val="00523163"/>
    <w:rsid w:val="00523B45"/>
    <w:rsid w:val="0052740A"/>
    <w:rsid w:val="0052746D"/>
    <w:rsid w:val="005309E8"/>
    <w:rsid w:val="00531B09"/>
    <w:rsid w:val="00532309"/>
    <w:rsid w:val="00532B7B"/>
    <w:rsid w:val="005330F6"/>
    <w:rsid w:val="00533DF5"/>
    <w:rsid w:val="005346D9"/>
    <w:rsid w:val="00537502"/>
    <w:rsid w:val="0054065E"/>
    <w:rsid w:val="00541589"/>
    <w:rsid w:val="00543BF5"/>
    <w:rsid w:val="005455E4"/>
    <w:rsid w:val="00545FB9"/>
    <w:rsid w:val="00547712"/>
    <w:rsid w:val="00550DF7"/>
    <w:rsid w:val="005524B7"/>
    <w:rsid w:val="005531FF"/>
    <w:rsid w:val="0055349E"/>
    <w:rsid w:val="005573A4"/>
    <w:rsid w:val="005577CD"/>
    <w:rsid w:val="00557DAA"/>
    <w:rsid w:val="005613C5"/>
    <w:rsid w:val="00561C62"/>
    <w:rsid w:val="0056220E"/>
    <w:rsid w:val="005640A1"/>
    <w:rsid w:val="0056651C"/>
    <w:rsid w:val="00566F5D"/>
    <w:rsid w:val="00566FD6"/>
    <w:rsid w:val="005707C3"/>
    <w:rsid w:val="00571AEA"/>
    <w:rsid w:val="005724FB"/>
    <w:rsid w:val="00574167"/>
    <w:rsid w:val="005752DC"/>
    <w:rsid w:val="00575BDC"/>
    <w:rsid w:val="005771CD"/>
    <w:rsid w:val="00581DA5"/>
    <w:rsid w:val="005823B9"/>
    <w:rsid w:val="0058350C"/>
    <w:rsid w:val="00583977"/>
    <w:rsid w:val="00584DE2"/>
    <w:rsid w:val="00587278"/>
    <w:rsid w:val="00587C0B"/>
    <w:rsid w:val="00590513"/>
    <w:rsid w:val="00590579"/>
    <w:rsid w:val="0059071A"/>
    <w:rsid w:val="00590D34"/>
    <w:rsid w:val="00592D19"/>
    <w:rsid w:val="00592DF3"/>
    <w:rsid w:val="005932C6"/>
    <w:rsid w:val="00596B03"/>
    <w:rsid w:val="005A0BF2"/>
    <w:rsid w:val="005A0E6A"/>
    <w:rsid w:val="005A2747"/>
    <w:rsid w:val="005A2E7F"/>
    <w:rsid w:val="005A35A2"/>
    <w:rsid w:val="005A3AAA"/>
    <w:rsid w:val="005A3AE1"/>
    <w:rsid w:val="005A4CAA"/>
    <w:rsid w:val="005A5AE9"/>
    <w:rsid w:val="005A6213"/>
    <w:rsid w:val="005A76B5"/>
    <w:rsid w:val="005B05C8"/>
    <w:rsid w:val="005B15EA"/>
    <w:rsid w:val="005B1A9E"/>
    <w:rsid w:val="005B357E"/>
    <w:rsid w:val="005B4152"/>
    <w:rsid w:val="005B454C"/>
    <w:rsid w:val="005B4842"/>
    <w:rsid w:val="005B54BD"/>
    <w:rsid w:val="005B5AB5"/>
    <w:rsid w:val="005B5E6A"/>
    <w:rsid w:val="005B7AE8"/>
    <w:rsid w:val="005C1614"/>
    <w:rsid w:val="005C2A8F"/>
    <w:rsid w:val="005C30D4"/>
    <w:rsid w:val="005C3A6F"/>
    <w:rsid w:val="005C3DA0"/>
    <w:rsid w:val="005C3DC3"/>
    <w:rsid w:val="005C751E"/>
    <w:rsid w:val="005D0D21"/>
    <w:rsid w:val="005D3379"/>
    <w:rsid w:val="005D3BA7"/>
    <w:rsid w:val="005D3D06"/>
    <w:rsid w:val="005D58FC"/>
    <w:rsid w:val="005D6521"/>
    <w:rsid w:val="005D6854"/>
    <w:rsid w:val="005E112D"/>
    <w:rsid w:val="005E1ECE"/>
    <w:rsid w:val="005E20B5"/>
    <w:rsid w:val="005E2915"/>
    <w:rsid w:val="005E43C3"/>
    <w:rsid w:val="005E492D"/>
    <w:rsid w:val="005E49A4"/>
    <w:rsid w:val="005E512C"/>
    <w:rsid w:val="005E5241"/>
    <w:rsid w:val="005E55C8"/>
    <w:rsid w:val="005E56DA"/>
    <w:rsid w:val="005F0716"/>
    <w:rsid w:val="005F11C5"/>
    <w:rsid w:val="005F35E5"/>
    <w:rsid w:val="005F4191"/>
    <w:rsid w:val="005F6469"/>
    <w:rsid w:val="005F71A8"/>
    <w:rsid w:val="005F7711"/>
    <w:rsid w:val="00601709"/>
    <w:rsid w:val="00602557"/>
    <w:rsid w:val="00602EAF"/>
    <w:rsid w:val="00603EAD"/>
    <w:rsid w:val="0060414E"/>
    <w:rsid w:val="006053CA"/>
    <w:rsid w:val="0060753A"/>
    <w:rsid w:val="00607A37"/>
    <w:rsid w:val="00611612"/>
    <w:rsid w:val="0061486A"/>
    <w:rsid w:val="00614A6F"/>
    <w:rsid w:val="006158A9"/>
    <w:rsid w:val="006160F3"/>
    <w:rsid w:val="00616C57"/>
    <w:rsid w:val="00617944"/>
    <w:rsid w:val="00627395"/>
    <w:rsid w:val="00630DF3"/>
    <w:rsid w:val="00631BC3"/>
    <w:rsid w:val="0063352A"/>
    <w:rsid w:val="00633932"/>
    <w:rsid w:val="006342B7"/>
    <w:rsid w:val="006356A6"/>
    <w:rsid w:val="00636189"/>
    <w:rsid w:val="00636540"/>
    <w:rsid w:val="00637A7A"/>
    <w:rsid w:val="006411B1"/>
    <w:rsid w:val="00646257"/>
    <w:rsid w:val="0065051D"/>
    <w:rsid w:val="00650C36"/>
    <w:rsid w:val="006519DB"/>
    <w:rsid w:val="00651E26"/>
    <w:rsid w:val="00652CF1"/>
    <w:rsid w:val="00653C48"/>
    <w:rsid w:val="0065409D"/>
    <w:rsid w:val="00655078"/>
    <w:rsid w:val="00655CED"/>
    <w:rsid w:val="00656322"/>
    <w:rsid w:val="00660861"/>
    <w:rsid w:val="00660F38"/>
    <w:rsid w:val="00661116"/>
    <w:rsid w:val="0066324D"/>
    <w:rsid w:val="006702D7"/>
    <w:rsid w:val="00670E7B"/>
    <w:rsid w:val="00672DA4"/>
    <w:rsid w:val="00672F00"/>
    <w:rsid w:val="00675E01"/>
    <w:rsid w:val="00676838"/>
    <w:rsid w:val="00680C66"/>
    <w:rsid w:val="00681C35"/>
    <w:rsid w:val="006825B5"/>
    <w:rsid w:val="00682FF0"/>
    <w:rsid w:val="006866BA"/>
    <w:rsid w:val="00690A5E"/>
    <w:rsid w:val="00691A6A"/>
    <w:rsid w:val="00692D9A"/>
    <w:rsid w:val="00694519"/>
    <w:rsid w:val="00695EA4"/>
    <w:rsid w:val="00697AA7"/>
    <w:rsid w:val="006A193A"/>
    <w:rsid w:val="006A76A3"/>
    <w:rsid w:val="006A7ECA"/>
    <w:rsid w:val="006B0660"/>
    <w:rsid w:val="006B1F19"/>
    <w:rsid w:val="006B5110"/>
    <w:rsid w:val="006B5BC9"/>
    <w:rsid w:val="006B5F55"/>
    <w:rsid w:val="006C0882"/>
    <w:rsid w:val="006C47D7"/>
    <w:rsid w:val="006C57D2"/>
    <w:rsid w:val="006D3013"/>
    <w:rsid w:val="006D62EC"/>
    <w:rsid w:val="006D6BD5"/>
    <w:rsid w:val="006E1681"/>
    <w:rsid w:val="006E1A43"/>
    <w:rsid w:val="006E2DDF"/>
    <w:rsid w:val="006E77BF"/>
    <w:rsid w:val="006F2A34"/>
    <w:rsid w:val="006F3B7A"/>
    <w:rsid w:val="006F4BBD"/>
    <w:rsid w:val="00700106"/>
    <w:rsid w:val="00700C81"/>
    <w:rsid w:val="00700CE8"/>
    <w:rsid w:val="00701402"/>
    <w:rsid w:val="00701513"/>
    <w:rsid w:val="0070370D"/>
    <w:rsid w:val="00703854"/>
    <w:rsid w:val="0070466F"/>
    <w:rsid w:val="00704EFD"/>
    <w:rsid w:val="0070512B"/>
    <w:rsid w:val="00707C12"/>
    <w:rsid w:val="00710084"/>
    <w:rsid w:val="00710868"/>
    <w:rsid w:val="00712BD6"/>
    <w:rsid w:val="00713AC0"/>
    <w:rsid w:val="00715085"/>
    <w:rsid w:val="0071551C"/>
    <w:rsid w:val="007157ED"/>
    <w:rsid w:val="00716AF6"/>
    <w:rsid w:val="00722CAE"/>
    <w:rsid w:val="007234C7"/>
    <w:rsid w:val="00725E45"/>
    <w:rsid w:val="00726325"/>
    <w:rsid w:val="0072723F"/>
    <w:rsid w:val="00727D0A"/>
    <w:rsid w:val="00727F38"/>
    <w:rsid w:val="00730AAA"/>
    <w:rsid w:val="00732F13"/>
    <w:rsid w:val="007344A5"/>
    <w:rsid w:val="00735D97"/>
    <w:rsid w:val="00736BD0"/>
    <w:rsid w:val="00740911"/>
    <w:rsid w:val="007421F3"/>
    <w:rsid w:val="00743E3A"/>
    <w:rsid w:val="0074635F"/>
    <w:rsid w:val="007466F7"/>
    <w:rsid w:val="0074687A"/>
    <w:rsid w:val="007472C3"/>
    <w:rsid w:val="007509A3"/>
    <w:rsid w:val="00751416"/>
    <w:rsid w:val="00752159"/>
    <w:rsid w:val="007552D8"/>
    <w:rsid w:val="00760157"/>
    <w:rsid w:val="00760956"/>
    <w:rsid w:val="007614C3"/>
    <w:rsid w:val="00766F32"/>
    <w:rsid w:val="007705B6"/>
    <w:rsid w:val="00770DD7"/>
    <w:rsid w:val="00770E90"/>
    <w:rsid w:val="0077235F"/>
    <w:rsid w:val="007724C4"/>
    <w:rsid w:val="00772A10"/>
    <w:rsid w:val="00774633"/>
    <w:rsid w:val="00776CEF"/>
    <w:rsid w:val="007773DD"/>
    <w:rsid w:val="0078047D"/>
    <w:rsid w:val="00780DC4"/>
    <w:rsid w:val="0078331F"/>
    <w:rsid w:val="00783F7A"/>
    <w:rsid w:val="007845A7"/>
    <w:rsid w:val="007855F0"/>
    <w:rsid w:val="00787B7D"/>
    <w:rsid w:val="00794655"/>
    <w:rsid w:val="00795433"/>
    <w:rsid w:val="00795E42"/>
    <w:rsid w:val="00796115"/>
    <w:rsid w:val="00796807"/>
    <w:rsid w:val="0079779A"/>
    <w:rsid w:val="007A10F3"/>
    <w:rsid w:val="007A1326"/>
    <w:rsid w:val="007A259A"/>
    <w:rsid w:val="007A323C"/>
    <w:rsid w:val="007A3FE4"/>
    <w:rsid w:val="007A46BB"/>
    <w:rsid w:val="007A56AB"/>
    <w:rsid w:val="007A68D9"/>
    <w:rsid w:val="007A70B2"/>
    <w:rsid w:val="007B17AB"/>
    <w:rsid w:val="007B4C66"/>
    <w:rsid w:val="007B6A17"/>
    <w:rsid w:val="007C1164"/>
    <w:rsid w:val="007C1754"/>
    <w:rsid w:val="007C4763"/>
    <w:rsid w:val="007C4CCE"/>
    <w:rsid w:val="007C6793"/>
    <w:rsid w:val="007C6C6B"/>
    <w:rsid w:val="007D0BBE"/>
    <w:rsid w:val="007D240E"/>
    <w:rsid w:val="007D2A7A"/>
    <w:rsid w:val="007D2AF9"/>
    <w:rsid w:val="007D3344"/>
    <w:rsid w:val="007D7207"/>
    <w:rsid w:val="007E0DFD"/>
    <w:rsid w:val="007E3B57"/>
    <w:rsid w:val="007E3FB6"/>
    <w:rsid w:val="007E5CEC"/>
    <w:rsid w:val="007E5EFA"/>
    <w:rsid w:val="007F2124"/>
    <w:rsid w:val="007F29E9"/>
    <w:rsid w:val="007F3556"/>
    <w:rsid w:val="007F3EAE"/>
    <w:rsid w:val="007F3FF5"/>
    <w:rsid w:val="007F4894"/>
    <w:rsid w:val="007F7F35"/>
    <w:rsid w:val="00800879"/>
    <w:rsid w:val="00800FDC"/>
    <w:rsid w:val="008028FE"/>
    <w:rsid w:val="00802A0F"/>
    <w:rsid w:val="00802BF5"/>
    <w:rsid w:val="00803060"/>
    <w:rsid w:val="00803BFB"/>
    <w:rsid w:val="00803D96"/>
    <w:rsid w:val="00804B49"/>
    <w:rsid w:val="00805595"/>
    <w:rsid w:val="008055BA"/>
    <w:rsid w:val="00805654"/>
    <w:rsid w:val="00805746"/>
    <w:rsid w:val="0080785D"/>
    <w:rsid w:val="0081043D"/>
    <w:rsid w:val="00811506"/>
    <w:rsid w:val="00812BDE"/>
    <w:rsid w:val="00814A3B"/>
    <w:rsid w:val="00817048"/>
    <w:rsid w:val="0081711E"/>
    <w:rsid w:val="0082084D"/>
    <w:rsid w:val="00821FE2"/>
    <w:rsid w:val="008229A8"/>
    <w:rsid w:val="00823EB3"/>
    <w:rsid w:val="00824278"/>
    <w:rsid w:val="0082428F"/>
    <w:rsid w:val="008248C0"/>
    <w:rsid w:val="008307CA"/>
    <w:rsid w:val="00833843"/>
    <w:rsid w:val="008339BC"/>
    <w:rsid w:val="00833AAA"/>
    <w:rsid w:val="00833B14"/>
    <w:rsid w:val="00837CA2"/>
    <w:rsid w:val="00837DB4"/>
    <w:rsid w:val="008401F8"/>
    <w:rsid w:val="00841F7B"/>
    <w:rsid w:val="00843222"/>
    <w:rsid w:val="0084376A"/>
    <w:rsid w:val="00843C8F"/>
    <w:rsid w:val="00844DCF"/>
    <w:rsid w:val="00845932"/>
    <w:rsid w:val="00847A32"/>
    <w:rsid w:val="00851655"/>
    <w:rsid w:val="0085215D"/>
    <w:rsid w:val="00854198"/>
    <w:rsid w:val="00854781"/>
    <w:rsid w:val="00855D7D"/>
    <w:rsid w:val="008560DA"/>
    <w:rsid w:val="00856727"/>
    <w:rsid w:val="008602FD"/>
    <w:rsid w:val="008605D8"/>
    <w:rsid w:val="00861A9A"/>
    <w:rsid w:val="00862CEA"/>
    <w:rsid w:val="00862D61"/>
    <w:rsid w:val="00863473"/>
    <w:rsid w:val="0086393D"/>
    <w:rsid w:val="00864796"/>
    <w:rsid w:val="0086600F"/>
    <w:rsid w:val="008676CE"/>
    <w:rsid w:val="00867C94"/>
    <w:rsid w:val="00870883"/>
    <w:rsid w:val="00874620"/>
    <w:rsid w:val="008758D4"/>
    <w:rsid w:val="00876769"/>
    <w:rsid w:val="00876A0C"/>
    <w:rsid w:val="0088041F"/>
    <w:rsid w:val="00881C01"/>
    <w:rsid w:val="00882D5E"/>
    <w:rsid w:val="00884E40"/>
    <w:rsid w:val="00886214"/>
    <w:rsid w:val="008871D1"/>
    <w:rsid w:val="0089037B"/>
    <w:rsid w:val="00890906"/>
    <w:rsid w:val="00891CE5"/>
    <w:rsid w:val="00892D54"/>
    <w:rsid w:val="0089604E"/>
    <w:rsid w:val="008973A6"/>
    <w:rsid w:val="008978D2"/>
    <w:rsid w:val="00897C6A"/>
    <w:rsid w:val="008A04E2"/>
    <w:rsid w:val="008A1CD9"/>
    <w:rsid w:val="008A27E0"/>
    <w:rsid w:val="008A2AFE"/>
    <w:rsid w:val="008A3158"/>
    <w:rsid w:val="008A613A"/>
    <w:rsid w:val="008A6737"/>
    <w:rsid w:val="008B0623"/>
    <w:rsid w:val="008B0920"/>
    <w:rsid w:val="008B0F65"/>
    <w:rsid w:val="008B1EF6"/>
    <w:rsid w:val="008B2503"/>
    <w:rsid w:val="008B27A2"/>
    <w:rsid w:val="008B29D6"/>
    <w:rsid w:val="008B5D4A"/>
    <w:rsid w:val="008B6F0C"/>
    <w:rsid w:val="008C32E6"/>
    <w:rsid w:val="008C3C78"/>
    <w:rsid w:val="008C3FAD"/>
    <w:rsid w:val="008C42AE"/>
    <w:rsid w:val="008C4FC9"/>
    <w:rsid w:val="008C539B"/>
    <w:rsid w:val="008C5F9C"/>
    <w:rsid w:val="008C784E"/>
    <w:rsid w:val="008C7938"/>
    <w:rsid w:val="008D13DA"/>
    <w:rsid w:val="008D1A88"/>
    <w:rsid w:val="008D44EB"/>
    <w:rsid w:val="008D5266"/>
    <w:rsid w:val="008D57F1"/>
    <w:rsid w:val="008D7991"/>
    <w:rsid w:val="008D7E58"/>
    <w:rsid w:val="008E077D"/>
    <w:rsid w:val="008E17F4"/>
    <w:rsid w:val="008E1EAF"/>
    <w:rsid w:val="008E20FC"/>
    <w:rsid w:val="008E26FA"/>
    <w:rsid w:val="008E27A4"/>
    <w:rsid w:val="008E357D"/>
    <w:rsid w:val="008E35AB"/>
    <w:rsid w:val="008E4CDA"/>
    <w:rsid w:val="008E7C38"/>
    <w:rsid w:val="008F1A15"/>
    <w:rsid w:val="008F1C49"/>
    <w:rsid w:val="008F452F"/>
    <w:rsid w:val="008F5D2B"/>
    <w:rsid w:val="008F64F7"/>
    <w:rsid w:val="008F70B9"/>
    <w:rsid w:val="008F7634"/>
    <w:rsid w:val="00900DBA"/>
    <w:rsid w:val="0090238A"/>
    <w:rsid w:val="00902874"/>
    <w:rsid w:val="00902C81"/>
    <w:rsid w:val="00902D3F"/>
    <w:rsid w:val="00902DDF"/>
    <w:rsid w:val="009034FD"/>
    <w:rsid w:val="00904833"/>
    <w:rsid w:val="0090595B"/>
    <w:rsid w:val="009065CB"/>
    <w:rsid w:val="00911315"/>
    <w:rsid w:val="0091166E"/>
    <w:rsid w:val="00913901"/>
    <w:rsid w:val="009177D7"/>
    <w:rsid w:val="00921333"/>
    <w:rsid w:val="009229F5"/>
    <w:rsid w:val="00923D67"/>
    <w:rsid w:val="009240C5"/>
    <w:rsid w:val="009270F3"/>
    <w:rsid w:val="00927316"/>
    <w:rsid w:val="009314D5"/>
    <w:rsid w:val="0093240D"/>
    <w:rsid w:val="009375E6"/>
    <w:rsid w:val="00942B80"/>
    <w:rsid w:val="0094330F"/>
    <w:rsid w:val="00943D20"/>
    <w:rsid w:val="00944096"/>
    <w:rsid w:val="00944D50"/>
    <w:rsid w:val="00946843"/>
    <w:rsid w:val="0094775B"/>
    <w:rsid w:val="009509D7"/>
    <w:rsid w:val="00950CD2"/>
    <w:rsid w:val="00950D17"/>
    <w:rsid w:val="009517F2"/>
    <w:rsid w:val="00952937"/>
    <w:rsid w:val="00954413"/>
    <w:rsid w:val="0095615B"/>
    <w:rsid w:val="009562A7"/>
    <w:rsid w:val="00956925"/>
    <w:rsid w:val="00963AE2"/>
    <w:rsid w:val="009640A0"/>
    <w:rsid w:val="00965451"/>
    <w:rsid w:val="00967710"/>
    <w:rsid w:val="009724D7"/>
    <w:rsid w:val="00973B13"/>
    <w:rsid w:val="00974DD1"/>
    <w:rsid w:val="00974F77"/>
    <w:rsid w:val="00975B12"/>
    <w:rsid w:val="00976B16"/>
    <w:rsid w:val="00980D53"/>
    <w:rsid w:val="009838DB"/>
    <w:rsid w:val="0098414A"/>
    <w:rsid w:val="00984951"/>
    <w:rsid w:val="009857D7"/>
    <w:rsid w:val="0099064D"/>
    <w:rsid w:val="00991C99"/>
    <w:rsid w:val="00992619"/>
    <w:rsid w:val="00992656"/>
    <w:rsid w:val="009930C3"/>
    <w:rsid w:val="009933CF"/>
    <w:rsid w:val="009948F5"/>
    <w:rsid w:val="00994F6E"/>
    <w:rsid w:val="009A1B72"/>
    <w:rsid w:val="009A2021"/>
    <w:rsid w:val="009A652D"/>
    <w:rsid w:val="009B0718"/>
    <w:rsid w:val="009B1ECB"/>
    <w:rsid w:val="009B64CE"/>
    <w:rsid w:val="009B7E07"/>
    <w:rsid w:val="009C25A2"/>
    <w:rsid w:val="009C57E1"/>
    <w:rsid w:val="009C6DDF"/>
    <w:rsid w:val="009D0592"/>
    <w:rsid w:val="009D1B65"/>
    <w:rsid w:val="009D1CA6"/>
    <w:rsid w:val="009D3B7F"/>
    <w:rsid w:val="009D6050"/>
    <w:rsid w:val="009E10E1"/>
    <w:rsid w:val="009E3192"/>
    <w:rsid w:val="009F0FB6"/>
    <w:rsid w:val="009F39A7"/>
    <w:rsid w:val="009F40FE"/>
    <w:rsid w:val="009F4236"/>
    <w:rsid w:val="009F42D7"/>
    <w:rsid w:val="00A0368C"/>
    <w:rsid w:val="00A05A1F"/>
    <w:rsid w:val="00A06C2E"/>
    <w:rsid w:val="00A07D1D"/>
    <w:rsid w:val="00A122E1"/>
    <w:rsid w:val="00A1368A"/>
    <w:rsid w:val="00A1406D"/>
    <w:rsid w:val="00A1699A"/>
    <w:rsid w:val="00A178F2"/>
    <w:rsid w:val="00A17ED3"/>
    <w:rsid w:val="00A210EF"/>
    <w:rsid w:val="00A22B2A"/>
    <w:rsid w:val="00A25441"/>
    <w:rsid w:val="00A25654"/>
    <w:rsid w:val="00A25A6E"/>
    <w:rsid w:val="00A2640B"/>
    <w:rsid w:val="00A30706"/>
    <w:rsid w:val="00A33D65"/>
    <w:rsid w:val="00A34536"/>
    <w:rsid w:val="00A346F5"/>
    <w:rsid w:val="00A357CD"/>
    <w:rsid w:val="00A35B12"/>
    <w:rsid w:val="00A36EB2"/>
    <w:rsid w:val="00A400D8"/>
    <w:rsid w:val="00A4113D"/>
    <w:rsid w:val="00A4363B"/>
    <w:rsid w:val="00A436A8"/>
    <w:rsid w:val="00A43B3E"/>
    <w:rsid w:val="00A44100"/>
    <w:rsid w:val="00A44883"/>
    <w:rsid w:val="00A453A3"/>
    <w:rsid w:val="00A4603C"/>
    <w:rsid w:val="00A51499"/>
    <w:rsid w:val="00A51F6D"/>
    <w:rsid w:val="00A53C0A"/>
    <w:rsid w:val="00A53E95"/>
    <w:rsid w:val="00A53FD9"/>
    <w:rsid w:val="00A55414"/>
    <w:rsid w:val="00A561F0"/>
    <w:rsid w:val="00A56899"/>
    <w:rsid w:val="00A56F01"/>
    <w:rsid w:val="00A610EA"/>
    <w:rsid w:val="00A616A1"/>
    <w:rsid w:val="00A643D4"/>
    <w:rsid w:val="00A65138"/>
    <w:rsid w:val="00A65E25"/>
    <w:rsid w:val="00A707FE"/>
    <w:rsid w:val="00A7115B"/>
    <w:rsid w:val="00A7153E"/>
    <w:rsid w:val="00A71797"/>
    <w:rsid w:val="00A73ACA"/>
    <w:rsid w:val="00A73EA1"/>
    <w:rsid w:val="00A74D74"/>
    <w:rsid w:val="00A758F3"/>
    <w:rsid w:val="00A75F2F"/>
    <w:rsid w:val="00A76332"/>
    <w:rsid w:val="00A76844"/>
    <w:rsid w:val="00A76947"/>
    <w:rsid w:val="00A76BAD"/>
    <w:rsid w:val="00A76BF6"/>
    <w:rsid w:val="00A7706A"/>
    <w:rsid w:val="00A80B7B"/>
    <w:rsid w:val="00A80E6C"/>
    <w:rsid w:val="00A84DAA"/>
    <w:rsid w:val="00A87FBC"/>
    <w:rsid w:val="00A9192A"/>
    <w:rsid w:val="00A92304"/>
    <w:rsid w:val="00A933F8"/>
    <w:rsid w:val="00A93D27"/>
    <w:rsid w:val="00A94058"/>
    <w:rsid w:val="00A9431C"/>
    <w:rsid w:val="00A944BA"/>
    <w:rsid w:val="00A9516E"/>
    <w:rsid w:val="00A954AA"/>
    <w:rsid w:val="00AA0BBE"/>
    <w:rsid w:val="00AA2CEA"/>
    <w:rsid w:val="00AA368B"/>
    <w:rsid w:val="00AB1CFE"/>
    <w:rsid w:val="00AB1D9F"/>
    <w:rsid w:val="00AB3773"/>
    <w:rsid w:val="00AB4295"/>
    <w:rsid w:val="00AB481F"/>
    <w:rsid w:val="00AB4A59"/>
    <w:rsid w:val="00AB7E81"/>
    <w:rsid w:val="00AC2AA5"/>
    <w:rsid w:val="00AC316E"/>
    <w:rsid w:val="00AC4736"/>
    <w:rsid w:val="00AC6945"/>
    <w:rsid w:val="00AC7693"/>
    <w:rsid w:val="00AD14CD"/>
    <w:rsid w:val="00AD27DE"/>
    <w:rsid w:val="00AD2B84"/>
    <w:rsid w:val="00AE64BB"/>
    <w:rsid w:val="00AE7D75"/>
    <w:rsid w:val="00AF162D"/>
    <w:rsid w:val="00AF2790"/>
    <w:rsid w:val="00AF2EB5"/>
    <w:rsid w:val="00AF413A"/>
    <w:rsid w:val="00AF54DA"/>
    <w:rsid w:val="00AF586C"/>
    <w:rsid w:val="00AF62E4"/>
    <w:rsid w:val="00AF66C0"/>
    <w:rsid w:val="00AF6A62"/>
    <w:rsid w:val="00B0088A"/>
    <w:rsid w:val="00B00BCC"/>
    <w:rsid w:val="00B00E33"/>
    <w:rsid w:val="00B01843"/>
    <w:rsid w:val="00B038EE"/>
    <w:rsid w:val="00B03D78"/>
    <w:rsid w:val="00B03DC7"/>
    <w:rsid w:val="00B05911"/>
    <w:rsid w:val="00B07003"/>
    <w:rsid w:val="00B0730B"/>
    <w:rsid w:val="00B10DAB"/>
    <w:rsid w:val="00B11932"/>
    <w:rsid w:val="00B11A10"/>
    <w:rsid w:val="00B14A2E"/>
    <w:rsid w:val="00B15C17"/>
    <w:rsid w:val="00B16A85"/>
    <w:rsid w:val="00B17C61"/>
    <w:rsid w:val="00B17E42"/>
    <w:rsid w:val="00B2333E"/>
    <w:rsid w:val="00B24BB3"/>
    <w:rsid w:val="00B24D02"/>
    <w:rsid w:val="00B24D26"/>
    <w:rsid w:val="00B24F3A"/>
    <w:rsid w:val="00B2576B"/>
    <w:rsid w:val="00B2603B"/>
    <w:rsid w:val="00B272A1"/>
    <w:rsid w:val="00B272D8"/>
    <w:rsid w:val="00B303BE"/>
    <w:rsid w:val="00B31A70"/>
    <w:rsid w:val="00B362A0"/>
    <w:rsid w:val="00B36FAD"/>
    <w:rsid w:val="00B37C8D"/>
    <w:rsid w:val="00B4105C"/>
    <w:rsid w:val="00B41941"/>
    <w:rsid w:val="00B41AD6"/>
    <w:rsid w:val="00B41BB0"/>
    <w:rsid w:val="00B41D48"/>
    <w:rsid w:val="00B42071"/>
    <w:rsid w:val="00B420C0"/>
    <w:rsid w:val="00B43997"/>
    <w:rsid w:val="00B44624"/>
    <w:rsid w:val="00B447B1"/>
    <w:rsid w:val="00B45DD0"/>
    <w:rsid w:val="00B473A5"/>
    <w:rsid w:val="00B473C9"/>
    <w:rsid w:val="00B50238"/>
    <w:rsid w:val="00B50C14"/>
    <w:rsid w:val="00B511FE"/>
    <w:rsid w:val="00B51E4B"/>
    <w:rsid w:val="00B52D7F"/>
    <w:rsid w:val="00B534D7"/>
    <w:rsid w:val="00B5377F"/>
    <w:rsid w:val="00B561FD"/>
    <w:rsid w:val="00B56562"/>
    <w:rsid w:val="00B5681C"/>
    <w:rsid w:val="00B570CE"/>
    <w:rsid w:val="00B57258"/>
    <w:rsid w:val="00B57629"/>
    <w:rsid w:val="00B60874"/>
    <w:rsid w:val="00B62477"/>
    <w:rsid w:val="00B63A2F"/>
    <w:rsid w:val="00B643D6"/>
    <w:rsid w:val="00B65007"/>
    <w:rsid w:val="00B70432"/>
    <w:rsid w:val="00B70C54"/>
    <w:rsid w:val="00B73CEC"/>
    <w:rsid w:val="00B73F32"/>
    <w:rsid w:val="00B75D20"/>
    <w:rsid w:val="00B76999"/>
    <w:rsid w:val="00B80A24"/>
    <w:rsid w:val="00B81781"/>
    <w:rsid w:val="00B8284A"/>
    <w:rsid w:val="00B85292"/>
    <w:rsid w:val="00B95708"/>
    <w:rsid w:val="00B95A6C"/>
    <w:rsid w:val="00B97642"/>
    <w:rsid w:val="00BA0A28"/>
    <w:rsid w:val="00BA1E32"/>
    <w:rsid w:val="00BA30EE"/>
    <w:rsid w:val="00BA41A6"/>
    <w:rsid w:val="00BA465D"/>
    <w:rsid w:val="00BA72E8"/>
    <w:rsid w:val="00BA733C"/>
    <w:rsid w:val="00BB10AC"/>
    <w:rsid w:val="00BB27E5"/>
    <w:rsid w:val="00BB39E1"/>
    <w:rsid w:val="00BB578B"/>
    <w:rsid w:val="00BB7943"/>
    <w:rsid w:val="00BC1C22"/>
    <w:rsid w:val="00BC3982"/>
    <w:rsid w:val="00BC49C4"/>
    <w:rsid w:val="00BC4AFA"/>
    <w:rsid w:val="00BC4F70"/>
    <w:rsid w:val="00BC5EA7"/>
    <w:rsid w:val="00BC6843"/>
    <w:rsid w:val="00BD3958"/>
    <w:rsid w:val="00BD50FD"/>
    <w:rsid w:val="00BD58BC"/>
    <w:rsid w:val="00BD5D38"/>
    <w:rsid w:val="00BD6C42"/>
    <w:rsid w:val="00BD75C6"/>
    <w:rsid w:val="00BD78EE"/>
    <w:rsid w:val="00BE1412"/>
    <w:rsid w:val="00BE1779"/>
    <w:rsid w:val="00BE207F"/>
    <w:rsid w:val="00BE2C9A"/>
    <w:rsid w:val="00BE48AE"/>
    <w:rsid w:val="00BE4912"/>
    <w:rsid w:val="00BE76B9"/>
    <w:rsid w:val="00BF2431"/>
    <w:rsid w:val="00BF5569"/>
    <w:rsid w:val="00BF6024"/>
    <w:rsid w:val="00BF6D0A"/>
    <w:rsid w:val="00BF6D17"/>
    <w:rsid w:val="00BF7288"/>
    <w:rsid w:val="00BF7A1D"/>
    <w:rsid w:val="00C0276D"/>
    <w:rsid w:val="00C035FF"/>
    <w:rsid w:val="00C03D8D"/>
    <w:rsid w:val="00C074E5"/>
    <w:rsid w:val="00C100D2"/>
    <w:rsid w:val="00C102E2"/>
    <w:rsid w:val="00C1063E"/>
    <w:rsid w:val="00C11666"/>
    <w:rsid w:val="00C13A55"/>
    <w:rsid w:val="00C143CB"/>
    <w:rsid w:val="00C154AB"/>
    <w:rsid w:val="00C156ED"/>
    <w:rsid w:val="00C15749"/>
    <w:rsid w:val="00C177F3"/>
    <w:rsid w:val="00C224D3"/>
    <w:rsid w:val="00C23763"/>
    <w:rsid w:val="00C23891"/>
    <w:rsid w:val="00C25CD3"/>
    <w:rsid w:val="00C30CDE"/>
    <w:rsid w:val="00C30F3C"/>
    <w:rsid w:val="00C31D92"/>
    <w:rsid w:val="00C31EB3"/>
    <w:rsid w:val="00C3316B"/>
    <w:rsid w:val="00C333E6"/>
    <w:rsid w:val="00C3370B"/>
    <w:rsid w:val="00C36257"/>
    <w:rsid w:val="00C375AD"/>
    <w:rsid w:val="00C37CE7"/>
    <w:rsid w:val="00C403C1"/>
    <w:rsid w:val="00C446F6"/>
    <w:rsid w:val="00C45AB5"/>
    <w:rsid w:val="00C45B5A"/>
    <w:rsid w:val="00C464CB"/>
    <w:rsid w:val="00C51440"/>
    <w:rsid w:val="00C52A59"/>
    <w:rsid w:val="00C52E2F"/>
    <w:rsid w:val="00C53117"/>
    <w:rsid w:val="00C53AB4"/>
    <w:rsid w:val="00C6189E"/>
    <w:rsid w:val="00C64618"/>
    <w:rsid w:val="00C64C36"/>
    <w:rsid w:val="00C64EBF"/>
    <w:rsid w:val="00C65792"/>
    <w:rsid w:val="00C67E65"/>
    <w:rsid w:val="00C701D6"/>
    <w:rsid w:val="00C70643"/>
    <w:rsid w:val="00C71E51"/>
    <w:rsid w:val="00C72B2A"/>
    <w:rsid w:val="00C7420A"/>
    <w:rsid w:val="00C7420B"/>
    <w:rsid w:val="00C7455C"/>
    <w:rsid w:val="00C77A0B"/>
    <w:rsid w:val="00C804E3"/>
    <w:rsid w:val="00C81862"/>
    <w:rsid w:val="00C81F91"/>
    <w:rsid w:val="00C8340A"/>
    <w:rsid w:val="00C840AC"/>
    <w:rsid w:val="00C8736C"/>
    <w:rsid w:val="00C906D4"/>
    <w:rsid w:val="00C91CFB"/>
    <w:rsid w:val="00C94B16"/>
    <w:rsid w:val="00C9681F"/>
    <w:rsid w:val="00C96BA3"/>
    <w:rsid w:val="00C96DE5"/>
    <w:rsid w:val="00C97AC4"/>
    <w:rsid w:val="00CA2806"/>
    <w:rsid w:val="00CA32BF"/>
    <w:rsid w:val="00CA3A4D"/>
    <w:rsid w:val="00CA4A2A"/>
    <w:rsid w:val="00CA7776"/>
    <w:rsid w:val="00CB250F"/>
    <w:rsid w:val="00CB29C2"/>
    <w:rsid w:val="00CB5DC2"/>
    <w:rsid w:val="00CB5EB2"/>
    <w:rsid w:val="00CB65C9"/>
    <w:rsid w:val="00CB6B4E"/>
    <w:rsid w:val="00CB7BE0"/>
    <w:rsid w:val="00CC190B"/>
    <w:rsid w:val="00CC4565"/>
    <w:rsid w:val="00CC7415"/>
    <w:rsid w:val="00CD2964"/>
    <w:rsid w:val="00CD3489"/>
    <w:rsid w:val="00CD399A"/>
    <w:rsid w:val="00CD407A"/>
    <w:rsid w:val="00CD4299"/>
    <w:rsid w:val="00CD4FDA"/>
    <w:rsid w:val="00CD5E79"/>
    <w:rsid w:val="00CD622B"/>
    <w:rsid w:val="00CD7BEC"/>
    <w:rsid w:val="00CE20E6"/>
    <w:rsid w:val="00CE4186"/>
    <w:rsid w:val="00CE4F45"/>
    <w:rsid w:val="00CE5C34"/>
    <w:rsid w:val="00CE6F62"/>
    <w:rsid w:val="00CE7377"/>
    <w:rsid w:val="00CE767D"/>
    <w:rsid w:val="00CE79F0"/>
    <w:rsid w:val="00CF16CC"/>
    <w:rsid w:val="00CF270D"/>
    <w:rsid w:val="00CF40FC"/>
    <w:rsid w:val="00CF4E06"/>
    <w:rsid w:val="00CF5318"/>
    <w:rsid w:val="00CF5639"/>
    <w:rsid w:val="00CF6047"/>
    <w:rsid w:val="00CF6AD4"/>
    <w:rsid w:val="00CF74CA"/>
    <w:rsid w:val="00CF7771"/>
    <w:rsid w:val="00CF78ED"/>
    <w:rsid w:val="00CF7C5B"/>
    <w:rsid w:val="00CF7CBD"/>
    <w:rsid w:val="00D0288F"/>
    <w:rsid w:val="00D037D6"/>
    <w:rsid w:val="00D07F99"/>
    <w:rsid w:val="00D10983"/>
    <w:rsid w:val="00D10B2B"/>
    <w:rsid w:val="00D1595D"/>
    <w:rsid w:val="00D15B36"/>
    <w:rsid w:val="00D16489"/>
    <w:rsid w:val="00D16EF4"/>
    <w:rsid w:val="00D17709"/>
    <w:rsid w:val="00D17ECB"/>
    <w:rsid w:val="00D20905"/>
    <w:rsid w:val="00D20DB5"/>
    <w:rsid w:val="00D21DC4"/>
    <w:rsid w:val="00D2660C"/>
    <w:rsid w:val="00D31FD1"/>
    <w:rsid w:val="00D35890"/>
    <w:rsid w:val="00D36587"/>
    <w:rsid w:val="00D40592"/>
    <w:rsid w:val="00D41B9E"/>
    <w:rsid w:val="00D43F1F"/>
    <w:rsid w:val="00D43F45"/>
    <w:rsid w:val="00D43F8F"/>
    <w:rsid w:val="00D44B85"/>
    <w:rsid w:val="00D45425"/>
    <w:rsid w:val="00D458FB"/>
    <w:rsid w:val="00D468EB"/>
    <w:rsid w:val="00D46E42"/>
    <w:rsid w:val="00D55861"/>
    <w:rsid w:val="00D57E14"/>
    <w:rsid w:val="00D62751"/>
    <w:rsid w:val="00D637F5"/>
    <w:rsid w:val="00D63A77"/>
    <w:rsid w:val="00D643D1"/>
    <w:rsid w:val="00D645A1"/>
    <w:rsid w:val="00D64B8F"/>
    <w:rsid w:val="00D67B3D"/>
    <w:rsid w:val="00D67ED3"/>
    <w:rsid w:val="00D72212"/>
    <w:rsid w:val="00D77634"/>
    <w:rsid w:val="00D830EF"/>
    <w:rsid w:val="00D85E45"/>
    <w:rsid w:val="00D86176"/>
    <w:rsid w:val="00D863AE"/>
    <w:rsid w:val="00D93697"/>
    <w:rsid w:val="00D93C48"/>
    <w:rsid w:val="00D97CFD"/>
    <w:rsid w:val="00DA22DB"/>
    <w:rsid w:val="00DA477B"/>
    <w:rsid w:val="00DA53DF"/>
    <w:rsid w:val="00DA6B88"/>
    <w:rsid w:val="00DA783D"/>
    <w:rsid w:val="00DA7F48"/>
    <w:rsid w:val="00DB06A5"/>
    <w:rsid w:val="00DB1E06"/>
    <w:rsid w:val="00DB2754"/>
    <w:rsid w:val="00DB3713"/>
    <w:rsid w:val="00DB4EE3"/>
    <w:rsid w:val="00DB63A1"/>
    <w:rsid w:val="00DB72A6"/>
    <w:rsid w:val="00DC1EC0"/>
    <w:rsid w:val="00DC2FD3"/>
    <w:rsid w:val="00DC7598"/>
    <w:rsid w:val="00DD1920"/>
    <w:rsid w:val="00DD2F80"/>
    <w:rsid w:val="00DD3016"/>
    <w:rsid w:val="00DD3F80"/>
    <w:rsid w:val="00DD4B10"/>
    <w:rsid w:val="00DD5FA6"/>
    <w:rsid w:val="00DD6345"/>
    <w:rsid w:val="00DE0753"/>
    <w:rsid w:val="00DE0E77"/>
    <w:rsid w:val="00DE19BE"/>
    <w:rsid w:val="00DE1F91"/>
    <w:rsid w:val="00DE2438"/>
    <w:rsid w:val="00DE3283"/>
    <w:rsid w:val="00DE3CC6"/>
    <w:rsid w:val="00DE3CEF"/>
    <w:rsid w:val="00DE477E"/>
    <w:rsid w:val="00DE7E94"/>
    <w:rsid w:val="00DF0C7D"/>
    <w:rsid w:val="00DF3B6E"/>
    <w:rsid w:val="00DF5C4F"/>
    <w:rsid w:val="00DF5D78"/>
    <w:rsid w:val="00DF6674"/>
    <w:rsid w:val="00E009CA"/>
    <w:rsid w:val="00E048D8"/>
    <w:rsid w:val="00E05223"/>
    <w:rsid w:val="00E06A83"/>
    <w:rsid w:val="00E07350"/>
    <w:rsid w:val="00E075ED"/>
    <w:rsid w:val="00E1093D"/>
    <w:rsid w:val="00E130E3"/>
    <w:rsid w:val="00E136BE"/>
    <w:rsid w:val="00E139E5"/>
    <w:rsid w:val="00E153E6"/>
    <w:rsid w:val="00E165FF"/>
    <w:rsid w:val="00E16FCA"/>
    <w:rsid w:val="00E2154F"/>
    <w:rsid w:val="00E225A7"/>
    <w:rsid w:val="00E22F77"/>
    <w:rsid w:val="00E2359A"/>
    <w:rsid w:val="00E23650"/>
    <w:rsid w:val="00E26CD7"/>
    <w:rsid w:val="00E27374"/>
    <w:rsid w:val="00E306B9"/>
    <w:rsid w:val="00E311E2"/>
    <w:rsid w:val="00E31966"/>
    <w:rsid w:val="00E3237D"/>
    <w:rsid w:val="00E333DE"/>
    <w:rsid w:val="00E336B3"/>
    <w:rsid w:val="00E33CEF"/>
    <w:rsid w:val="00E34828"/>
    <w:rsid w:val="00E36EA8"/>
    <w:rsid w:val="00E41882"/>
    <w:rsid w:val="00E44320"/>
    <w:rsid w:val="00E44CD6"/>
    <w:rsid w:val="00E45278"/>
    <w:rsid w:val="00E45C59"/>
    <w:rsid w:val="00E4794B"/>
    <w:rsid w:val="00E47B85"/>
    <w:rsid w:val="00E47D7A"/>
    <w:rsid w:val="00E512B0"/>
    <w:rsid w:val="00E529C7"/>
    <w:rsid w:val="00E52EC0"/>
    <w:rsid w:val="00E55633"/>
    <w:rsid w:val="00E563F3"/>
    <w:rsid w:val="00E61425"/>
    <w:rsid w:val="00E6482A"/>
    <w:rsid w:val="00E653B7"/>
    <w:rsid w:val="00E653DB"/>
    <w:rsid w:val="00E670AD"/>
    <w:rsid w:val="00E67C34"/>
    <w:rsid w:val="00E705EF"/>
    <w:rsid w:val="00E72AAB"/>
    <w:rsid w:val="00E764C9"/>
    <w:rsid w:val="00E767DC"/>
    <w:rsid w:val="00E835DD"/>
    <w:rsid w:val="00E83B92"/>
    <w:rsid w:val="00E8412A"/>
    <w:rsid w:val="00E8718F"/>
    <w:rsid w:val="00E910A8"/>
    <w:rsid w:val="00E92794"/>
    <w:rsid w:val="00E931CB"/>
    <w:rsid w:val="00E93A20"/>
    <w:rsid w:val="00E93B0F"/>
    <w:rsid w:val="00E96C04"/>
    <w:rsid w:val="00EA0218"/>
    <w:rsid w:val="00EA2BB1"/>
    <w:rsid w:val="00EA4EBA"/>
    <w:rsid w:val="00EA5087"/>
    <w:rsid w:val="00EA6940"/>
    <w:rsid w:val="00EA7928"/>
    <w:rsid w:val="00EB1150"/>
    <w:rsid w:val="00EB1461"/>
    <w:rsid w:val="00EB167A"/>
    <w:rsid w:val="00EB2105"/>
    <w:rsid w:val="00EB2209"/>
    <w:rsid w:val="00EB311A"/>
    <w:rsid w:val="00EB3DC9"/>
    <w:rsid w:val="00EB5BFC"/>
    <w:rsid w:val="00EB6528"/>
    <w:rsid w:val="00EB6D0A"/>
    <w:rsid w:val="00EB70B3"/>
    <w:rsid w:val="00EC06EE"/>
    <w:rsid w:val="00EC6DD2"/>
    <w:rsid w:val="00ED053A"/>
    <w:rsid w:val="00ED0DE3"/>
    <w:rsid w:val="00ED1EBD"/>
    <w:rsid w:val="00ED33F1"/>
    <w:rsid w:val="00ED38F9"/>
    <w:rsid w:val="00ED4C65"/>
    <w:rsid w:val="00ED6539"/>
    <w:rsid w:val="00ED7ED0"/>
    <w:rsid w:val="00EE0274"/>
    <w:rsid w:val="00EE2965"/>
    <w:rsid w:val="00EE2E42"/>
    <w:rsid w:val="00EE32E5"/>
    <w:rsid w:val="00EE442B"/>
    <w:rsid w:val="00EE52D0"/>
    <w:rsid w:val="00EE5EA5"/>
    <w:rsid w:val="00EF0B6E"/>
    <w:rsid w:val="00EF25D9"/>
    <w:rsid w:val="00EF276C"/>
    <w:rsid w:val="00EF2F95"/>
    <w:rsid w:val="00EF30B1"/>
    <w:rsid w:val="00EF338A"/>
    <w:rsid w:val="00EF46FE"/>
    <w:rsid w:val="00EF4B94"/>
    <w:rsid w:val="00EF6B59"/>
    <w:rsid w:val="00EF6EBC"/>
    <w:rsid w:val="00EF76B8"/>
    <w:rsid w:val="00EF790A"/>
    <w:rsid w:val="00F01C2B"/>
    <w:rsid w:val="00F02833"/>
    <w:rsid w:val="00F02DE9"/>
    <w:rsid w:val="00F0342F"/>
    <w:rsid w:val="00F03EED"/>
    <w:rsid w:val="00F04658"/>
    <w:rsid w:val="00F05074"/>
    <w:rsid w:val="00F0600D"/>
    <w:rsid w:val="00F068C6"/>
    <w:rsid w:val="00F11961"/>
    <w:rsid w:val="00F11C1E"/>
    <w:rsid w:val="00F12315"/>
    <w:rsid w:val="00F1443C"/>
    <w:rsid w:val="00F14B8D"/>
    <w:rsid w:val="00F15A91"/>
    <w:rsid w:val="00F16F6D"/>
    <w:rsid w:val="00F177E1"/>
    <w:rsid w:val="00F17F47"/>
    <w:rsid w:val="00F21494"/>
    <w:rsid w:val="00F22D54"/>
    <w:rsid w:val="00F234F0"/>
    <w:rsid w:val="00F235EA"/>
    <w:rsid w:val="00F245B3"/>
    <w:rsid w:val="00F266D4"/>
    <w:rsid w:val="00F27688"/>
    <w:rsid w:val="00F3045C"/>
    <w:rsid w:val="00F31DE4"/>
    <w:rsid w:val="00F3323A"/>
    <w:rsid w:val="00F3618E"/>
    <w:rsid w:val="00F36E4D"/>
    <w:rsid w:val="00F40C7E"/>
    <w:rsid w:val="00F41051"/>
    <w:rsid w:val="00F419F7"/>
    <w:rsid w:val="00F42818"/>
    <w:rsid w:val="00F43B0C"/>
    <w:rsid w:val="00F44713"/>
    <w:rsid w:val="00F44A4C"/>
    <w:rsid w:val="00F50A19"/>
    <w:rsid w:val="00F53E0E"/>
    <w:rsid w:val="00F548B4"/>
    <w:rsid w:val="00F55DFB"/>
    <w:rsid w:val="00F572C0"/>
    <w:rsid w:val="00F6208D"/>
    <w:rsid w:val="00F70D43"/>
    <w:rsid w:val="00F72AD0"/>
    <w:rsid w:val="00F744DE"/>
    <w:rsid w:val="00F74538"/>
    <w:rsid w:val="00F7491A"/>
    <w:rsid w:val="00F80052"/>
    <w:rsid w:val="00F80AA8"/>
    <w:rsid w:val="00F80AF7"/>
    <w:rsid w:val="00F854BF"/>
    <w:rsid w:val="00F85E75"/>
    <w:rsid w:val="00F86121"/>
    <w:rsid w:val="00F865AC"/>
    <w:rsid w:val="00F8744D"/>
    <w:rsid w:val="00F879C7"/>
    <w:rsid w:val="00F9035A"/>
    <w:rsid w:val="00F90AFD"/>
    <w:rsid w:val="00F90B01"/>
    <w:rsid w:val="00F910CF"/>
    <w:rsid w:val="00F91DA0"/>
    <w:rsid w:val="00F93736"/>
    <w:rsid w:val="00F9394E"/>
    <w:rsid w:val="00F94A77"/>
    <w:rsid w:val="00F95E07"/>
    <w:rsid w:val="00F963F4"/>
    <w:rsid w:val="00F97151"/>
    <w:rsid w:val="00FA1F28"/>
    <w:rsid w:val="00FA243B"/>
    <w:rsid w:val="00FA4402"/>
    <w:rsid w:val="00FA6C5C"/>
    <w:rsid w:val="00FB1544"/>
    <w:rsid w:val="00FB212D"/>
    <w:rsid w:val="00FB2216"/>
    <w:rsid w:val="00FB3BA2"/>
    <w:rsid w:val="00FB428A"/>
    <w:rsid w:val="00FB43FC"/>
    <w:rsid w:val="00FB4E02"/>
    <w:rsid w:val="00FB51B9"/>
    <w:rsid w:val="00FB5877"/>
    <w:rsid w:val="00FC0292"/>
    <w:rsid w:val="00FC0478"/>
    <w:rsid w:val="00FC26BE"/>
    <w:rsid w:val="00FC2C7C"/>
    <w:rsid w:val="00FC3E2B"/>
    <w:rsid w:val="00FC479C"/>
    <w:rsid w:val="00FC63A1"/>
    <w:rsid w:val="00FC749C"/>
    <w:rsid w:val="00FD1B47"/>
    <w:rsid w:val="00FD1F61"/>
    <w:rsid w:val="00FD5972"/>
    <w:rsid w:val="00FD7CEF"/>
    <w:rsid w:val="00FD7DC2"/>
    <w:rsid w:val="00FE040C"/>
    <w:rsid w:val="00FE25EB"/>
    <w:rsid w:val="00FE3EB2"/>
    <w:rsid w:val="00FE52D5"/>
    <w:rsid w:val="00FE58E7"/>
    <w:rsid w:val="00FE59F0"/>
    <w:rsid w:val="00FE674D"/>
    <w:rsid w:val="00FF03F5"/>
    <w:rsid w:val="00FF3652"/>
    <w:rsid w:val="00FF3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CA90B"/>
  <w15:docId w15:val="{15DB58BD-AB2C-4E67-B554-24BC2A02F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7A"/>
  </w:style>
  <w:style w:type="paragraph" w:styleId="Heading1">
    <w:name w:val="heading 1"/>
    <w:basedOn w:val="Normal"/>
    <w:link w:val="Heading1Char"/>
    <w:uiPriority w:val="9"/>
    <w:qFormat/>
    <w:rsid w:val="004870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8704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870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04C"/>
    <w:rPr>
      <w:rFonts w:ascii="Tahoma" w:hAnsi="Tahoma" w:cs="Tahoma"/>
      <w:sz w:val="16"/>
      <w:szCs w:val="16"/>
    </w:rPr>
  </w:style>
  <w:style w:type="character" w:customStyle="1" w:styleId="Heading1Char">
    <w:name w:val="Heading 1 Char"/>
    <w:basedOn w:val="DefaultParagraphFont"/>
    <w:link w:val="Heading1"/>
    <w:uiPriority w:val="9"/>
    <w:rsid w:val="0048704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8704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8704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870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704C"/>
    <w:rPr>
      <w:b/>
      <w:bCs/>
    </w:rPr>
  </w:style>
  <w:style w:type="paragraph" w:styleId="ListParagraph">
    <w:name w:val="List Paragraph"/>
    <w:basedOn w:val="Normal"/>
    <w:uiPriority w:val="34"/>
    <w:qFormat/>
    <w:rsid w:val="00F95E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3981">
      <w:bodyDiv w:val="1"/>
      <w:marLeft w:val="0"/>
      <w:marRight w:val="0"/>
      <w:marTop w:val="0"/>
      <w:marBottom w:val="0"/>
      <w:divBdr>
        <w:top w:val="none" w:sz="0" w:space="0" w:color="auto"/>
        <w:left w:val="none" w:sz="0" w:space="0" w:color="auto"/>
        <w:bottom w:val="none" w:sz="0" w:space="0" w:color="auto"/>
        <w:right w:val="none" w:sz="0" w:space="0" w:color="auto"/>
      </w:divBdr>
    </w:div>
    <w:div w:id="1886409204">
      <w:bodyDiv w:val="1"/>
      <w:marLeft w:val="0"/>
      <w:marRight w:val="0"/>
      <w:marTop w:val="0"/>
      <w:marBottom w:val="0"/>
      <w:divBdr>
        <w:top w:val="none" w:sz="0" w:space="0" w:color="auto"/>
        <w:left w:val="none" w:sz="0" w:space="0" w:color="auto"/>
        <w:bottom w:val="none" w:sz="0" w:space="0" w:color="auto"/>
        <w:right w:val="none" w:sz="0" w:space="0" w:color="auto"/>
      </w:divBdr>
      <w:divsChild>
        <w:div w:id="265817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854954">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57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3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731665">
          <w:blockQuote w:val="1"/>
          <w:marLeft w:val="720"/>
          <w:marRight w:val="720"/>
          <w:marTop w:val="100"/>
          <w:marBottom w:val="100"/>
          <w:divBdr>
            <w:top w:val="none" w:sz="0" w:space="0" w:color="auto"/>
            <w:left w:val="none" w:sz="0" w:space="0" w:color="auto"/>
            <w:bottom w:val="none" w:sz="0" w:space="0" w:color="auto"/>
            <w:right w:val="none" w:sz="0" w:space="0" w:color="auto"/>
          </w:divBdr>
        </w:div>
        <w:div w:id="385614098">
          <w:marLeft w:val="0"/>
          <w:marRight w:val="0"/>
          <w:marTop w:val="0"/>
          <w:marBottom w:val="0"/>
          <w:divBdr>
            <w:top w:val="none" w:sz="0" w:space="0" w:color="auto"/>
            <w:left w:val="none" w:sz="0" w:space="0" w:color="auto"/>
            <w:bottom w:val="none" w:sz="0" w:space="0" w:color="auto"/>
            <w:right w:val="none" w:sz="0" w:space="0" w:color="auto"/>
          </w:divBdr>
          <w:divsChild>
            <w:div w:id="2074348332">
              <w:marLeft w:val="0"/>
              <w:marRight w:val="0"/>
              <w:marTop w:val="0"/>
              <w:marBottom w:val="0"/>
              <w:divBdr>
                <w:top w:val="none" w:sz="0" w:space="0" w:color="auto"/>
                <w:left w:val="none" w:sz="0" w:space="0" w:color="auto"/>
                <w:bottom w:val="none" w:sz="0" w:space="0" w:color="auto"/>
                <w:right w:val="none" w:sz="0" w:space="0" w:color="auto"/>
              </w:divBdr>
            </w:div>
          </w:divsChild>
        </w:div>
        <w:div w:id="1837334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3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178571">
          <w:blockQuote w:val="1"/>
          <w:marLeft w:val="720"/>
          <w:marRight w:val="720"/>
          <w:marTop w:val="100"/>
          <w:marBottom w:val="100"/>
          <w:divBdr>
            <w:top w:val="none" w:sz="0" w:space="0" w:color="auto"/>
            <w:left w:val="none" w:sz="0" w:space="0" w:color="auto"/>
            <w:bottom w:val="none" w:sz="0" w:space="0" w:color="auto"/>
            <w:right w:val="none" w:sz="0" w:space="0" w:color="auto"/>
          </w:divBdr>
        </w:div>
        <w:div w:id="344988785">
          <w:blockQuote w:val="1"/>
          <w:marLeft w:val="720"/>
          <w:marRight w:val="720"/>
          <w:marTop w:val="100"/>
          <w:marBottom w:val="100"/>
          <w:divBdr>
            <w:top w:val="none" w:sz="0" w:space="0" w:color="auto"/>
            <w:left w:val="none" w:sz="0" w:space="0" w:color="auto"/>
            <w:bottom w:val="none" w:sz="0" w:space="0" w:color="auto"/>
            <w:right w:val="none" w:sz="0" w:space="0" w:color="auto"/>
          </w:divBdr>
        </w:div>
        <w:div w:id="700479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799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7108502">
          <w:marLeft w:val="0"/>
          <w:marRight w:val="0"/>
          <w:marTop w:val="0"/>
          <w:marBottom w:val="0"/>
          <w:divBdr>
            <w:top w:val="none" w:sz="0" w:space="0" w:color="auto"/>
            <w:left w:val="none" w:sz="0" w:space="0" w:color="auto"/>
            <w:bottom w:val="none" w:sz="0" w:space="0" w:color="auto"/>
            <w:right w:val="none" w:sz="0" w:space="0" w:color="auto"/>
          </w:divBdr>
          <w:divsChild>
            <w:div w:id="79541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22849">
      <w:bodyDiv w:val="1"/>
      <w:marLeft w:val="0"/>
      <w:marRight w:val="0"/>
      <w:marTop w:val="0"/>
      <w:marBottom w:val="0"/>
      <w:divBdr>
        <w:top w:val="none" w:sz="0" w:space="0" w:color="auto"/>
        <w:left w:val="none" w:sz="0" w:space="0" w:color="auto"/>
        <w:bottom w:val="none" w:sz="0" w:space="0" w:color="auto"/>
        <w:right w:val="none" w:sz="0" w:space="0" w:color="auto"/>
      </w:divBdr>
    </w:div>
    <w:div w:id="2134901356">
      <w:bodyDiv w:val="1"/>
      <w:marLeft w:val="0"/>
      <w:marRight w:val="0"/>
      <w:marTop w:val="0"/>
      <w:marBottom w:val="0"/>
      <w:divBdr>
        <w:top w:val="none" w:sz="0" w:space="0" w:color="auto"/>
        <w:left w:val="none" w:sz="0" w:space="0" w:color="auto"/>
        <w:bottom w:val="none" w:sz="0" w:space="0" w:color="auto"/>
        <w:right w:val="none" w:sz="0" w:space="0" w:color="auto"/>
      </w:divBdr>
      <w:divsChild>
        <w:div w:id="254438954">
          <w:marLeft w:val="0"/>
          <w:marRight w:val="0"/>
          <w:marTop w:val="0"/>
          <w:marBottom w:val="0"/>
          <w:divBdr>
            <w:top w:val="none" w:sz="0" w:space="0" w:color="auto"/>
            <w:left w:val="none" w:sz="0" w:space="0" w:color="auto"/>
            <w:bottom w:val="none" w:sz="0" w:space="0" w:color="auto"/>
            <w:right w:val="none" w:sz="0" w:space="0" w:color="auto"/>
          </w:divBdr>
        </w:div>
        <w:div w:id="1770200392">
          <w:marLeft w:val="0"/>
          <w:marRight w:val="0"/>
          <w:marTop w:val="0"/>
          <w:marBottom w:val="0"/>
          <w:divBdr>
            <w:top w:val="none" w:sz="0" w:space="0" w:color="auto"/>
            <w:left w:val="none" w:sz="0" w:space="0" w:color="auto"/>
            <w:bottom w:val="none" w:sz="0" w:space="0" w:color="auto"/>
            <w:right w:val="none" w:sz="0" w:space="0" w:color="auto"/>
          </w:divBdr>
        </w:div>
        <w:div w:id="1730305797">
          <w:marLeft w:val="0"/>
          <w:marRight w:val="0"/>
          <w:marTop w:val="0"/>
          <w:marBottom w:val="0"/>
          <w:divBdr>
            <w:top w:val="none" w:sz="0" w:space="0" w:color="auto"/>
            <w:left w:val="none" w:sz="0" w:space="0" w:color="auto"/>
            <w:bottom w:val="none" w:sz="0" w:space="0" w:color="auto"/>
            <w:right w:val="none" w:sz="0" w:space="0" w:color="auto"/>
          </w:divBdr>
        </w:div>
        <w:div w:id="1805273758">
          <w:marLeft w:val="0"/>
          <w:marRight w:val="0"/>
          <w:marTop w:val="0"/>
          <w:marBottom w:val="0"/>
          <w:divBdr>
            <w:top w:val="none" w:sz="0" w:space="0" w:color="auto"/>
            <w:left w:val="none" w:sz="0" w:space="0" w:color="auto"/>
            <w:bottom w:val="none" w:sz="0" w:space="0" w:color="auto"/>
            <w:right w:val="none" w:sz="0" w:space="0" w:color="auto"/>
          </w:divBdr>
        </w:div>
        <w:div w:id="654841722">
          <w:marLeft w:val="0"/>
          <w:marRight w:val="0"/>
          <w:marTop w:val="0"/>
          <w:marBottom w:val="0"/>
          <w:divBdr>
            <w:top w:val="none" w:sz="0" w:space="0" w:color="auto"/>
            <w:left w:val="none" w:sz="0" w:space="0" w:color="auto"/>
            <w:bottom w:val="none" w:sz="0" w:space="0" w:color="auto"/>
            <w:right w:val="none" w:sz="0" w:space="0" w:color="auto"/>
          </w:divBdr>
        </w:div>
        <w:div w:id="876311289">
          <w:marLeft w:val="0"/>
          <w:marRight w:val="0"/>
          <w:marTop w:val="0"/>
          <w:marBottom w:val="0"/>
          <w:divBdr>
            <w:top w:val="none" w:sz="0" w:space="0" w:color="auto"/>
            <w:left w:val="none" w:sz="0" w:space="0" w:color="auto"/>
            <w:bottom w:val="none" w:sz="0" w:space="0" w:color="auto"/>
            <w:right w:val="none" w:sz="0" w:space="0" w:color="auto"/>
          </w:divBdr>
        </w:div>
        <w:div w:id="1444156145">
          <w:marLeft w:val="0"/>
          <w:marRight w:val="0"/>
          <w:marTop w:val="0"/>
          <w:marBottom w:val="0"/>
          <w:divBdr>
            <w:top w:val="none" w:sz="0" w:space="0" w:color="auto"/>
            <w:left w:val="none" w:sz="0" w:space="0" w:color="auto"/>
            <w:bottom w:val="none" w:sz="0" w:space="0" w:color="auto"/>
            <w:right w:val="none" w:sz="0" w:space="0" w:color="auto"/>
          </w:divBdr>
        </w:div>
        <w:div w:id="943802195">
          <w:marLeft w:val="0"/>
          <w:marRight w:val="0"/>
          <w:marTop w:val="0"/>
          <w:marBottom w:val="0"/>
          <w:divBdr>
            <w:top w:val="none" w:sz="0" w:space="0" w:color="auto"/>
            <w:left w:val="none" w:sz="0" w:space="0" w:color="auto"/>
            <w:bottom w:val="none" w:sz="0" w:space="0" w:color="auto"/>
            <w:right w:val="none" w:sz="0" w:space="0" w:color="auto"/>
          </w:divBdr>
        </w:div>
        <w:div w:id="1208102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s106 – Discussion Document: Proposed Local Plan Policy and Developer Contributions Framework – Rev 4</dc:title>
  <dc:creator>Windows User</dc:creator>
  <cp:lastModifiedBy>Sam Croft</cp:lastModifiedBy>
  <cp:revision>4</cp:revision>
  <dcterms:created xsi:type="dcterms:W3CDTF">2026-09-12T13:53:00Z</dcterms:created>
  <dcterms:modified xsi:type="dcterms:W3CDTF">2026-09-25T23:27:00Z</dcterms:modified>
</cp:coreProperties>
</file>