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734D2"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2892378E" w14:textId="77777777" w:rsidR="00013844" w:rsidRDefault="00013844" w:rsidP="00A53926">
      <w:pPr>
        <w:spacing w:after="120"/>
        <w:jc w:val="right"/>
        <w:rPr>
          <w:rFonts w:cs="Arial"/>
          <w:b/>
          <w:bCs/>
          <w:sz w:val="28"/>
          <w:szCs w:val="28"/>
        </w:rPr>
      </w:pPr>
    </w:p>
    <w:p w14:paraId="0C69FF35" w14:textId="77777777" w:rsidR="00013844" w:rsidRDefault="00013844" w:rsidP="00874647">
      <w:pPr>
        <w:spacing w:after="120"/>
        <w:jc w:val="center"/>
        <w:rPr>
          <w:rFonts w:cs="Arial"/>
          <w:b/>
          <w:bCs/>
          <w:sz w:val="28"/>
          <w:szCs w:val="28"/>
        </w:rPr>
      </w:pPr>
    </w:p>
    <w:p w14:paraId="597045B5"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432F0619"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7E09C2A6"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PL/2026/05664</w:t>
      </w:r>
    </w:p>
    <w:p w14:paraId="577D44C7"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13/10/2026</w:t>
      </w:r>
    </w:p>
    <w:p w14:paraId="7BC46479"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740543DB" w14:textId="77777777" w:rsidTr="00D347C8">
        <w:tc>
          <w:tcPr>
            <w:tcW w:w="1963" w:type="pct"/>
          </w:tcPr>
          <w:p w14:paraId="384F8286"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5D4F1F3A" w14:textId="77777777" w:rsidR="00242DFF" w:rsidRPr="00D4253A" w:rsidRDefault="00C779F8" w:rsidP="00D347C8">
            <w:r w:rsidRPr="00C779F8">
              <w:t>Neeraj Tah</w:t>
            </w:r>
          </w:p>
          <w:p w14:paraId="3F6DD806" w14:textId="77777777" w:rsidR="00242DFF" w:rsidRPr="00D4253A" w:rsidRDefault="0038545B" w:rsidP="00D347C8">
            <w:r w:rsidRPr="0038545B">
              <w:t>Frog Lane Barn, 86 Sand Street, Longbridge Deverill, Warminster, BA12 7DS</w:t>
            </w:r>
          </w:p>
        </w:tc>
      </w:tr>
      <w:tr w:rsidR="00242DFF" w14:paraId="1F43BBBD" w14:textId="77777777" w:rsidTr="00D347C8">
        <w:tc>
          <w:tcPr>
            <w:tcW w:w="1963" w:type="pct"/>
          </w:tcPr>
          <w:p w14:paraId="0909150F"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3C799486" w14:textId="77777777" w:rsidR="00242DFF" w:rsidRPr="00D4253A" w:rsidRDefault="00242DFF" w:rsidP="00D347C8">
            <w:r w:rsidRPr="00D4253A">
              <w:t>Revamp Your Tank Scheme - replacement of septic tanks with treatment plants</w:t>
            </w:r>
          </w:p>
        </w:tc>
      </w:tr>
      <w:tr w:rsidR="00242DFF" w14:paraId="4B412923" w14:textId="77777777" w:rsidTr="00D347C8">
        <w:tc>
          <w:tcPr>
            <w:tcW w:w="1963" w:type="pct"/>
          </w:tcPr>
          <w:p w14:paraId="0485FA16" w14:textId="77777777" w:rsidR="00242DFF" w:rsidRPr="00D347C8" w:rsidRDefault="00242DFF" w:rsidP="00242DFF">
            <w:pPr>
              <w:rPr>
                <w:rFonts w:cs="Arial"/>
                <w:b/>
                <w:bCs/>
              </w:rPr>
            </w:pPr>
            <w:r w:rsidRPr="00D347C8">
              <w:rPr>
                <w:rFonts w:cs="Arial"/>
                <w:b/>
                <w:bCs/>
              </w:rPr>
              <w:t>At:</w:t>
            </w:r>
          </w:p>
        </w:tc>
        <w:tc>
          <w:tcPr>
            <w:tcW w:w="3037" w:type="pct"/>
          </w:tcPr>
          <w:p w14:paraId="22D7C8DA" w14:textId="77777777" w:rsidR="00242DFF" w:rsidRPr="009B3AF8" w:rsidRDefault="00242DFF" w:rsidP="00D347C8">
            <w:r w:rsidRPr="00D4253A">
              <w:t>Frog Lane Barn, 86 Sand Street, Longbridge Deverill, Warminster, BA12 7DS</w:t>
            </w:r>
          </w:p>
        </w:tc>
      </w:tr>
    </w:tbl>
    <w:p w14:paraId="1DD40AAB" w14:textId="77777777" w:rsidR="00CD14C2" w:rsidRDefault="00CD14C2" w:rsidP="007D0800">
      <w:pPr>
        <w:spacing w:after="0" w:line="240" w:lineRule="auto"/>
        <w:rPr>
          <w:rFonts w:cs="Arial"/>
          <w:sz w:val="24"/>
          <w:szCs w:val="24"/>
        </w:rPr>
      </w:pPr>
    </w:p>
    <w:p w14:paraId="6AAA0BA0" w14:textId="77777777" w:rsidR="00453162" w:rsidRDefault="00453162" w:rsidP="00A72946">
      <w:pPr>
        <w:pStyle w:val="NormalWeb"/>
        <w:jc w:val="both"/>
        <w:divId w:val="724721422"/>
        <w:rPr>
          <w:rFonts w:ascii="Arial" w:hAnsi="Arial" w:cs="Arial"/>
          <w:color w:val="000000"/>
          <w:sz w:val="22"/>
          <w:szCs w:val="22"/>
        </w:rPr>
      </w:pPr>
      <w:r>
        <w:rPr>
          <w:rFonts w:ascii="Arial" w:hAnsi="Arial" w:cs="Arial"/>
          <w:color w:val="000000"/>
          <w:sz w:val="22"/>
          <w:szCs w:val="22"/>
        </w:rPr>
        <w:t>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for the above development to be carried out in accordance with the application and plans submitted (listed below).</w:t>
      </w:r>
    </w:p>
    <w:p w14:paraId="188CDA3C" w14:textId="77777777" w:rsidR="00453162" w:rsidRDefault="00453162" w:rsidP="00A72946">
      <w:pPr>
        <w:pStyle w:val="NormalWeb"/>
        <w:jc w:val="both"/>
        <w:divId w:val="724721422"/>
        <w:rPr>
          <w:rFonts w:ascii="Arial" w:hAnsi="Arial" w:cs="Arial"/>
          <w:color w:val="000000"/>
          <w:sz w:val="22"/>
          <w:szCs w:val="22"/>
        </w:rPr>
      </w:pPr>
      <w:r>
        <w:rPr>
          <w:rFonts w:ascii="Arial" w:hAnsi="Arial" w:cs="Arial"/>
          <w:color w:val="000000"/>
          <w:sz w:val="22"/>
          <w:szCs w:val="22"/>
        </w:rPr>
        <w:t>In accordance with policy DM3 (1)(a) of the National Planning Policy Framework, Wiltshire Council has worked proactively to secure this development to improve the economic, social and environmental conditions of the area.</w:t>
      </w:r>
    </w:p>
    <w:p w14:paraId="6E9CF2DB" w14:textId="77777777" w:rsidR="00453162" w:rsidRDefault="00453162" w:rsidP="00A72946">
      <w:pPr>
        <w:pStyle w:val="NormalWeb"/>
        <w:jc w:val="both"/>
        <w:divId w:val="724721422"/>
        <w:rPr>
          <w:rFonts w:ascii="Arial" w:hAnsi="Arial" w:cs="Arial"/>
          <w:color w:val="000000"/>
          <w:sz w:val="22"/>
          <w:szCs w:val="22"/>
        </w:rPr>
      </w:pPr>
      <w:r>
        <w:rPr>
          <w:rFonts w:ascii="Arial" w:hAnsi="Arial" w:cs="Arial"/>
          <w:color w:val="000000"/>
          <w:sz w:val="22"/>
          <w:szCs w:val="22"/>
        </w:rPr>
        <w:t>Subject to the following conditions:</w:t>
      </w:r>
    </w:p>
    <w:p w14:paraId="161DAB34" w14:textId="77777777" w:rsidR="0096046A" w:rsidRDefault="0096046A" w:rsidP="00A72946">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598545E2" w14:textId="77777777" w:rsidTr="009B3AF8">
        <w:tc>
          <w:tcPr>
            <w:tcW w:w="5000" w:type="pct"/>
            <w:gridSpan w:val="2"/>
            <w:hideMark/>
          </w:tcPr>
          <w:p w14:paraId="0B3DB63F" w14:textId="77777777" w:rsidR="009A33F3" w:rsidRPr="001523BC" w:rsidRDefault="009A33F3" w:rsidP="00A72946">
            <w:pPr>
              <w:pStyle w:val="NoSpacing"/>
              <w:spacing w:line="276" w:lineRule="auto"/>
              <w:jc w:val="both"/>
              <w:rPr>
                <w:rFonts w:ascii="Arial" w:hAnsi="Arial" w:cs="Arial"/>
                <w:sz w:val="24"/>
                <w:szCs w:val="24"/>
                <w:lang w:val="en-US"/>
              </w:rPr>
            </w:pPr>
          </w:p>
        </w:tc>
      </w:tr>
      <w:tr w:rsidR="009A33F3" w:rsidRPr="001523BC" w14:paraId="793B2968" w14:textId="77777777" w:rsidTr="009B3AF8">
        <w:tc>
          <w:tcPr>
            <w:tcW w:w="393" w:type="pct"/>
            <w:hideMark/>
          </w:tcPr>
          <w:p w14:paraId="68D6D560" w14:textId="77777777" w:rsidR="00B408A6" w:rsidRPr="00D347C8" w:rsidRDefault="009A33F3" w:rsidP="00A72946">
            <w:pPr>
              <w:jc w:val="both"/>
              <w:rPr>
                <w:rFonts w:cs="Arial"/>
                <w:b/>
                <w:bCs/>
                <w:color w:val="181818"/>
              </w:rPr>
            </w:pPr>
            <w:r w:rsidRPr="00D347C8">
              <w:rPr>
                <w:rFonts w:cs="Arial"/>
                <w:b/>
                <w:bCs/>
                <w:color w:val="181818"/>
              </w:rPr>
              <w:t>1</w:t>
            </w:r>
          </w:p>
          <w:p w14:paraId="14C4C1C2" w14:textId="77777777" w:rsidR="009A33F3" w:rsidRPr="000E791E" w:rsidRDefault="009A33F3" w:rsidP="00A72946">
            <w:pPr>
              <w:pStyle w:val="NoSpacing"/>
              <w:spacing w:line="276" w:lineRule="auto"/>
              <w:jc w:val="both"/>
              <w:rPr>
                <w:rFonts w:ascii="Arial" w:hAnsi="Arial" w:cs="Arial"/>
                <w:lang w:val="en-US"/>
              </w:rPr>
            </w:pPr>
          </w:p>
        </w:tc>
        <w:tc>
          <w:tcPr>
            <w:tcW w:w="4607" w:type="pct"/>
            <w:hideMark/>
          </w:tcPr>
          <w:p w14:paraId="5B49E8F2" w14:textId="77777777" w:rsidR="00453162" w:rsidRDefault="00453162" w:rsidP="00A72946">
            <w:pPr>
              <w:pStyle w:val="NormalWeb"/>
              <w:jc w:val="both"/>
              <w:divId w:val="1647930134"/>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5EE25A96" w14:textId="4EAC6FA3" w:rsidR="00453162" w:rsidRDefault="00453162" w:rsidP="00A72946">
            <w:pPr>
              <w:pStyle w:val="NormalWeb"/>
              <w:jc w:val="both"/>
              <w:divId w:val="1647930134"/>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2CBA116C" w14:textId="77777777" w:rsidR="009A33F3" w:rsidRPr="00FA59D5" w:rsidRDefault="009A33F3" w:rsidP="00A72946">
            <w:pPr>
              <w:jc w:val="both"/>
              <w:rPr>
                <w:lang w:val="en-US"/>
              </w:rPr>
            </w:pPr>
          </w:p>
        </w:tc>
      </w:tr>
      <w:tr w:rsidR="009A33F3" w:rsidRPr="001523BC" w14:paraId="5184CFEC" w14:textId="77777777" w:rsidTr="009B3AF8">
        <w:tc>
          <w:tcPr>
            <w:tcW w:w="393" w:type="pct"/>
            <w:hideMark/>
          </w:tcPr>
          <w:p w14:paraId="6DB07E6E" w14:textId="77777777" w:rsidR="00B408A6" w:rsidRPr="00D347C8" w:rsidRDefault="009A33F3" w:rsidP="00A72946">
            <w:pPr>
              <w:jc w:val="both"/>
              <w:rPr>
                <w:rFonts w:cs="Arial"/>
                <w:b/>
                <w:bCs/>
                <w:color w:val="181818"/>
              </w:rPr>
            </w:pPr>
            <w:r w:rsidRPr="00D347C8">
              <w:rPr>
                <w:rFonts w:cs="Arial"/>
                <w:b/>
                <w:bCs/>
                <w:color w:val="181818"/>
              </w:rPr>
              <w:t>2</w:t>
            </w:r>
          </w:p>
          <w:p w14:paraId="26EF2159" w14:textId="77777777" w:rsidR="009A33F3" w:rsidRPr="000E791E" w:rsidRDefault="009A33F3" w:rsidP="00A72946">
            <w:pPr>
              <w:pStyle w:val="NoSpacing"/>
              <w:spacing w:line="276" w:lineRule="auto"/>
              <w:jc w:val="both"/>
              <w:rPr>
                <w:rFonts w:ascii="Arial" w:hAnsi="Arial" w:cs="Arial"/>
                <w:lang w:val="en-US"/>
              </w:rPr>
            </w:pPr>
          </w:p>
        </w:tc>
        <w:tc>
          <w:tcPr>
            <w:tcW w:w="4607" w:type="pct"/>
            <w:hideMark/>
          </w:tcPr>
          <w:p w14:paraId="0E68359D" w14:textId="48438DB1" w:rsidR="00453162" w:rsidRDefault="00453162" w:rsidP="00A72946">
            <w:pPr>
              <w:pStyle w:val="NormalWeb"/>
              <w:jc w:val="both"/>
              <w:divId w:val="2054846449"/>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r>
              <w:rPr>
                <w:rFonts w:ascii="Arial" w:hAnsi="Arial" w:cs="Arial"/>
                <w:color w:val="000000"/>
                <w:sz w:val="22"/>
                <w:szCs w:val="22"/>
              </w:rPr>
              <w:t> </w:t>
            </w:r>
          </w:p>
          <w:p w14:paraId="4EDD8780" w14:textId="77777777" w:rsidR="00453162" w:rsidRDefault="00453162" w:rsidP="00A72946">
            <w:pPr>
              <w:pStyle w:val="NormalWeb"/>
              <w:spacing w:before="0" w:beforeAutospacing="0" w:after="0" w:afterAutospacing="0"/>
              <w:jc w:val="both"/>
              <w:divId w:val="2054846449"/>
              <w:rPr>
                <w:rFonts w:ascii="Arial" w:hAnsi="Arial" w:cs="Arial"/>
                <w:color w:val="000000"/>
                <w:sz w:val="22"/>
                <w:szCs w:val="22"/>
              </w:rPr>
            </w:pPr>
            <w:r>
              <w:rPr>
                <w:rFonts w:ascii="Arial" w:hAnsi="Arial" w:cs="Arial"/>
                <w:color w:val="000000"/>
                <w:sz w:val="22"/>
                <w:szCs w:val="22"/>
              </w:rPr>
              <w:t>Location Plan (28 July 2025)</w:t>
            </w:r>
          </w:p>
          <w:p w14:paraId="23A40D92" w14:textId="77777777" w:rsidR="00453162" w:rsidRDefault="00453162" w:rsidP="00A72946">
            <w:pPr>
              <w:pStyle w:val="NormalWeb"/>
              <w:spacing w:before="0" w:beforeAutospacing="0" w:after="0" w:afterAutospacing="0"/>
              <w:jc w:val="both"/>
              <w:divId w:val="2054846449"/>
              <w:rPr>
                <w:rFonts w:ascii="Arial" w:hAnsi="Arial" w:cs="Arial"/>
                <w:color w:val="000000"/>
                <w:sz w:val="22"/>
                <w:szCs w:val="22"/>
              </w:rPr>
            </w:pPr>
            <w:r>
              <w:rPr>
                <w:rFonts w:ascii="Arial" w:hAnsi="Arial" w:cs="Arial"/>
                <w:color w:val="000000"/>
                <w:sz w:val="22"/>
                <w:szCs w:val="22"/>
              </w:rPr>
              <w:t>Site Plan (28 July 2025)</w:t>
            </w:r>
          </w:p>
          <w:p w14:paraId="69AA1D99" w14:textId="40889139" w:rsidR="00453162" w:rsidRDefault="00453162" w:rsidP="00A72946">
            <w:pPr>
              <w:pStyle w:val="NormalWeb"/>
              <w:spacing w:before="0" w:beforeAutospacing="0" w:after="0" w:afterAutospacing="0"/>
              <w:jc w:val="both"/>
              <w:divId w:val="2054846449"/>
              <w:rPr>
                <w:rFonts w:ascii="Arial" w:hAnsi="Arial" w:cs="Arial"/>
                <w:color w:val="000000"/>
                <w:sz w:val="22"/>
                <w:szCs w:val="22"/>
              </w:rPr>
            </w:pPr>
            <w:r>
              <w:rPr>
                <w:rFonts w:ascii="Arial" w:hAnsi="Arial" w:cs="Arial"/>
                <w:color w:val="000000"/>
                <w:sz w:val="22"/>
                <w:szCs w:val="22"/>
              </w:rPr>
              <w:t>Vortex S 6 0.55 Tank (28 July 2025)</w:t>
            </w:r>
            <w:r>
              <w:rPr>
                <w:rFonts w:ascii="Arial" w:hAnsi="Arial" w:cs="Arial"/>
                <w:color w:val="000000"/>
                <w:sz w:val="22"/>
                <w:szCs w:val="22"/>
              </w:rPr>
              <w:t> </w:t>
            </w:r>
          </w:p>
          <w:p w14:paraId="7D0F524F" w14:textId="629F9218" w:rsidR="00453162" w:rsidRDefault="00453162" w:rsidP="00A72946">
            <w:pPr>
              <w:pStyle w:val="NormalWeb"/>
              <w:jc w:val="both"/>
              <w:divId w:val="2054846449"/>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49C71365" w14:textId="77777777" w:rsidR="00A72946" w:rsidRDefault="00A72946" w:rsidP="00A72946">
            <w:pPr>
              <w:pStyle w:val="NormalWeb"/>
              <w:jc w:val="both"/>
              <w:divId w:val="2054846449"/>
              <w:rPr>
                <w:rFonts w:ascii="Arial" w:hAnsi="Arial" w:cs="Arial"/>
                <w:color w:val="000000"/>
                <w:sz w:val="22"/>
                <w:szCs w:val="22"/>
              </w:rPr>
            </w:pPr>
          </w:p>
          <w:p w14:paraId="4FD5A0C0" w14:textId="77777777" w:rsidR="009A33F3" w:rsidRPr="00FA59D5" w:rsidRDefault="009A33F3" w:rsidP="00A72946">
            <w:pPr>
              <w:jc w:val="both"/>
              <w:rPr>
                <w:lang w:val="en-US"/>
              </w:rPr>
            </w:pPr>
          </w:p>
        </w:tc>
      </w:tr>
      <w:tr w:rsidR="009A33F3" w:rsidRPr="001523BC" w14:paraId="26CDFD5F" w14:textId="77777777" w:rsidTr="009B3AF8">
        <w:tc>
          <w:tcPr>
            <w:tcW w:w="393" w:type="pct"/>
            <w:hideMark/>
          </w:tcPr>
          <w:p w14:paraId="6F297955" w14:textId="77777777" w:rsidR="00B408A6" w:rsidRPr="00D347C8" w:rsidRDefault="009A33F3" w:rsidP="00A72946">
            <w:pPr>
              <w:jc w:val="both"/>
              <w:rPr>
                <w:rFonts w:cs="Arial"/>
                <w:b/>
                <w:bCs/>
                <w:color w:val="181818"/>
              </w:rPr>
            </w:pPr>
            <w:r w:rsidRPr="00D347C8">
              <w:rPr>
                <w:rFonts w:cs="Arial"/>
                <w:b/>
                <w:bCs/>
                <w:color w:val="181818"/>
              </w:rPr>
              <w:t>3</w:t>
            </w:r>
          </w:p>
          <w:p w14:paraId="2520A199" w14:textId="77777777" w:rsidR="009A33F3" w:rsidRPr="000E791E" w:rsidRDefault="009A33F3" w:rsidP="00A72946">
            <w:pPr>
              <w:pStyle w:val="NoSpacing"/>
              <w:spacing w:line="276" w:lineRule="auto"/>
              <w:jc w:val="both"/>
              <w:rPr>
                <w:rFonts w:ascii="Arial" w:hAnsi="Arial" w:cs="Arial"/>
                <w:lang w:val="en-US"/>
              </w:rPr>
            </w:pPr>
          </w:p>
        </w:tc>
        <w:tc>
          <w:tcPr>
            <w:tcW w:w="4607" w:type="pct"/>
            <w:hideMark/>
          </w:tcPr>
          <w:p w14:paraId="2224C04A" w14:textId="1EB497E9" w:rsidR="00453162" w:rsidRDefault="00453162" w:rsidP="00A72946">
            <w:pPr>
              <w:pStyle w:val="NormalWeb"/>
              <w:jc w:val="both"/>
              <w:divId w:val="1111126551"/>
              <w:rPr>
                <w:rFonts w:ascii="Arial" w:hAnsi="Arial" w:cs="Arial"/>
                <w:color w:val="000000"/>
                <w:sz w:val="22"/>
                <w:szCs w:val="22"/>
              </w:rPr>
            </w:pPr>
            <w:r>
              <w:rPr>
                <w:rFonts w:ascii="Arial" w:hAnsi="Arial" w:cs="Arial"/>
                <w:color w:val="000000"/>
                <w:sz w:val="22"/>
                <w:szCs w:val="22"/>
              </w:rPr>
              <w:t xml:space="preserve">The sewage treatment plant and drainage field hereby approved shall be installed, maintained and operated for the lifetime of the development without chemical dosing, in accordance with the submitted specification and details hereby approved. </w:t>
            </w:r>
            <w:r>
              <w:rPr>
                <w:rFonts w:ascii="Arial" w:hAnsi="Arial" w:cs="Arial"/>
                <w:color w:val="000000"/>
                <w:sz w:val="22"/>
                <w:szCs w:val="22"/>
              </w:rPr>
              <w:t> </w:t>
            </w:r>
          </w:p>
          <w:p w14:paraId="2DE51F9C" w14:textId="11347C6C" w:rsidR="00453162" w:rsidRDefault="00453162" w:rsidP="00A72946">
            <w:pPr>
              <w:pStyle w:val="NormalWeb"/>
              <w:jc w:val="both"/>
              <w:divId w:val="1111126551"/>
              <w:rPr>
                <w:rFonts w:ascii="Arial" w:hAnsi="Arial" w:cs="Arial"/>
                <w:color w:val="000000"/>
                <w:sz w:val="22"/>
                <w:szCs w:val="22"/>
              </w:rPr>
            </w:pPr>
            <w:r>
              <w:rPr>
                <w:rFonts w:ascii="Arial" w:hAnsi="Arial" w:cs="Arial"/>
                <w:color w:val="000000"/>
                <w:sz w:val="22"/>
                <w:szCs w:val="22"/>
              </w:rPr>
              <w:t>REASON: To enable the development to contribute towards the nutrient neutrality aims of the Council and to accord with the Habitats Regulations, and to ensure that groundwater resources and quality will be protected throughout the construction and operational phases of the development hereby approved in accordance with Core Policy 68.</w:t>
            </w:r>
          </w:p>
          <w:p w14:paraId="49FA6A54" w14:textId="77777777" w:rsidR="009A33F3" w:rsidRPr="00FA59D5" w:rsidRDefault="009A33F3" w:rsidP="00A72946">
            <w:pPr>
              <w:jc w:val="both"/>
              <w:rPr>
                <w:lang w:val="en-US"/>
              </w:rPr>
            </w:pPr>
          </w:p>
        </w:tc>
      </w:tr>
      <w:tr w:rsidR="009A33F3" w:rsidRPr="001523BC" w14:paraId="71224F83" w14:textId="77777777" w:rsidTr="009B3AF8">
        <w:tc>
          <w:tcPr>
            <w:tcW w:w="393" w:type="pct"/>
            <w:hideMark/>
          </w:tcPr>
          <w:p w14:paraId="477DEBB8" w14:textId="77777777" w:rsidR="00B408A6" w:rsidRPr="00D347C8" w:rsidRDefault="009A33F3" w:rsidP="00A72946">
            <w:pPr>
              <w:jc w:val="both"/>
              <w:rPr>
                <w:rFonts w:cs="Arial"/>
                <w:b/>
                <w:bCs/>
                <w:color w:val="181818"/>
              </w:rPr>
            </w:pPr>
            <w:r w:rsidRPr="00D347C8">
              <w:rPr>
                <w:rFonts w:cs="Arial"/>
                <w:b/>
                <w:bCs/>
                <w:color w:val="181818"/>
              </w:rPr>
              <w:t>4</w:t>
            </w:r>
          </w:p>
          <w:p w14:paraId="44C8D340" w14:textId="77777777" w:rsidR="009A33F3" w:rsidRPr="000E791E" w:rsidRDefault="009A33F3" w:rsidP="00A72946">
            <w:pPr>
              <w:pStyle w:val="NoSpacing"/>
              <w:spacing w:line="276" w:lineRule="auto"/>
              <w:jc w:val="both"/>
              <w:rPr>
                <w:rFonts w:ascii="Arial" w:hAnsi="Arial" w:cs="Arial"/>
                <w:lang w:val="en-US"/>
              </w:rPr>
            </w:pPr>
          </w:p>
        </w:tc>
        <w:tc>
          <w:tcPr>
            <w:tcW w:w="4607" w:type="pct"/>
            <w:hideMark/>
          </w:tcPr>
          <w:p w14:paraId="7A35733B" w14:textId="02AEBC68" w:rsidR="00453162" w:rsidRDefault="00453162" w:rsidP="00A72946">
            <w:pPr>
              <w:pStyle w:val="NormalWeb"/>
              <w:jc w:val="both"/>
              <w:divId w:val="1269964191"/>
              <w:rPr>
                <w:rFonts w:ascii="Arial" w:hAnsi="Arial" w:cs="Arial"/>
                <w:color w:val="000000"/>
                <w:sz w:val="22"/>
                <w:szCs w:val="22"/>
              </w:rPr>
            </w:pPr>
            <w:r>
              <w:rPr>
                <w:rFonts w:ascii="Arial" w:hAnsi="Arial" w:cs="Arial"/>
                <w:color w:val="000000"/>
                <w:sz w:val="22"/>
                <w:szCs w:val="22"/>
              </w:rPr>
              <w:t>Any future replacement of the system hereby approved, shall have an equivalent treatment efficiency of at least 5 mg/l for Total Phosphorus removal and must meet the requirements of the relevant planning and environmental legislation.</w:t>
            </w:r>
          </w:p>
          <w:p w14:paraId="6F92927F" w14:textId="77777777" w:rsidR="00453162" w:rsidRDefault="00453162" w:rsidP="00A72946">
            <w:pPr>
              <w:pStyle w:val="NormalWeb"/>
              <w:jc w:val="both"/>
              <w:divId w:val="1269964191"/>
              <w:rPr>
                <w:rFonts w:ascii="Arial" w:hAnsi="Arial" w:cs="Arial"/>
                <w:color w:val="000000"/>
                <w:sz w:val="22"/>
                <w:szCs w:val="22"/>
              </w:rPr>
            </w:pPr>
            <w:r>
              <w:rPr>
                <w:rFonts w:ascii="Arial" w:hAnsi="Arial" w:cs="Arial"/>
                <w:color w:val="000000"/>
                <w:sz w:val="22"/>
                <w:szCs w:val="22"/>
              </w:rPr>
              <w:t>REASON: To enable the development to contribute towards the nutrient neutrality aims of the Council and to accord with the Habitats Regulations, and to accord with Core Policy 50 through the long-term protection of ecological value.</w:t>
            </w:r>
          </w:p>
          <w:p w14:paraId="650AF9E9" w14:textId="77777777" w:rsidR="009A33F3" w:rsidRPr="00FA59D5" w:rsidRDefault="009A33F3" w:rsidP="00A72946">
            <w:pPr>
              <w:jc w:val="both"/>
              <w:rPr>
                <w:lang w:val="en-US"/>
              </w:rPr>
            </w:pPr>
          </w:p>
        </w:tc>
      </w:tr>
    </w:tbl>
    <w:p w14:paraId="4C5135B2" w14:textId="77777777" w:rsidR="003C361A" w:rsidRPr="001523BC" w:rsidRDefault="003C361A" w:rsidP="00A72946">
      <w:pPr>
        <w:pStyle w:val="NoSpacing"/>
        <w:spacing w:line="276" w:lineRule="auto"/>
        <w:jc w:val="both"/>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6C9D776A" w14:textId="77777777" w:rsidTr="009B3AF8">
        <w:tc>
          <w:tcPr>
            <w:tcW w:w="5000" w:type="pct"/>
            <w:gridSpan w:val="2"/>
            <w:hideMark/>
          </w:tcPr>
          <w:p w14:paraId="6285D716" w14:textId="77777777" w:rsidR="00C25B5D" w:rsidRPr="00D347C8" w:rsidRDefault="00C25B5D" w:rsidP="00A72946">
            <w:pPr>
              <w:jc w:val="both"/>
              <w:rPr>
                <w:b/>
                <w:bCs/>
              </w:rPr>
            </w:pPr>
            <w:r w:rsidRPr="00D347C8">
              <w:rPr>
                <w:b/>
                <w:bCs/>
              </w:rPr>
              <w:t>Informative</w:t>
            </w:r>
          </w:p>
          <w:p w14:paraId="439956A3" w14:textId="77777777" w:rsidR="00B408A6" w:rsidRPr="001523BC" w:rsidRDefault="00B408A6" w:rsidP="00A72946">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053CE102" w14:textId="77777777" w:rsidTr="009B3AF8">
        <w:tc>
          <w:tcPr>
            <w:tcW w:w="390" w:type="pct"/>
            <w:hideMark/>
          </w:tcPr>
          <w:p w14:paraId="6FFB134B" w14:textId="047E9A22" w:rsidR="00B408A6" w:rsidRPr="00D347C8" w:rsidRDefault="00B408A6" w:rsidP="00A72946">
            <w:pPr>
              <w:jc w:val="both"/>
              <w:rPr>
                <w:b/>
                <w:bCs/>
              </w:rPr>
            </w:pPr>
          </w:p>
          <w:p w14:paraId="0E2012C5" w14:textId="77777777" w:rsidR="00B408A6" w:rsidRPr="000E791E" w:rsidRDefault="00B408A6" w:rsidP="00A72946">
            <w:pPr>
              <w:jc w:val="both"/>
              <w:rPr>
                <w:lang w:val="en-US"/>
              </w:rPr>
            </w:pPr>
          </w:p>
        </w:tc>
        <w:tc>
          <w:tcPr>
            <w:tcW w:w="4610" w:type="pct"/>
            <w:hideMark/>
          </w:tcPr>
          <w:p w14:paraId="6FE053D7" w14:textId="07EBAE40" w:rsidR="00453162" w:rsidRDefault="00453162" w:rsidP="00A72946">
            <w:pPr>
              <w:pStyle w:val="NormalWeb"/>
              <w:jc w:val="both"/>
              <w:divId w:val="1942831534"/>
              <w:rPr>
                <w:rFonts w:ascii="Arial" w:hAnsi="Arial" w:cs="Arial"/>
                <w:color w:val="000000"/>
                <w:sz w:val="22"/>
                <w:szCs w:val="22"/>
              </w:rPr>
            </w:pPr>
            <w:r>
              <w:rPr>
                <w:rFonts w:ascii="Arial" w:hAnsi="Arial" w:cs="Arial"/>
                <w:color w:val="000000"/>
                <w:sz w:val="22"/>
                <w:szCs w:val="22"/>
              </w:rPr>
              <w:t>Non-Mains Drainage: Primary responsibility for ensuring sewage systems for new developments are adequate lies with the Building Control Department. Consent under the Building Regulations is likely to be required in most cases. Further details on the Building Regulations can be obtained from the Wiltshire Council Building Control Service.</w:t>
            </w:r>
          </w:p>
          <w:p w14:paraId="0E27DA86" w14:textId="77887194" w:rsidR="00453162" w:rsidRDefault="00453162" w:rsidP="00A72946">
            <w:pPr>
              <w:pStyle w:val="NormalWeb"/>
              <w:jc w:val="both"/>
              <w:divId w:val="1942831534"/>
              <w:rPr>
                <w:rFonts w:ascii="Arial" w:hAnsi="Arial" w:cs="Arial"/>
                <w:color w:val="000000"/>
                <w:sz w:val="22"/>
                <w:szCs w:val="22"/>
              </w:rPr>
            </w:pPr>
            <w:r>
              <w:rPr>
                <w:rFonts w:ascii="Arial" w:hAnsi="Arial" w:cs="Arial"/>
                <w:color w:val="000000"/>
                <w:sz w:val="22"/>
                <w:szCs w:val="22"/>
              </w:rPr>
              <w:t>An installation of a package treatment plant (PTP) needs to meet the requirements of the General Binding Rules, or if an environmental permit is required, ensure it is in line with any approved permit. Other environmental permissions may be required.</w:t>
            </w:r>
          </w:p>
          <w:p w14:paraId="0477303B" w14:textId="487A2F62" w:rsidR="00453162" w:rsidRDefault="00453162" w:rsidP="00A72946">
            <w:pPr>
              <w:pStyle w:val="NormalWeb"/>
              <w:jc w:val="both"/>
              <w:divId w:val="1942831534"/>
              <w:rPr>
                <w:rFonts w:ascii="Arial" w:hAnsi="Arial" w:cs="Arial"/>
                <w:color w:val="000000"/>
                <w:sz w:val="22"/>
                <w:szCs w:val="22"/>
              </w:rPr>
            </w:pPr>
            <w:r>
              <w:rPr>
                <w:rFonts w:ascii="Arial" w:hAnsi="Arial" w:cs="Arial"/>
                <w:color w:val="000000"/>
                <w:sz w:val="22"/>
                <w:szCs w:val="22"/>
              </w:rPr>
              <w:t xml:space="preserve">The Applicant should understand whether they could form part of a sewerage undertaker’s legal duty (Wessex Water in this instance) to build and pay for a new sewer to connect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neighbouring properties (known as first time sewerage). An asset register will be used to record installations in the catchment.</w:t>
            </w:r>
          </w:p>
          <w:p w14:paraId="74D6EA90" w14:textId="127895DA" w:rsidR="00453162" w:rsidRDefault="00453162" w:rsidP="00A72946">
            <w:pPr>
              <w:pStyle w:val="NormalWeb"/>
              <w:jc w:val="both"/>
              <w:divId w:val="1942831534"/>
              <w:rPr>
                <w:rFonts w:ascii="Arial" w:hAnsi="Arial" w:cs="Arial"/>
                <w:color w:val="000000"/>
                <w:sz w:val="22"/>
                <w:szCs w:val="22"/>
              </w:rPr>
            </w:pPr>
            <w:r>
              <w:rPr>
                <w:rFonts w:ascii="Arial" w:hAnsi="Arial" w:cs="Arial"/>
                <w:color w:val="000000"/>
                <w:sz w:val="22"/>
                <w:szCs w:val="22"/>
              </w:rPr>
              <w:t>Any outfall to the Kennet &amp; Avon Canal, regardless of the need for planning permission or otherwise, will require a licence from the Canal &amp; River Trust as well as the Environment Agency.</w:t>
            </w:r>
          </w:p>
          <w:p w14:paraId="73F191B7" w14:textId="77777777" w:rsidR="00453162" w:rsidRDefault="00453162" w:rsidP="00A72946">
            <w:pPr>
              <w:pStyle w:val="NormalWeb"/>
              <w:jc w:val="both"/>
              <w:divId w:val="1942831534"/>
              <w:rPr>
                <w:rFonts w:ascii="Arial" w:hAnsi="Arial" w:cs="Arial"/>
                <w:color w:val="000000"/>
                <w:sz w:val="22"/>
                <w:szCs w:val="22"/>
              </w:rPr>
            </w:pPr>
            <w:r>
              <w:rPr>
                <w:rFonts w:ascii="Arial" w:hAnsi="Arial" w:cs="Arial"/>
                <w:color w:val="000000"/>
                <w:sz w:val="22"/>
                <w:szCs w:val="22"/>
              </w:rPr>
              <w:t>Pollution Prevention During Construction safeguards should be implemented during the construction phase to minimise the risks of pollution from the development. Such safeguards should cover: the use of plant and machinery; oils/chemicals and materials; the use and routing of heavy plant and vehicles; the location and form of work and storage areas and compounds; the control and removal of spoil and waste.</w:t>
            </w:r>
          </w:p>
          <w:p w14:paraId="15701FFB" w14:textId="77777777" w:rsidR="00453162" w:rsidRDefault="00453162" w:rsidP="00A72946">
            <w:pPr>
              <w:pStyle w:val="NormalWeb"/>
              <w:jc w:val="both"/>
              <w:divId w:val="1942831534"/>
              <w:rPr>
                <w:rFonts w:ascii="Arial" w:hAnsi="Arial" w:cs="Arial"/>
                <w:color w:val="000000"/>
                <w:sz w:val="22"/>
                <w:szCs w:val="22"/>
              </w:rPr>
            </w:pPr>
          </w:p>
          <w:p w14:paraId="317D88F7" w14:textId="3719781B" w:rsidR="00453162" w:rsidRDefault="00453162" w:rsidP="00A72946">
            <w:pPr>
              <w:pStyle w:val="NormalWeb"/>
              <w:jc w:val="both"/>
              <w:divId w:val="1942831534"/>
              <w:rPr>
                <w:rFonts w:ascii="Arial" w:hAnsi="Arial" w:cs="Arial"/>
                <w:color w:val="000000"/>
                <w:sz w:val="22"/>
                <w:szCs w:val="22"/>
              </w:rPr>
            </w:pPr>
            <w:r>
              <w:rPr>
                <w:rFonts w:ascii="Arial" w:hAnsi="Arial" w:cs="Arial"/>
                <w:color w:val="000000"/>
                <w:sz w:val="22"/>
                <w:szCs w:val="22"/>
              </w:rPr>
              <w:t xml:space="preserve">The Environmental Permitting (England &amp; </w:t>
            </w:r>
            <w:r>
              <w:rPr>
                <w:rFonts w:ascii="Arial" w:hAnsi="Arial" w:cs="Arial"/>
                <w:color w:val="000000"/>
                <w:sz w:val="22"/>
                <w:szCs w:val="22"/>
              </w:rPr>
              <w:t>Wales) Regulations 2016 make it an offence to cause or knowingly permit a groundwater activity unless authorised by an environmental permit which the Environment Agency will issue. A groundwater activity includes any discharge that will result in the input of pollutants to groundwater.</w:t>
            </w:r>
          </w:p>
          <w:p w14:paraId="60A1AAC4" w14:textId="67216837" w:rsidR="00453162" w:rsidRDefault="00453162" w:rsidP="00A72946">
            <w:pPr>
              <w:pStyle w:val="NormalWeb"/>
              <w:jc w:val="both"/>
              <w:divId w:val="1942831534"/>
              <w:rPr>
                <w:rFonts w:ascii="Arial" w:hAnsi="Arial" w:cs="Arial"/>
                <w:color w:val="000000"/>
                <w:sz w:val="22"/>
                <w:szCs w:val="22"/>
              </w:rPr>
            </w:pPr>
            <w:r>
              <w:rPr>
                <w:rFonts w:ascii="Arial" w:hAnsi="Arial" w:cs="Arial"/>
                <w:color w:val="000000"/>
                <w:sz w:val="22"/>
                <w:szCs w:val="22"/>
              </w:rPr>
              <w:t xml:space="preserve">The discharge of domestic sewage associated with a development may require an environmental permit under the Environmental Permitting (England &amp; </w:t>
            </w:r>
            <w:r>
              <w:rPr>
                <w:rFonts w:ascii="Arial" w:hAnsi="Arial" w:cs="Arial"/>
                <w:color w:val="000000"/>
                <w:sz w:val="22"/>
                <w:szCs w:val="22"/>
              </w:rPr>
              <w:t>Wales) Regulations 2016, from the Environment Agency, unless an exemption applies. The End 2 applicant is advised to contact the Environment Agency on 03708 506 506 for further advice and to discuss the issues likely to be raised. You should be aware that there is no guarantee that a permit will be granted. Additional ‘Environmental Permitting Guidance’ can be found at: https://www.gov.uk/environmental-permitcheck-if-you-need-one.</w:t>
            </w:r>
          </w:p>
          <w:p w14:paraId="4FC40A37" w14:textId="07A7FFF8" w:rsidR="00453162" w:rsidRDefault="00453162" w:rsidP="00A72946">
            <w:pPr>
              <w:pStyle w:val="NormalWeb"/>
              <w:jc w:val="both"/>
              <w:divId w:val="1942831534"/>
              <w:rPr>
                <w:rFonts w:ascii="Arial" w:hAnsi="Arial" w:cs="Arial"/>
                <w:color w:val="000000"/>
                <w:sz w:val="22"/>
                <w:szCs w:val="22"/>
              </w:rPr>
            </w:pPr>
            <w:r>
              <w:rPr>
                <w:rFonts w:ascii="Arial" w:hAnsi="Arial" w:cs="Arial"/>
                <w:color w:val="000000"/>
                <w:sz w:val="22"/>
                <w:szCs w:val="22"/>
              </w:rPr>
              <w:t>The discharge of domestic sewage associated with a development may be subject to General Binding Rules under the Environmental Permitting (England &amp; Wales) Regulations 2016 which provide a statutory baseline of good practice. You can find more information online at https://www.gov.uk/permits-you-need-for-septictanks/permits or contact the Environment Agency on 03708 506506.</w:t>
            </w:r>
          </w:p>
          <w:p w14:paraId="6798A76C" w14:textId="2C8EC5DA" w:rsidR="00453162" w:rsidRDefault="00453162" w:rsidP="00A72946">
            <w:pPr>
              <w:pStyle w:val="NormalWeb"/>
              <w:jc w:val="both"/>
              <w:divId w:val="1942831534"/>
              <w:rPr>
                <w:rFonts w:ascii="Arial" w:hAnsi="Arial" w:cs="Arial"/>
                <w:color w:val="000000"/>
                <w:sz w:val="22"/>
                <w:szCs w:val="22"/>
              </w:rPr>
            </w:pPr>
            <w:r>
              <w:rPr>
                <w:rFonts w:ascii="Arial" w:hAnsi="Arial" w:cs="Arial"/>
                <w:color w:val="000000"/>
                <w:sz w:val="22"/>
                <w:szCs w:val="22"/>
              </w:rPr>
              <w:t>Definitions:</w:t>
            </w:r>
          </w:p>
          <w:p w14:paraId="1E909E4D" w14:textId="7C4911AF" w:rsidR="00453162" w:rsidRDefault="00453162" w:rsidP="00A72946">
            <w:pPr>
              <w:pStyle w:val="NormalWeb"/>
              <w:jc w:val="both"/>
              <w:divId w:val="1942831534"/>
              <w:rPr>
                <w:rFonts w:ascii="Arial" w:hAnsi="Arial" w:cs="Arial"/>
                <w:color w:val="000000"/>
                <w:sz w:val="22"/>
                <w:szCs w:val="22"/>
              </w:rPr>
            </w:pPr>
            <w:r>
              <w:rPr>
                <w:rFonts w:ascii="Arial" w:hAnsi="Arial" w:cs="Arial"/>
                <w:color w:val="000000"/>
                <w:sz w:val="22"/>
                <w:szCs w:val="22"/>
              </w:rPr>
              <w:t>a) </w:t>
            </w:r>
            <w:r>
              <w:rPr>
                <w:rFonts w:ascii="Arial" w:hAnsi="Arial" w:cs="Arial"/>
                <w:color w:val="000000"/>
                <w:sz w:val="22"/>
                <w:szCs w:val="22"/>
              </w:rPr>
              <w:t>European protected site – means a site listed under the Conservation of Habitats and Species Regulations 2017 (S.I. 2017/1012) (see regulation 8) and a Ramsar Site, meaning given at Section 37A of the Wildlife and Countryside Act 1981</w:t>
            </w:r>
          </w:p>
          <w:p w14:paraId="09E429A4" w14:textId="023E8149" w:rsidR="00453162" w:rsidRDefault="00453162" w:rsidP="00A72946">
            <w:pPr>
              <w:pStyle w:val="NormalWeb"/>
              <w:jc w:val="both"/>
              <w:divId w:val="1942831534"/>
              <w:rPr>
                <w:rFonts w:ascii="Arial" w:hAnsi="Arial" w:cs="Arial"/>
                <w:color w:val="000000"/>
                <w:sz w:val="22"/>
                <w:szCs w:val="22"/>
              </w:rPr>
            </w:pPr>
            <w:r>
              <w:rPr>
                <w:rFonts w:ascii="Arial" w:hAnsi="Arial" w:cs="Arial"/>
                <w:color w:val="000000"/>
                <w:sz w:val="22"/>
                <w:szCs w:val="22"/>
              </w:rPr>
              <w:t>b) </w:t>
            </w:r>
            <w:r>
              <w:rPr>
                <w:rFonts w:ascii="Arial" w:hAnsi="Arial" w:cs="Arial"/>
                <w:color w:val="000000"/>
                <w:sz w:val="22"/>
                <w:szCs w:val="22"/>
              </w:rPr>
              <w:t>Site of Special Scientific Interest - has the meaning given at Section 52 of the Wildlife and Countryside Act 1981</w:t>
            </w:r>
          </w:p>
          <w:p w14:paraId="4E3F1EBD" w14:textId="32F28604" w:rsidR="00453162" w:rsidRDefault="00453162" w:rsidP="00A72946">
            <w:pPr>
              <w:pStyle w:val="NormalWeb"/>
              <w:jc w:val="both"/>
              <w:divId w:val="1942831534"/>
              <w:rPr>
                <w:rFonts w:ascii="Arial" w:hAnsi="Arial" w:cs="Arial"/>
                <w:color w:val="000000"/>
                <w:sz w:val="22"/>
                <w:szCs w:val="22"/>
              </w:rPr>
            </w:pPr>
            <w:r>
              <w:rPr>
                <w:rFonts w:ascii="Arial" w:hAnsi="Arial" w:cs="Arial"/>
                <w:color w:val="000000"/>
                <w:sz w:val="22"/>
                <w:szCs w:val="22"/>
              </w:rPr>
              <w:t>c) </w:t>
            </w:r>
            <w:r>
              <w:rPr>
                <w:rFonts w:ascii="Arial" w:hAnsi="Arial" w:cs="Arial"/>
                <w:color w:val="000000"/>
                <w:sz w:val="22"/>
                <w:szCs w:val="22"/>
              </w:rPr>
              <w:t>General Binding Rules means – the standard rules published by the Environment Agency pursuant to the Environmental Permitting Regulations 2016</w:t>
            </w:r>
          </w:p>
          <w:p w14:paraId="66ED3A2A" w14:textId="7526E5C3" w:rsidR="00453162" w:rsidRDefault="00453162" w:rsidP="00A72946">
            <w:pPr>
              <w:pStyle w:val="NormalWeb"/>
              <w:jc w:val="both"/>
              <w:divId w:val="1942831534"/>
              <w:rPr>
                <w:rFonts w:ascii="Arial" w:hAnsi="Arial" w:cs="Arial"/>
                <w:color w:val="000000"/>
                <w:sz w:val="22"/>
                <w:szCs w:val="22"/>
              </w:rPr>
            </w:pPr>
            <w:r>
              <w:rPr>
                <w:rFonts w:ascii="Arial" w:hAnsi="Arial" w:cs="Arial"/>
                <w:color w:val="000000"/>
                <w:sz w:val="22"/>
                <w:szCs w:val="22"/>
              </w:rPr>
              <w:t>d) </w:t>
            </w:r>
            <w:r>
              <w:rPr>
                <w:rFonts w:ascii="Arial" w:hAnsi="Arial" w:cs="Arial"/>
                <w:color w:val="000000"/>
                <w:sz w:val="22"/>
                <w:szCs w:val="22"/>
              </w:rPr>
              <w:t>A phosphorus sensitive catchment area has the same meaning as Section 96C of the Water Industry Act 1991</w:t>
            </w:r>
          </w:p>
          <w:p w14:paraId="4EFEED21" w14:textId="723815E0" w:rsidR="00453162" w:rsidRDefault="00453162" w:rsidP="00A72946">
            <w:pPr>
              <w:pStyle w:val="NormalWeb"/>
              <w:jc w:val="both"/>
              <w:divId w:val="1942831534"/>
              <w:rPr>
                <w:rFonts w:ascii="Arial" w:hAnsi="Arial" w:cs="Arial"/>
                <w:color w:val="000000"/>
                <w:sz w:val="22"/>
                <w:szCs w:val="22"/>
              </w:rPr>
            </w:pPr>
            <w:r>
              <w:rPr>
                <w:rFonts w:ascii="Arial" w:hAnsi="Arial" w:cs="Arial"/>
                <w:color w:val="000000"/>
                <w:sz w:val="22"/>
                <w:szCs w:val="22"/>
              </w:rPr>
              <w:t>e)</w:t>
            </w:r>
            <w:r w:rsidR="00A72946">
              <w:rPr>
                <w:rFonts w:ascii="Arial" w:hAnsi="Arial" w:cs="Arial"/>
                <w:color w:val="000000"/>
                <w:sz w:val="22"/>
                <w:szCs w:val="22"/>
              </w:rPr>
              <w:t xml:space="preserve"> </w:t>
            </w:r>
            <w:r>
              <w:rPr>
                <w:rFonts w:ascii="Arial" w:hAnsi="Arial" w:cs="Arial"/>
                <w:color w:val="000000"/>
                <w:sz w:val="22"/>
                <w:szCs w:val="22"/>
              </w:rPr>
              <w:t>High archaeological and heritage sensitivity – means Registered Parks and Gardens, Scheduled monuments, Registered battlefields, World Heritage Site</w:t>
            </w:r>
          </w:p>
          <w:p w14:paraId="21767B3E" w14:textId="6CAC156E" w:rsidR="00453162" w:rsidRDefault="00453162" w:rsidP="00A72946">
            <w:pPr>
              <w:pStyle w:val="NormalWeb"/>
              <w:jc w:val="both"/>
              <w:divId w:val="1942831534"/>
              <w:rPr>
                <w:rFonts w:ascii="Arial" w:hAnsi="Arial" w:cs="Arial"/>
                <w:color w:val="000000"/>
                <w:sz w:val="22"/>
                <w:szCs w:val="22"/>
              </w:rPr>
            </w:pPr>
            <w:r>
              <w:rPr>
                <w:rFonts w:ascii="Arial" w:hAnsi="Arial" w:cs="Arial"/>
                <w:color w:val="000000"/>
                <w:sz w:val="22"/>
                <w:szCs w:val="22"/>
              </w:rPr>
              <w:t>f) </w:t>
            </w:r>
            <w:proofErr w:type="gramStart"/>
            <w:r>
              <w:rPr>
                <w:rFonts w:ascii="Arial" w:hAnsi="Arial" w:cs="Arial"/>
                <w:color w:val="000000"/>
                <w:sz w:val="22"/>
                <w:szCs w:val="22"/>
              </w:rPr>
              <w:t>Small</w:t>
            </w:r>
            <w:proofErr w:type="gramEnd"/>
            <w:r>
              <w:rPr>
                <w:rFonts w:ascii="Arial" w:hAnsi="Arial" w:cs="Arial"/>
                <w:color w:val="000000"/>
                <w:sz w:val="22"/>
                <w:szCs w:val="22"/>
              </w:rPr>
              <w:t xml:space="preserve"> sewage treatment plant (also known as a ‘package treatment plant) – means a system that treats the </w:t>
            </w:r>
            <w:proofErr w:type="gramStart"/>
            <w:r>
              <w:rPr>
                <w:rFonts w:ascii="Arial" w:hAnsi="Arial" w:cs="Arial"/>
                <w:color w:val="000000"/>
                <w:sz w:val="22"/>
                <w:szCs w:val="22"/>
              </w:rPr>
              <w:t>liquid</w:t>
            </w:r>
            <w:proofErr w:type="gramEnd"/>
            <w:r>
              <w:rPr>
                <w:rFonts w:ascii="Arial" w:hAnsi="Arial" w:cs="Arial"/>
                <w:color w:val="000000"/>
                <w:sz w:val="22"/>
                <w:szCs w:val="22"/>
              </w:rPr>
              <w:t xml:space="preserve"> so it is clean enough to go into the ground or a surface water</w:t>
            </w:r>
          </w:p>
          <w:p w14:paraId="44FFBC8B" w14:textId="76A3AD43" w:rsidR="00453162" w:rsidRDefault="00453162" w:rsidP="00A72946">
            <w:pPr>
              <w:pStyle w:val="NormalWeb"/>
              <w:jc w:val="both"/>
              <w:divId w:val="1942831534"/>
              <w:rPr>
                <w:rFonts w:ascii="Arial" w:hAnsi="Arial" w:cs="Arial"/>
                <w:color w:val="000000"/>
                <w:sz w:val="22"/>
                <w:szCs w:val="22"/>
              </w:rPr>
            </w:pPr>
            <w:r>
              <w:rPr>
                <w:rFonts w:ascii="Arial" w:hAnsi="Arial" w:cs="Arial"/>
                <w:color w:val="000000"/>
                <w:sz w:val="22"/>
                <w:szCs w:val="22"/>
              </w:rPr>
              <w:t>g)</w:t>
            </w:r>
            <w:r w:rsidR="00A72946">
              <w:rPr>
                <w:rFonts w:ascii="Arial" w:hAnsi="Arial" w:cs="Arial"/>
                <w:color w:val="000000"/>
                <w:sz w:val="22"/>
                <w:szCs w:val="22"/>
              </w:rPr>
              <w:t xml:space="preserve"> </w:t>
            </w:r>
            <w:r>
              <w:rPr>
                <w:rFonts w:ascii="Arial" w:hAnsi="Arial" w:cs="Arial"/>
                <w:color w:val="000000"/>
                <w:sz w:val="22"/>
                <w:szCs w:val="22"/>
              </w:rPr>
              <w:t>Notification to the LPA shall be provided via an electronic or physical letter, sent to developmentmanagement@wiltshire.gov.uk, or Planning Department, Wiltshire Council, Bythesea Road, Trowbridge, Wiltshire, BA14 8JN</w:t>
            </w:r>
          </w:p>
          <w:p w14:paraId="21F1093F" w14:textId="77777777" w:rsidR="00453162" w:rsidRDefault="00453162" w:rsidP="00A72946">
            <w:pPr>
              <w:pStyle w:val="NormalWeb"/>
              <w:jc w:val="both"/>
              <w:divId w:val="1942831534"/>
              <w:rPr>
                <w:rFonts w:ascii="Arial" w:hAnsi="Arial" w:cs="Arial"/>
                <w:color w:val="000000"/>
                <w:sz w:val="22"/>
                <w:szCs w:val="22"/>
              </w:rPr>
            </w:pPr>
          </w:p>
          <w:p w14:paraId="11C0E8A4" w14:textId="003AED49" w:rsidR="00453162" w:rsidRDefault="00453162" w:rsidP="00A72946">
            <w:pPr>
              <w:pStyle w:val="NormalWeb"/>
              <w:jc w:val="both"/>
              <w:divId w:val="1942831534"/>
              <w:rPr>
                <w:rFonts w:ascii="Arial" w:hAnsi="Arial" w:cs="Arial"/>
                <w:color w:val="000000"/>
                <w:sz w:val="22"/>
                <w:szCs w:val="22"/>
              </w:rPr>
            </w:pPr>
            <w:r>
              <w:rPr>
                <w:rFonts w:ascii="Arial" w:hAnsi="Arial" w:cs="Arial"/>
                <w:color w:val="000000"/>
                <w:sz w:val="22"/>
                <w:szCs w:val="22"/>
              </w:rPr>
              <w:t>h) </w:t>
            </w:r>
            <w:r>
              <w:rPr>
                <w:rFonts w:ascii="Arial" w:hAnsi="Arial" w:cs="Arial"/>
                <w:color w:val="000000"/>
                <w:sz w:val="22"/>
                <w:szCs w:val="22"/>
              </w:rPr>
              <w:t>Chemical dosing – means the use of chemicals such as a combination of ferric chloride, ferric sulphates, aluminium and a range of metallic salts to remove and capture phosphorus during treatment before the water is released back into the environment.</w:t>
            </w:r>
          </w:p>
          <w:p w14:paraId="7790B356" w14:textId="77777777" w:rsidR="00B408A6" w:rsidRPr="00FA59D5" w:rsidRDefault="00B408A6" w:rsidP="00A72946">
            <w:pPr>
              <w:jc w:val="both"/>
              <w:rPr>
                <w:lang w:val="en-US"/>
              </w:rPr>
            </w:pPr>
          </w:p>
        </w:tc>
      </w:tr>
      <w:tr w:rsidR="00B408A6" w:rsidRPr="001523BC" w14:paraId="6A33D02B" w14:textId="77777777" w:rsidTr="009B3AF8">
        <w:tc>
          <w:tcPr>
            <w:tcW w:w="5000" w:type="pct"/>
            <w:gridSpan w:val="2"/>
            <w:hideMark/>
          </w:tcPr>
          <w:p w14:paraId="0B90B976" w14:textId="77777777" w:rsidR="00C25B5D" w:rsidRPr="00D347C8" w:rsidRDefault="00C25B5D" w:rsidP="00A72946">
            <w:pPr>
              <w:jc w:val="both"/>
              <w:rPr>
                <w:b/>
                <w:bCs/>
              </w:rPr>
            </w:pPr>
            <w:r w:rsidRPr="00D347C8">
              <w:rPr>
                <w:b/>
                <w:bCs/>
              </w:rPr>
              <w:t>Informative</w:t>
            </w:r>
          </w:p>
          <w:p w14:paraId="4A278C07" w14:textId="77777777" w:rsidR="00B408A6" w:rsidRPr="001523BC" w:rsidRDefault="00B408A6" w:rsidP="00A72946">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5F6FA74B" w14:textId="77777777" w:rsidTr="009B3AF8">
        <w:tc>
          <w:tcPr>
            <w:tcW w:w="390" w:type="pct"/>
            <w:hideMark/>
          </w:tcPr>
          <w:p w14:paraId="60C5E37A" w14:textId="6FADCC6E" w:rsidR="00B408A6" w:rsidRPr="00D347C8" w:rsidRDefault="00B408A6" w:rsidP="00A72946">
            <w:pPr>
              <w:jc w:val="both"/>
              <w:rPr>
                <w:b/>
                <w:bCs/>
              </w:rPr>
            </w:pPr>
          </w:p>
          <w:p w14:paraId="22B4A1B4" w14:textId="77777777" w:rsidR="00B408A6" w:rsidRPr="000E791E" w:rsidRDefault="00B408A6" w:rsidP="00A72946">
            <w:pPr>
              <w:jc w:val="both"/>
              <w:rPr>
                <w:lang w:val="en-US"/>
              </w:rPr>
            </w:pPr>
          </w:p>
        </w:tc>
        <w:tc>
          <w:tcPr>
            <w:tcW w:w="4610" w:type="pct"/>
            <w:hideMark/>
          </w:tcPr>
          <w:p w14:paraId="06AC3CD4" w14:textId="77777777" w:rsidR="00453162" w:rsidRDefault="00453162" w:rsidP="00A72946">
            <w:pPr>
              <w:pStyle w:val="NormalWeb"/>
              <w:jc w:val="both"/>
              <w:divId w:val="1757825986"/>
              <w:rPr>
                <w:rFonts w:ascii="Arial" w:hAnsi="Arial" w:cs="Arial"/>
                <w:color w:val="000000"/>
                <w:sz w:val="22"/>
                <w:szCs w:val="22"/>
              </w:rPr>
            </w:pPr>
            <w:r>
              <w:rPr>
                <w:rFonts w:ascii="Arial" w:hAnsi="Arial" w:cs="Arial"/>
                <w:color w:val="000000"/>
                <w:sz w:val="22"/>
                <w:szCs w:val="22"/>
              </w:rPr>
              <w:t xml:space="preserve">We note a private foul treatment plant is proposed. If non-mains foul drainage is the only feasible option an Environmental Permit may be required for the proposed new sewage treatment plant. This must be obtained from the Environment Agency before any discharge occurs and before any development commences. This process can take up to six months to </w:t>
            </w:r>
            <w:proofErr w:type="gramStart"/>
            <w:r>
              <w:rPr>
                <w:rFonts w:ascii="Arial" w:hAnsi="Arial" w:cs="Arial"/>
                <w:color w:val="000000"/>
                <w:sz w:val="22"/>
                <w:szCs w:val="22"/>
              </w:rPr>
              <w:t>complete</w:t>
            </w:r>
            <w:proofErr w:type="gramEnd"/>
            <w:r>
              <w:rPr>
                <w:rFonts w:ascii="Arial" w:hAnsi="Arial" w:cs="Arial"/>
                <w:color w:val="000000"/>
                <w:sz w:val="22"/>
                <w:szCs w:val="22"/>
              </w:rPr>
              <w:t xml:space="preserve"> and it cannot be guaranteed that a Permit will be granted. The applicant should contact the Environment Agency on 03708 506506 for further details on Environmental Permits or visit:</w:t>
            </w:r>
          </w:p>
          <w:p w14:paraId="18A63A9B" w14:textId="77777777" w:rsidR="00453162" w:rsidRDefault="00453162" w:rsidP="00A72946">
            <w:pPr>
              <w:pStyle w:val="NormalWeb"/>
              <w:jc w:val="both"/>
              <w:divId w:val="1757825986"/>
              <w:rPr>
                <w:rFonts w:ascii="Arial" w:hAnsi="Arial" w:cs="Arial"/>
                <w:color w:val="000000"/>
                <w:sz w:val="22"/>
                <w:szCs w:val="22"/>
              </w:rPr>
            </w:pPr>
            <w:r>
              <w:rPr>
                <w:rFonts w:ascii="Arial" w:hAnsi="Arial" w:cs="Arial"/>
                <w:color w:val="000000"/>
                <w:sz w:val="22"/>
                <w:szCs w:val="22"/>
              </w:rPr>
              <w:t xml:space="preserve">https://www.gov.uk/guidance/discharges-to-surface-water-and-groundwater-environmental-permits </w:t>
            </w:r>
          </w:p>
          <w:p w14:paraId="3C22F884" w14:textId="77777777" w:rsidR="00453162" w:rsidRDefault="00453162" w:rsidP="00A72946">
            <w:pPr>
              <w:pStyle w:val="NormalWeb"/>
              <w:jc w:val="both"/>
              <w:divId w:val="1757825986"/>
              <w:rPr>
                <w:rFonts w:ascii="Arial" w:hAnsi="Arial" w:cs="Arial"/>
                <w:color w:val="000000"/>
                <w:sz w:val="22"/>
                <w:szCs w:val="22"/>
              </w:rPr>
            </w:pPr>
          </w:p>
          <w:p w14:paraId="24A4C03D" w14:textId="77777777" w:rsidR="00B408A6" w:rsidRPr="00FA59D5" w:rsidRDefault="00B408A6" w:rsidP="00A72946">
            <w:pPr>
              <w:jc w:val="both"/>
              <w:rPr>
                <w:lang w:val="en-US"/>
              </w:rPr>
            </w:pPr>
          </w:p>
        </w:tc>
      </w:tr>
    </w:tbl>
    <w:p w14:paraId="5971DEDB" w14:textId="77777777" w:rsidR="009B3AF8" w:rsidRDefault="009B3AF8" w:rsidP="00013844">
      <w:pPr>
        <w:spacing w:after="120"/>
        <w:rPr>
          <w:rFonts w:ascii="Lucida Handwriting" w:hAnsi="Lucida Handwriting" w:cs="Arial"/>
          <w:b/>
          <w:bCs/>
          <w:sz w:val="28"/>
          <w:szCs w:val="28"/>
        </w:rPr>
      </w:pPr>
    </w:p>
    <w:p w14:paraId="007F6602"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3279042A"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3A4DB5DB" w14:textId="77777777">
        <w:trPr>
          <w:divId w:val="1349287544"/>
          <w:tblCellSpacing w:w="15" w:type="dxa"/>
        </w:trPr>
        <w:tc>
          <w:tcPr>
            <w:tcW w:w="9645" w:type="dxa"/>
            <w:gridSpan w:val="3"/>
            <w:hideMark/>
          </w:tcPr>
          <w:p w14:paraId="67A183E4" w14:textId="77777777" w:rsidR="00453162" w:rsidRDefault="00453162">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651291C0" w14:textId="77777777">
        <w:trPr>
          <w:divId w:val="1349287544"/>
          <w:tblCellSpacing w:w="15" w:type="dxa"/>
        </w:trPr>
        <w:tc>
          <w:tcPr>
            <w:tcW w:w="450" w:type="dxa"/>
            <w:hideMark/>
          </w:tcPr>
          <w:p w14:paraId="524663A1" w14:textId="77777777" w:rsidR="00453162" w:rsidRDefault="00453162">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716905DB" w14:textId="77777777" w:rsidR="00453162" w:rsidRDefault="00453162">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4548AC23" w14:textId="77777777">
        <w:trPr>
          <w:divId w:val="1349287544"/>
          <w:tblCellSpacing w:w="15" w:type="dxa"/>
        </w:trPr>
        <w:tc>
          <w:tcPr>
            <w:tcW w:w="450" w:type="dxa"/>
            <w:hideMark/>
          </w:tcPr>
          <w:p w14:paraId="146E61DF" w14:textId="77777777" w:rsidR="00453162" w:rsidRDefault="00453162">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9AD69CC" w14:textId="77777777" w:rsidR="00453162" w:rsidRDefault="00453162">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3CC0A362" w14:textId="77777777" w:rsidR="00453162" w:rsidRDefault="00453162">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5082E507" w14:textId="77777777">
        <w:trPr>
          <w:divId w:val="1349287544"/>
          <w:tblCellSpacing w:w="15" w:type="dxa"/>
        </w:trPr>
        <w:tc>
          <w:tcPr>
            <w:tcW w:w="450" w:type="dxa"/>
            <w:hideMark/>
          </w:tcPr>
          <w:p w14:paraId="100083C6" w14:textId="77777777" w:rsidR="00453162" w:rsidRDefault="00453162">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7ECBFA39" w14:textId="77777777" w:rsidR="00453162" w:rsidRDefault="00453162">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724B5EDB" w14:textId="77777777" w:rsidR="00453162" w:rsidRDefault="00453162">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390A07DA" w14:textId="77777777">
        <w:trPr>
          <w:divId w:val="1349287544"/>
          <w:tblCellSpacing w:w="15" w:type="dxa"/>
        </w:trPr>
        <w:tc>
          <w:tcPr>
            <w:tcW w:w="450" w:type="dxa"/>
            <w:hideMark/>
          </w:tcPr>
          <w:p w14:paraId="489925EB" w14:textId="77777777" w:rsidR="00453162" w:rsidRDefault="00453162">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650832F" w14:textId="77777777" w:rsidR="00453162" w:rsidRDefault="00453162">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49C5819C" w14:textId="77777777" w:rsidR="00453162" w:rsidRDefault="00453162">
            <w:pPr>
              <w:pStyle w:val="NormalWeb"/>
              <w:rPr>
                <w:rFonts w:ascii="Arial" w:hAnsi="Arial" w:cs="Arial"/>
                <w:color w:val="000000"/>
                <w:sz w:val="22"/>
                <w:szCs w:val="22"/>
              </w:rPr>
            </w:pPr>
            <w:r>
              <w:rPr>
                <w:rFonts w:ascii="Arial" w:hAnsi="Arial" w:cs="Arial"/>
                <w:color w:val="000000"/>
                <w:sz w:val="22"/>
                <w:szCs w:val="22"/>
              </w:rPr>
              <w:t xml:space="preserve">the need to obtain a separate “Listed Building Consent” </w:t>
            </w:r>
            <w:r>
              <w:rPr>
                <w:rFonts w:ascii="Arial" w:hAnsi="Arial" w:cs="Arial"/>
                <w:color w:val="000000"/>
                <w:sz w:val="22"/>
                <w:szCs w:val="22"/>
              </w:rPr>
              <w:t>to the demolition, alteration or extension of any listed building of architectural or historic interest;</w:t>
            </w:r>
          </w:p>
        </w:tc>
      </w:tr>
      <w:tr w:rsidR="00000000" w14:paraId="51976187" w14:textId="77777777">
        <w:trPr>
          <w:divId w:val="1349287544"/>
          <w:tblCellSpacing w:w="15" w:type="dxa"/>
        </w:trPr>
        <w:tc>
          <w:tcPr>
            <w:tcW w:w="450" w:type="dxa"/>
            <w:hideMark/>
          </w:tcPr>
          <w:p w14:paraId="50DC094A" w14:textId="77777777" w:rsidR="00453162" w:rsidRDefault="00453162">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245D4695" w14:textId="77777777" w:rsidR="00453162" w:rsidRDefault="00453162">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29698EC8" w14:textId="77777777" w:rsidR="00453162" w:rsidRDefault="00453162">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19B95B3A" w14:textId="77777777">
        <w:trPr>
          <w:divId w:val="1349287544"/>
          <w:tblCellSpacing w:w="15" w:type="dxa"/>
        </w:trPr>
        <w:tc>
          <w:tcPr>
            <w:tcW w:w="450" w:type="dxa"/>
            <w:hideMark/>
          </w:tcPr>
          <w:p w14:paraId="37854DD6" w14:textId="77777777" w:rsidR="00453162" w:rsidRDefault="00453162">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1007E3C3" w14:textId="77777777" w:rsidR="00453162" w:rsidRDefault="00453162">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6FF49E5B" w14:textId="77777777">
        <w:trPr>
          <w:divId w:val="1349287544"/>
          <w:tblCellSpacing w:w="15" w:type="dxa"/>
        </w:trPr>
        <w:tc>
          <w:tcPr>
            <w:tcW w:w="450" w:type="dxa"/>
            <w:hideMark/>
          </w:tcPr>
          <w:p w14:paraId="76ED7A10" w14:textId="77777777" w:rsidR="00453162" w:rsidRDefault="00453162">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0F70A848" w14:textId="77777777" w:rsidR="00453162" w:rsidRDefault="00453162">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0B3FCAAE" w14:textId="77777777">
        <w:trPr>
          <w:divId w:val="1349287544"/>
          <w:tblCellSpacing w:w="15" w:type="dxa"/>
        </w:trPr>
        <w:tc>
          <w:tcPr>
            <w:tcW w:w="450" w:type="dxa"/>
            <w:hideMark/>
          </w:tcPr>
          <w:p w14:paraId="166BFED9" w14:textId="77777777" w:rsidR="00453162" w:rsidRDefault="00453162">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481C92FD" w14:textId="77777777" w:rsidR="00453162" w:rsidRDefault="00453162">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3E3CFCDF" w14:textId="77777777">
        <w:trPr>
          <w:divId w:val="1349287544"/>
          <w:tblCellSpacing w:w="15" w:type="dxa"/>
        </w:trPr>
        <w:tc>
          <w:tcPr>
            <w:tcW w:w="450" w:type="dxa"/>
            <w:hideMark/>
          </w:tcPr>
          <w:p w14:paraId="294F35BA" w14:textId="77777777" w:rsidR="00453162" w:rsidRDefault="00453162">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5ECCE31B" w14:textId="77777777" w:rsidR="00453162" w:rsidRDefault="00453162">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xml:space="preserve">  </w:t>
            </w:r>
            <w:r>
              <w:rPr>
                <w:rFonts w:ascii="Arial" w:hAnsi="Arial" w:cs="Arial"/>
                <w:color w:val="000000"/>
                <w:sz w:val="22"/>
                <w:szCs w:val="22"/>
              </w:rPr>
              <w:t>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75316809" w14:textId="77777777" w:rsidR="00453162" w:rsidRDefault="00453162">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03710A53" w14:textId="77777777" w:rsidR="00453162" w:rsidRDefault="00453162">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22A5B8BE" w14:textId="77777777" w:rsidR="00453162" w:rsidRDefault="00453162">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4AAD1967" w14:textId="77777777" w:rsidR="00453162" w:rsidRDefault="00453162">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6DB47016" w14:textId="77777777" w:rsidR="00453162" w:rsidRDefault="00453162">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054A0A68" w14:textId="77777777">
        <w:trPr>
          <w:divId w:val="1349287544"/>
          <w:tblCellSpacing w:w="15" w:type="dxa"/>
        </w:trPr>
        <w:tc>
          <w:tcPr>
            <w:tcW w:w="450" w:type="dxa"/>
            <w:hideMark/>
          </w:tcPr>
          <w:p w14:paraId="44BDBAAC" w14:textId="77777777" w:rsidR="00453162" w:rsidRDefault="00453162">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3DAF3326" w14:textId="77777777" w:rsidR="00453162" w:rsidRDefault="00453162">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w:t>
            </w:r>
            <w:r>
              <w:rPr>
                <w:rFonts w:ascii="Arial" w:hAnsi="Arial" w:cs="Arial"/>
                <w:color w:val="000000"/>
                <w:sz w:val="22"/>
                <w:szCs w:val="22"/>
              </w:rPr>
              <w:t>’s website for further information on protected species.</w:t>
            </w:r>
          </w:p>
        </w:tc>
      </w:tr>
      <w:tr w:rsidR="00000000" w14:paraId="05515FF8" w14:textId="77777777">
        <w:trPr>
          <w:divId w:val="1349287544"/>
          <w:tblCellSpacing w:w="15" w:type="dxa"/>
        </w:trPr>
        <w:tc>
          <w:tcPr>
            <w:tcW w:w="450" w:type="dxa"/>
            <w:hideMark/>
          </w:tcPr>
          <w:p w14:paraId="047DE3D8" w14:textId="77777777" w:rsidR="00453162" w:rsidRDefault="00453162">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6C9A8173" w14:textId="77777777" w:rsidR="00453162" w:rsidRDefault="00453162">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7E650A84" w14:textId="77777777" w:rsidR="00453162" w:rsidRDefault="00453162">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18675CB3" w14:textId="77777777">
        <w:trPr>
          <w:divId w:val="1349287544"/>
          <w:tblCellSpacing w:w="15" w:type="dxa"/>
        </w:trPr>
        <w:tc>
          <w:tcPr>
            <w:tcW w:w="450" w:type="dxa"/>
            <w:hideMark/>
          </w:tcPr>
          <w:p w14:paraId="1DDB63DE" w14:textId="77777777" w:rsidR="00453162" w:rsidRDefault="00453162">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04930D06" w14:textId="77777777" w:rsidR="00453162" w:rsidRDefault="00453162">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w:t>
            </w:r>
            <w:r>
              <w:rPr>
                <w:rFonts w:ascii="Arial" w:hAnsi="Arial" w:cs="Arial"/>
                <w:color w:val="000000"/>
                <w:sz w:val="22"/>
                <w:szCs w:val="22"/>
              </w:rPr>
              <w:t>s Highway Authority before any works are carried out on any footway, footpath, carriageway, verge or other land forming part of the highway.</w:t>
            </w:r>
          </w:p>
        </w:tc>
      </w:tr>
      <w:tr w:rsidR="00000000" w14:paraId="432F140D" w14:textId="77777777">
        <w:trPr>
          <w:divId w:val="1349287544"/>
          <w:tblCellSpacing w:w="15" w:type="dxa"/>
        </w:trPr>
        <w:tc>
          <w:tcPr>
            <w:tcW w:w="450" w:type="dxa"/>
            <w:hideMark/>
          </w:tcPr>
          <w:p w14:paraId="505BF75F" w14:textId="77777777" w:rsidR="00453162" w:rsidRDefault="00453162">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732DE820" w14:textId="77777777" w:rsidR="00453162" w:rsidRDefault="00453162">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w:t>
            </w:r>
            <w:r>
              <w:rPr>
                <w:rFonts w:ascii="Arial" w:hAnsi="Arial" w:cs="Arial"/>
                <w:color w:val="000000"/>
                <w:sz w:val="22"/>
                <w:szCs w:val="22"/>
              </w:rPr>
              <w:t>The case officer will advise if anything else is required to satisfy this condition during the discharge of condition phase.</w:t>
            </w:r>
          </w:p>
        </w:tc>
      </w:tr>
      <w:tr w:rsidR="00000000" w14:paraId="1BC40322" w14:textId="77777777">
        <w:trPr>
          <w:divId w:val="1349287544"/>
          <w:tblCellSpacing w:w="15" w:type="dxa"/>
        </w:trPr>
        <w:tc>
          <w:tcPr>
            <w:tcW w:w="450" w:type="dxa"/>
            <w:hideMark/>
          </w:tcPr>
          <w:p w14:paraId="00211D74" w14:textId="77777777" w:rsidR="00453162" w:rsidRDefault="00453162">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11739FBE" w14:textId="77777777" w:rsidR="00453162" w:rsidRDefault="00453162">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53F586BA" w14:textId="77777777">
        <w:trPr>
          <w:divId w:val="1349287544"/>
          <w:tblCellSpacing w:w="15" w:type="dxa"/>
        </w:trPr>
        <w:tc>
          <w:tcPr>
            <w:tcW w:w="450" w:type="dxa"/>
            <w:hideMark/>
          </w:tcPr>
          <w:p w14:paraId="49B8FFA8" w14:textId="77777777" w:rsidR="00453162" w:rsidRDefault="00453162">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5934A6F2" w14:textId="77777777" w:rsidR="00453162" w:rsidRDefault="00453162">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0D3E6E3B" w14:textId="77777777" w:rsidR="00AD6951" w:rsidRDefault="00AD6951">
      <w:pPr>
        <w:divId w:val="1349287544"/>
        <w:rPr>
          <w:rFonts w:eastAsia="Times New Roman"/>
        </w:rPr>
      </w:pPr>
    </w:p>
    <w:sectPr w:rsidR="00AD6951"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932E5"/>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4030"/>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2946"/>
    <w:rsid w:val="00A75246"/>
    <w:rsid w:val="00AA321A"/>
    <w:rsid w:val="00AA3A73"/>
    <w:rsid w:val="00AA3D18"/>
    <w:rsid w:val="00AB2A8C"/>
    <w:rsid w:val="00AC2373"/>
    <w:rsid w:val="00AC3157"/>
    <w:rsid w:val="00AD3D0D"/>
    <w:rsid w:val="00AD6951"/>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DBF8E"/>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24721422">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111126551">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269964191">
      <w:bodyDiv w:val="1"/>
      <w:marLeft w:val="0"/>
      <w:marRight w:val="0"/>
      <w:marTop w:val="0"/>
      <w:marBottom w:val="0"/>
      <w:divBdr>
        <w:top w:val="none" w:sz="0" w:space="0" w:color="auto"/>
        <w:left w:val="none" w:sz="0" w:space="0" w:color="auto"/>
        <w:bottom w:val="none" w:sz="0" w:space="0" w:color="auto"/>
        <w:right w:val="none" w:sz="0" w:space="0" w:color="auto"/>
      </w:divBdr>
    </w:div>
    <w:div w:id="1349287544">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47930134">
      <w:bodyDiv w:val="1"/>
      <w:marLeft w:val="0"/>
      <w:marRight w:val="0"/>
      <w:marTop w:val="0"/>
      <w:marBottom w:val="0"/>
      <w:divBdr>
        <w:top w:val="none" w:sz="0" w:space="0" w:color="auto"/>
        <w:left w:val="none" w:sz="0" w:space="0" w:color="auto"/>
        <w:bottom w:val="none" w:sz="0" w:space="0" w:color="auto"/>
        <w:right w:val="none" w:sz="0" w:space="0" w:color="auto"/>
      </w:divBdr>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57825986">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942831534">
      <w:bodyDiv w:val="1"/>
      <w:marLeft w:val="0"/>
      <w:marRight w:val="0"/>
      <w:marTop w:val="0"/>
      <w:marBottom w:val="0"/>
      <w:divBdr>
        <w:top w:val="none" w:sz="0" w:space="0" w:color="auto"/>
        <w:left w:val="none" w:sz="0" w:space="0" w:color="auto"/>
        <w:bottom w:val="none" w:sz="0" w:space="0" w:color="auto"/>
        <w:right w:val="none" w:sz="0" w:space="0" w:color="auto"/>
      </w:divBdr>
    </w:div>
    <w:div w:id="2054846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2141</Words>
  <Characters>12206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salesforceId:e0602776-fd4c-4e1e-9464-be1ad869a74d</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069Q300000V4k0qIAB</vt:lpwstr>
  </property>
</Properties>
</file>