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679D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C3E09E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30E84B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51DA23B8" w14:textId="77777777" w:rsidTr="00683C17">
        <w:tc>
          <w:tcPr>
            <w:tcW w:w="3681" w:type="dxa"/>
          </w:tcPr>
          <w:p w14:paraId="3F0610E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6C294FA"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PL/2026/05157</w:t>
            </w:r>
          </w:p>
        </w:tc>
      </w:tr>
      <w:tr w:rsidR="003951BD" w14:paraId="59C9A3A8" w14:textId="77777777" w:rsidTr="00683C17">
        <w:tc>
          <w:tcPr>
            <w:tcW w:w="3681" w:type="dxa"/>
          </w:tcPr>
          <w:p w14:paraId="38992F1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7AFAE9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66003BCB" w14:textId="77777777" w:rsidTr="00683C17">
        <w:tc>
          <w:tcPr>
            <w:tcW w:w="3681" w:type="dxa"/>
          </w:tcPr>
          <w:p w14:paraId="279844D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795B9A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15 Southfield, West Overton, Marlborough, SN8 4HE</w:t>
            </w:r>
          </w:p>
        </w:tc>
      </w:tr>
      <w:tr w:rsidR="003951BD" w14:paraId="4C754EC1" w14:textId="77777777" w:rsidTr="00683C17">
        <w:tc>
          <w:tcPr>
            <w:tcW w:w="3681" w:type="dxa"/>
          </w:tcPr>
          <w:p w14:paraId="3202CBD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051C81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Erection of a detached single-storey ancillary annexe within the rear garden</w:t>
            </w:r>
          </w:p>
        </w:tc>
      </w:tr>
      <w:tr w:rsidR="003951BD" w14:paraId="264450DF" w14:textId="77777777" w:rsidTr="00683C17">
        <w:tc>
          <w:tcPr>
            <w:tcW w:w="3681" w:type="dxa"/>
          </w:tcPr>
          <w:p w14:paraId="4B5B116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B6E38B"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3EC8BFC"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4C32F9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F04B28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4F95EB7" w14:textId="77777777" w:rsidR="00111E0B" w:rsidRPr="00111E0B" w:rsidRDefault="00111E0B" w:rsidP="00111E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11E0B">
        <w:rPr>
          <w:rFonts w:ascii="Arial" w:eastAsia="Times New Roman" w:hAnsi="Arial" w:cs="Arial"/>
          <w:color w:val="000000" w:themeColor="text1"/>
          <w:kern w:val="0"/>
          <w:sz w:val="22"/>
          <w:szCs w:val="22"/>
          <w:lang w:eastAsia="en-GB"/>
          <w14:ligatures w14:val="none"/>
        </w:rPr>
        <w:t>The proposal seeks planning permission for the erection of a detached single-storey annexe within the rear garden of the existing dwellinghouse to provide ancillary residential accommodation associated with the host dwelling.</w:t>
      </w:r>
    </w:p>
    <w:p w14:paraId="5AC1AEF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362D8B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220657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9691316" w14:textId="71B63CDA" w:rsidR="00423C8C" w:rsidRPr="00423C8C" w:rsidRDefault="00423C8C" w:rsidP="00423C8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3C8C">
        <w:rPr>
          <w:rFonts w:ascii="Arial" w:eastAsia="Times New Roman" w:hAnsi="Arial" w:cs="Arial"/>
          <w:color w:val="000000" w:themeColor="text1"/>
          <w:kern w:val="0"/>
          <w:sz w:val="22"/>
          <w:szCs w:val="22"/>
          <w:lang w:eastAsia="en-GB"/>
          <w14:ligatures w14:val="none"/>
        </w:rPr>
        <w:t>The application site comprises a</w:t>
      </w:r>
      <w:r w:rsidR="008602F9">
        <w:rPr>
          <w:rFonts w:ascii="Arial" w:eastAsia="Times New Roman" w:hAnsi="Arial" w:cs="Arial"/>
          <w:color w:val="000000" w:themeColor="text1"/>
          <w:kern w:val="0"/>
          <w:sz w:val="22"/>
          <w:szCs w:val="22"/>
          <w:lang w:eastAsia="en-GB"/>
          <w14:ligatures w14:val="none"/>
        </w:rPr>
        <w:t xml:space="preserve">n end-of-terrace </w:t>
      </w:r>
      <w:r w:rsidRPr="00423C8C">
        <w:rPr>
          <w:rFonts w:ascii="Arial" w:eastAsia="Times New Roman" w:hAnsi="Arial" w:cs="Arial"/>
          <w:color w:val="000000" w:themeColor="text1"/>
          <w:kern w:val="0"/>
          <w:sz w:val="22"/>
          <w:szCs w:val="22"/>
          <w:lang w:eastAsia="en-GB"/>
          <w14:ligatures w14:val="none"/>
        </w:rPr>
        <w:t xml:space="preserve">dwellinghouse located within the residential settlement of West Overton. </w:t>
      </w:r>
      <w:r w:rsidR="00CC1DF4" w:rsidRPr="00CC1DF4">
        <w:rPr>
          <w:rFonts w:ascii="Arial" w:eastAsia="Times New Roman" w:hAnsi="Arial" w:cs="Arial"/>
          <w:color w:val="000000" w:themeColor="text1"/>
          <w:kern w:val="0"/>
          <w:sz w:val="22"/>
          <w:szCs w:val="22"/>
          <w:lang w:eastAsia="en-GB"/>
          <w14:ligatures w14:val="none"/>
        </w:rPr>
        <w:t>The property occupies a corner plot within a residential cul-de-sac and benefits from a large rear garden in which the proposed annexe would be sited.</w:t>
      </w:r>
      <w:r w:rsidR="00CC1DF4">
        <w:rPr>
          <w:rFonts w:ascii="Arial" w:eastAsia="Times New Roman" w:hAnsi="Arial" w:cs="Arial"/>
          <w:color w:val="000000" w:themeColor="text1"/>
          <w:kern w:val="0"/>
          <w:sz w:val="22"/>
          <w:szCs w:val="22"/>
          <w:lang w:eastAsia="en-GB"/>
          <w14:ligatures w14:val="none"/>
        </w:rPr>
        <w:t xml:space="preserve"> </w:t>
      </w:r>
      <w:r w:rsidR="000A24A0">
        <w:rPr>
          <w:rFonts w:ascii="Arial" w:eastAsia="Times New Roman" w:hAnsi="Arial" w:cs="Arial"/>
          <w:color w:val="000000" w:themeColor="text1"/>
          <w:kern w:val="0"/>
          <w:sz w:val="22"/>
          <w:szCs w:val="22"/>
          <w:lang w:eastAsia="en-GB"/>
          <w14:ligatures w14:val="none"/>
        </w:rPr>
        <w:t>The local area is characterised by other residential properties of a similar nature.</w:t>
      </w:r>
    </w:p>
    <w:p w14:paraId="7503F2ED"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8B72C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7BFC9F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864D19D" w14:textId="77777777" w:rsidR="008E50F4" w:rsidRPr="008E50F4" w:rsidRDefault="008E50F4" w:rsidP="008E50F4">
      <w:pPr>
        <w:pStyle w:val="ListParagraph"/>
        <w:numPr>
          <w:ilvl w:val="0"/>
          <w:numId w:val="15"/>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E50F4">
        <w:rPr>
          <w:rFonts w:ascii="Arial" w:eastAsia="Times New Roman" w:hAnsi="Arial" w:cs="Arial"/>
          <w:color w:val="000000" w:themeColor="text1"/>
          <w:kern w:val="0"/>
          <w:sz w:val="22"/>
          <w:szCs w:val="22"/>
          <w:lang w:eastAsia="en-GB"/>
          <w14:ligatures w14:val="none"/>
        </w:rPr>
        <w:t>Washed over by the North Wessex Downs National Landscape.</w:t>
      </w:r>
    </w:p>
    <w:p w14:paraId="7FB2C128" w14:textId="7F011A8F" w:rsidR="00683C17" w:rsidRDefault="008E50F4" w:rsidP="008E50F4">
      <w:pPr>
        <w:pStyle w:val="ListParagraph"/>
        <w:numPr>
          <w:ilvl w:val="0"/>
          <w:numId w:val="15"/>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E50F4">
        <w:rPr>
          <w:rFonts w:ascii="Arial" w:eastAsia="Times New Roman" w:hAnsi="Arial" w:cs="Arial"/>
          <w:color w:val="000000" w:themeColor="text1"/>
          <w:kern w:val="0"/>
          <w:sz w:val="22"/>
          <w:szCs w:val="22"/>
          <w:lang w:eastAsia="en-GB"/>
          <w14:ligatures w14:val="none"/>
        </w:rPr>
        <w:t>Public Right of Way (KENV40) runs to the southeast of the site.</w:t>
      </w:r>
    </w:p>
    <w:p w14:paraId="2FE212C0" w14:textId="0E6A6C2E" w:rsidR="003B7C71" w:rsidRPr="008E50F4" w:rsidRDefault="003B7C71" w:rsidP="008E50F4">
      <w:pPr>
        <w:pStyle w:val="ListParagraph"/>
        <w:numPr>
          <w:ilvl w:val="0"/>
          <w:numId w:val="15"/>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3544F794" w14:textId="77777777" w:rsidR="008E50F4" w:rsidRPr="008E50F4" w:rsidRDefault="008E50F4" w:rsidP="008E50F4">
      <w:pPr>
        <w:pStyle w:val="ListParagraph"/>
        <w:spacing w:after="0" w:line="276" w:lineRule="auto"/>
        <w:jc w:val="both"/>
        <w:outlineLvl w:val="2"/>
        <w:rPr>
          <w:rFonts w:ascii="Arial" w:eastAsia="Times New Roman" w:hAnsi="Arial" w:cs="Arial"/>
          <w:i/>
          <w:iCs/>
          <w:color w:val="ED0000"/>
          <w:kern w:val="0"/>
          <w:sz w:val="22"/>
          <w:szCs w:val="22"/>
          <w:lang w:eastAsia="en-GB"/>
          <w14:ligatures w14:val="none"/>
        </w:rPr>
      </w:pPr>
    </w:p>
    <w:p w14:paraId="07A920E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E60240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F2B5D1A" w14:textId="77777777"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r w:rsidRPr="00C41B5D">
        <w:rPr>
          <w:rFonts w:ascii="Arial" w:eastAsia="Times New Roman" w:hAnsi="Arial" w:cs="Arial"/>
          <w:color w:val="000000" w:themeColor="text1"/>
          <w:kern w:val="0"/>
          <w:sz w:val="22"/>
          <w:szCs w:val="22"/>
          <w:lang w:eastAsia="en-GB"/>
          <w14:ligatures w14:val="none"/>
        </w:rPr>
        <w:t>K/74/0760 - Full planning permission for twenty-seven houses, garages and estate road. Approved with conditions 10th April 1975.</w:t>
      </w:r>
    </w:p>
    <w:p w14:paraId="187DC00C" w14:textId="77777777"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p>
    <w:p w14:paraId="2D9F8391" w14:textId="650118F9"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r w:rsidRPr="00C41B5D">
        <w:rPr>
          <w:rFonts w:ascii="Arial" w:eastAsia="Times New Roman" w:hAnsi="Arial" w:cs="Arial"/>
          <w:color w:val="000000" w:themeColor="text1"/>
          <w:kern w:val="0"/>
          <w:sz w:val="22"/>
          <w:szCs w:val="22"/>
          <w:lang w:eastAsia="en-GB"/>
          <w14:ligatures w14:val="none"/>
        </w:rPr>
        <w:t>K/76/0029 - Residential development of 23 dwellings. Approved with conditions 19th February 1976.</w:t>
      </w:r>
    </w:p>
    <w:p w14:paraId="78B02F43" w14:textId="77777777"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p>
    <w:p w14:paraId="5B871DD7" w14:textId="77777777"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r w:rsidRPr="00C41B5D">
        <w:rPr>
          <w:rFonts w:ascii="Arial" w:eastAsia="Times New Roman" w:hAnsi="Arial" w:cs="Arial"/>
          <w:color w:val="000000" w:themeColor="text1"/>
          <w:kern w:val="0"/>
          <w:sz w:val="22"/>
          <w:szCs w:val="22"/>
          <w:lang w:eastAsia="en-GB"/>
          <w14:ligatures w14:val="none"/>
        </w:rPr>
        <w:t>K/44595 - Rear extension. Approved with conditions 30th January 2003.</w:t>
      </w:r>
    </w:p>
    <w:p w14:paraId="42F5FB66" w14:textId="77777777" w:rsidR="00C41B5D"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p>
    <w:p w14:paraId="455295B7" w14:textId="6990A03A" w:rsidR="00F932D6" w:rsidRPr="00C41B5D" w:rsidRDefault="00C41B5D" w:rsidP="00C41B5D">
      <w:pPr>
        <w:spacing w:after="0" w:line="276" w:lineRule="auto"/>
        <w:jc w:val="both"/>
        <w:rPr>
          <w:rFonts w:ascii="Arial" w:eastAsia="Times New Roman" w:hAnsi="Arial" w:cs="Arial"/>
          <w:color w:val="000000" w:themeColor="text1"/>
          <w:kern w:val="0"/>
          <w:sz w:val="22"/>
          <w:szCs w:val="22"/>
          <w:lang w:eastAsia="en-GB"/>
          <w14:ligatures w14:val="none"/>
        </w:rPr>
      </w:pPr>
      <w:r w:rsidRPr="00C41B5D">
        <w:rPr>
          <w:rFonts w:ascii="Arial" w:eastAsia="Times New Roman" w:hAnsi="Arial" w:cs="Arial"/>
          <w:color w:val="000000" w:themeColor="text1"/>
          <w:kern w:val="0"/>
          <w:sz w:val="22"/>
          <w:szCs w:val="22"/>
          <w:lang w:eastAsia="en-GB"/>
          <w14:ligatures w14:val="none"/>
        </w:rPr>
        <w:t>K/56734/F - Proposed two storey side extension. Approved with Conditions 26th July 2007.</w:t>
      </w:r>
    </w:p>
    <w:p w14:paraId="156E5E26" w14:textId="77777777" w:rsidR="00C41B5D" w:rsidRDefault="00C41B5D" w:rsidP="00C41B5D">
      <w:pPr>
        <w:spacing w:after="0" w:line="276" w:lineRule="auto"/>
        <w:jc w:val="both"/>
        <w:rPr>
          <w:rFonts w:ascii="Arial" w:eastAsia="Times New Roman" w:hAnsi="Arial" w:cs="Arial"/>
          <w:b/>
          <w:bCs/>
          <w:kern w:val="0"/>
          <w:sz w:val="22"/>
          <w:szCs w:val="22"/>
          <w:lang w:eastAsia="en-GB"/>
          <w14:ligatures w14:val="none"/>
        </w:rPr>
      </w:pPr>
    </w:p>
    <w:p w14:paraId="0C46642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37DCBE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C03D6D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A5627B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95ED9DA" w14:textId="77777777" w:rsidR="00315AE0" w:rsidRPr="006E2F6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E2F63">
        <w:rPr>
          <w:rFonts w:ascii="Arial" w:eastAsia="Times New Roman" w:hAnsi="Arial" w:cs="Arial"/>
          <w:color w:val="000000" w:themeColor="text1"/>
          <w:kern w:val="0"/>
          <w:sz w:val="22"/>
          <w:szCs w:val="22"/>
          <w:lang w:eastAsia="en-GB"/>
          <w14:ligatures w14:val="none"/>
        </w:rPr>
        <w:lastRenderedPageBreak/>
        <w:t>Core Policy 50</w:t>
      </w:r>
      <w:r w:rsidR="006A735A" w:rsidRPr="006E2F63">
        <w:rPr>
          <w:rFonts w:ascii="Arial" w:eastAsia="Times New Roman" w:hAnsi="Arial" w:cs="Arial"/>
          <w:color w:val="000000" w:themeColor="text1"/>
          <w:kern w:val="0"/>
          <w:sz w:val="22"/>
          <w:szCs w:val="22"/>
          <w:lang w:eastAsia="en-GB"/>
          <w14:ligatures w14:val="none"/>
        </w:rPr>
        <w:t>:</w:t>
      </w:r>
      <w:r w:rsidRPr="006E2F63">
        <w:rPr>
          <w:rFonts w:ascii="Arial" w:eastAsia="Times New Roman" w:hAnsi="Arial" w:cs="Arial"/>
          <w:color w:val="000000" w:themeColor="text1"/>
          <w:kern w:val="0"/>
          <w:sz w:val="22"/>
          <w:szCs w:val="22"/>
          <w:lang w:eastAsia="en-GB"/>
          <w14:ligatures w14:val="none"/>
        </w:rPr>
        <w:t xml:space="preserve"> Biodiversity and Geodiversity </w:t>
      </w:r>
    </w:p>
    <w:p w14:paraId="66D838C4" w14:textId="1B911557" w:rsidR="00315AE0" w:rsidRPr="006E2F6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E2F63">
        <w:rPr>
          <w:rFonts w:ascii="Arial" w:eastAsia="Times New Roman" w:hAnsi="Arial" w:cs="Arial"/>
          <w:color w:val="000000" w:themeColor="text1"/>
          <w:kern w:val="0"/>
          <w:sz w:val="22"/>
          <w:szCs w:val="22"/>
          <w:lang w:eastAsia="en-GB"/>
          <w14:ligatures w14:val="none"/>
        </w:rPr>
        <w:t>Core Policy 51</w:t>
      </w:r>
      <w:r w:rsidR="006A735A" w:rsidRPr="006E2F63">
        <w:rPr>
          <w:rFonts w:ascii="Arial" w:eastAsia="Times New Roman" w:hAnsi="Arial" w:cs="Arial"/>
          <w:color w:val="000000" w:themeColor="text1"/>
          <w:kern w:val="0"/>
          <w:sz w:val="22"/>
          <w:szCs w:val="22"/>
          <w:lang w:eastAsia="en-GB"/>
          <w14:ligatures w14:val="none"/>
        </w:rPr>
        <w:t xml:space="preserve">: </w:t>
      </w:r>
      <w:r w:rsidRPr="006E2F63">
        <w:rPr>
          <w:rFonts w:ascii="Arial" w:eastAsia="Times New Roman" w:hAnsi="Arial" w:cs="Arial"/>
          <w:color w:val="000000" w:themeColor="text1"/>
          <w:kern w:val="0"/>
          <w:sz w:val="22"/>
          <w:szCs w:val="22"/>
          <w:lang w:eastAsia="en-GB"/>
          <w14:ligatures w14:val="none"/>
        </w:rPr>
        <w:t>Landscape</w:t>
      </w:r>
    </w:p>
    <w:p w14:paraId="32F610E3" w14:textId="1A177D9D" w:rsidR="006E2F63" w:rsidRPr="006E2F63" w:rsidRDefault="006E2F63" w:rsidP="006E2F6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67C33B7C" w14:textId="77777777" w:rsidR="009F684B" w:rsidRPr="003F415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4156">
        <w:rPr>
          <w:rFonts w:ascii="Arial" w:eastAsia="Times New Roman" w:hAnsi="Arial" w:cs="Arial"/>
          <w:color w:val="000000" w:themeColor="text1"/>
          <w:kern w:val="0"/>
          <w:sz w:val="22"/>
          <w:szCs w:val="22"/>
          <w:lang w:eastAsia="en-GB"/>
          <w14:ligatures w14:val="none"/>
        </w:rPr>
        <w:t>Core Policy 61</w:t>
      </w:r>
      <w:r w:rsidR="006A735A" w:rsidRPr="003F4156">
        <w:rPr>
          <w:rFonts w:ascii="Arial" w:eastAsia="Times New Roman" w:hAnsi="Arial" w:cs="Arial"/>
          <w:color w:val="000000" w:themeColor="text1"/>
          <w:kern w:val="0"/>
          <w:sz w:val="22"/>
          <w:szCs w:val="22"/>
          <w:lang w:eastAsia="en-GB"/>
          <w14:ligatures w14:val="none"/>
        </w:rPr>
        <w:t>:</w:t>
      </w:r>
      <w:r w:rsidRPr="003F4156">
        <w:rPr>
          <w:rFonts w:ascii="Arial" w:eastAsia="Times New Roman" w:hAnsi="Arial" w:cs="Arial"/>
          <w:color w:val="000000" w:themeColor="text1"/>
          <w:kern w:val="0"/>
          <w:sz w:val="22"/>
          <w:szCs w:val="22"/>
          <w:lang w:eastAsia="en-GB"/>
          <w14:ligatures w14:val="none"/>
        </w:rPr>
        <w:t xml:space="preserve"> Transport and New Development</w:t>
      </w:r>
    </w:p>
    <w:p w14:paraId="47CDEBBF" w14:textId="77777777" w:rsidR="009F684B" w:rsidRPr="003F415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4156">
        <w:rPr>
          <w:rFonts w:ascii="Arial" w:eastAsia="Times New Roman" w:hAnsi="Arial" w:cs="Arial"/>
          <w:color w:val="000000" w:themeColor="text1"/>
          <w:kern w:val="0"/>
          <w:sz w:val="22"/>
          <w:szCs w:val="22"/>
          <w:lang w:eastAsia="en-GB"/>
          <w14:ligatures w14:val="none"/>
        </w:rPr>
        <w:t>Core Policy 64</w:t>
      </w:r>
      <w:r w:rsidR="006A735A" w:rsidRPr="003F4156">
        <w:rPr>
          <w:rFonts w:ascii="Arial" w:eastAsia="Times New Roman" w:hAnsi="Arial" w:cs="Arial"/>
          <w:color w:val="000000" w:themeColor="text1"/>
          <w:kern w:val="0"/>
          <w:sz w:val="22"/>
          <w:szCs w:val="22"/>
          <w:lang w:eastAsia="en-GB"/>
          <w14:ligatures w14:val="none"/>
        </w:rPr>
        <w:t>:</w:t>
      </w:r>
      <w:r w:rsidRPr="003F4156">
        <w:rPr>
          <w:rFonts w:ascii="Arial" w:eastAsia="Times New Roman" w:hAnsi="Arial" w:cs="Arial"/>
          <w:color w:val="000000" w:themeColor="text1"/>
          <w:kern w:val="0"/>
          <w:sz w:val="22"/>
          <w:szCs w:val="22"/>
          <w:lang w:eastAsia="en-GB"/>
          <w14:ligatures w14:val="none"/>
        </w:rPr>
        <w:t xml:space="preserve"> Demand Management</w:t>
      </w:r>
    </w:p>
    <w:p w14:paraId="1023FFF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2064C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5C7E8C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13A387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195181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FC991D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2ED4931"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41D8C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CB64B2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86E0C6F" w14:textId="3E33F431" w:rsidR="0016162B" w:rsidRPr="00E16B1D" w:rsidRDefault="00820CA1"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Fyfield and West Overton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 at the time of writing.</w:t>
      </w:r>
    </w:p>
    <w:bookmarkEnd w:id="0"/>
    <w:p w14:paraId="20DFBC24" w14:textId="77777777" w:rsidR="000815DE" w:rsidRPr="00820CA1"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241854C" w14:textId="7B9DF4EE" w:rsidR="00A55952" w:rsidRPr="00820CA1" w:rsidRDefault="00B7419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20CA1">
        <w:rPr>
          <w:rFonts w:ascii="Arial" w:eastAsia="Times New Roman" w:hAnsi="Arial" w:cs="Arial"/>
          <w:color w:val="000000" w:themeColor="text1"/>
          <w:kern w:val="0"/>
          <w:sz w:val="22"/>
          <w:szCs w:val="22"/>
          <w:u w:val="single"/>
          <w:lang w:eastAsia="en-GB"/>
          <w14:ligatures w14:val="none"/>
        </w:rPr>
        <w:t>WC Highways</w:t>
      </w:r>
      <w:r w:rsidRPr="00820CA1">
        <w:rPr>
          <w:rFonts w:ascii="Arial" w:eastAsia="Times New Roman" w:hAnsi="Arial" w:cs="Arial"/>
          <w:color w:val="000000" w:themeColor="text1"/>
          <w:kern w:val="0"/>
          <w:sz w:val="22"/>
          <w:szCs w:val="22"/>
          <w:lang w:eastAsia="en-GB"/>
          <w14:ligatures w14:val="none"/>
        </w:rPr>
        <w:t xml:space="preserve">: </w:t>
      </w:r>
      <w:r w:rsidR="00820CA1" w:rsidRPr="00820CA1">
        <w:rPr>
          <w:rFonts w:ascii="Arial" w:eastAsia="Times New Roman" w:hAnsi="Arial" w:cs="Arial"/>
          <w:color w:val="000000" w:themeColor="text1"/>
          <w:kern w:val="0"/>
          <w:sz w:val="22"/>
          <w:szCs w:val="22"/>
          <w:lang w:eastAsia="en-GB"/>
          <w14:ligatures w14:val="none"/>
        </w:rPr>
        <w:t>No objection subject to ancillary tie condition.</w:t>
      </w:r>
    </w:p>
    <w:p w14:paraId="2C8E189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2520AFB"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07C2CE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E1779EB" w14:textId="27FF87F6" w:rsidR="008D7802" w:rsidRDefault="00820CA1"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representation received.</w:t>
      </w:r>
    </w:p>
    <w:p w14:paraId="180EEE32" w14:textId="77777777" w:rsidR="00820CA1" w:rsidRDefault="00820CA1"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6E1E7A01" w14:textId="1C1DE28B" w:rsidR="00820CA1" w:rsidRDefault="00820CA1"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w:t>
      </w:r>
    </w:p>
    <w:p w14:paraId="357AB3EF" w14:textId="77777777" w:rsidR="00820CA1" w:rsidRDefault="00820CA1"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562E9130" w14:textId="10C69508" w:rsidR="00820CA1" w:rsidRPr="003F4156" w:rsidRDefault="003F4156" w:rsidP="003F4156">
      <w:pPr>
        <w:pStyle w:val="ListParagraph"/>
        <w:numPr>
          <w:ilvl w:val="0"/>
          <w:numId w:val="16"/>
        </w:numPr>
        <w:spacing w:after="0" w:line="300" w:lineRule="atLeast"/>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r w:rsidRPr="003F4156">
        <w:rPr>
          <w:rFonts w:ascii="Arial" w:eastAsia="Times New Roman" w:hAnsi="Arial" w:cs="Arial"/>
          <w:color w:val="000000" w:themeColor="text1"/>
          <w:kern w:val="0"/>
          <w:sz w:val="22"/>
          <w:szCs w:val="22"/>
          <w:lang w:eastAsia="en-GB"/>
          <w14:ligatures w14:val="none"/>
        </w:rPr>
        <w:t>o objection to the proposal, subject to a condition ensuring that the annexe remains ancillary to the main dwelling and that no vehicular access is created from Bridleway KENV40 to the rear of the site.</w:t>
      </w:r>
    </w:p>
    <w:p w14:paraId="54A4130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7B31C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231CCF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B916E4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5419E3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5FBC2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0C2477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83B65B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9BAB32A"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76DE42"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u w:val="single"/>
          <w:lang w:eastAsia="en-GB"/>
          <w14:ligatures w14:val="none"/>
        </w:rPr>
        <w:t>Principle of Development</w:t>
      </w:r>
    </w:p>
    <w:p w14:paraId="428EA1EC" w14:textId="77777777" w:rsidR="00EE2EE4" w:rsidRDefault="00EE2EE4" w:rsidP="001006DF">
      <w:pPr>
        <w:spacing w:after="0" w:line="276" w:lineRule="auto"/>
        <w:jc w:val="both"/>
        <w:rPr>
          <w:rFonts w:ascii="Arial" w:eastAsia="Times New Roman" w:hAnsi="Arial" w:cs="Arial"/>
          <w:i/>
          <w:iCs/>
          <w:color w:val="000000" w:themeColor="text1"/>
          <w:kern w:val="0"/>
          <w:sz w:val="22"/>
          <w:szCs w:val="22"/>
          <w:lang w:eastAsia="en-GB"/>
          <w14:ligatures w14:val="none"/>
        </w:rPr>
      </w:pPr>
    </w:p>
    <w:p w14:paraId="4FA7B439" w14:textId="188D5F3A" w:rsidR="00EE2EE4" w:rsidRDefault="00EE2EE4" w:rsidP="001006DF">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Policy context</w:t>
      </w:r>
    </w:p>
    <w:p w14:paraId="784436C5" w14:textId="64EBBBC0"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 xml:space="preserve">When assessing proposals for annexed accommodation, it is essential to determine whether the development genuinely constitutes an annexe or whether it functions as an independent dwelling. An annexe should have a clear physical and/or functional relationship with the main </w:t>
      </w:r>
      <w:r w:rsidRPr="001006DF">
        <w:rPr>
          <w:rFonts w:ascii="Arial" w:eastAsia="Times New Roman" w:hAnsi="Arial" w:cs="Arial"/>
          <w:color w:val="000000" w:themeColor="text1"/>
          <w:kern w:val="0"/>
          <w:sz w:val="22"/>
          <w:szCs w:val="22"/>
          <w:lang w:eastAsia="en-GB"/>
          <w14:ligatures w14:val="none"/>
        </w:rPr>
        <w:lastRenderedPageBreak/>
        <w:t>dwelling. This means it must be subordinate in scale and use, and typically reliant on the main house for access, services, or shared facilities.</w:t>
      </w:r>
    </w:p>
    <w:p w14:paraId="6BF625A4"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p>
    <w:p w14:paraId="5D0EEB01"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This means considering:</w:t>
      </w:r>
    </w:p>
    <w:p w14:paraId="205A6AE5" w14:textId="77777777" w:rsidR="001006DF" w:rsidRPr="001006DF" w:rsidRDefault="001006DF" w:rsidP="001006DF">
      <w:pPr>
        <w:numPr>
          <w:ilvl w:val="0"/>
          <w:numId w:val="17"/>
        </w:num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47C38B63" w14:textId="77777777" w:rsidR="001006DF" w:rsidRPr="001006DF" w:rsidRDefault="001006DF" w:rsidP="001006DF">
      <w:pPr>
        <w:numPr>
          <w:ilvl w:val="0"/>
          <w:numId w:val="17"/>
        </w:num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 such as provision of care.</w:t>
      </w:r>
    </w:p>
    <w:p w14:paraId="33C737A5" w14:textId="77777777" w:rsidR="001006DF" w:rsidRPr="001006DF" w:rsidRDefault="001006DF" w:rsidP="001006DF">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7CAE973E"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50ED31B7"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p>
    <w:p w14:paraId="36990DA0"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 xml:space="preserve">Where the proposed accommodation does not demonstrate a clear physical or functional relationship with the host dwelling, it may constitute a new dwelling and therefore not in accordance with the terms of what has been applied for i.e., ancillary accommodation. </w:t>
      </w:r>
    </w:p>
    <w:p w14:paraId="28AC8C4B"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p>
    <w:p w14:paraId="7E8ED290"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r w:rsidRPr="001006DF">
        <w:rPr>
          <w:rFonts w:ascii="Arial" w:eastAsia="Times New Roman" w:hAnsi="Arial" w:cs="Arial"/>
          <w:color w:val="000000" w:themeColor="text1"/>
          <w:kern w:val="0"/>
          <w:sz w:val="22"/>
          <w:szCs w:val="22"/>
          <w:lang w:eastAsia="en-GB"/>
          <w14:ligatures w14:val="none"/>
        </w:rPr>
        <w:t>Policies S3-S5 of the National Planning Policy Framework establish the national approach to the location of development. In considering proposals for annexed accommodation, it is necessary to establish whether the proposal would remain ancillary to the host dwelling or whether it would constitute the creation of a separate planning unit or independent dwelling.</w:t>
      </w:r>
    </w:p>
    <w:p w14:paraId="4830DCCB" w14:textId="77777777" w:rsidR="001006DF" w:rsidRPr="001006DF" w:rsidRDefault="001006DF" w:rsidP="001006DF">
      <w:pPr>
        <w:spacing w:after="0" w:line="276" w:lineRule="auto"/>
        <w:jc w:val="both"/>
        <w:rPr>
          <w:rFonts w:ascii="Arial" w:eastAsia="Times New Roman" w:hAnsi="Arial" w:cs="Arial"/>
          <w:color w:val="000000" w:themeColor="text1"/>
          <w:kern w:val="0"/>
          <w:sz w:val="22"/>
          <w:szCs w:val="22"/>
          <w:lang w:eastAsia="en-GB"/>
          <w14:ligatures w14:val="none"/>
        </w:rPr>
      </w:pPr>
    </w:p>
    <w:p w14:paraId="48A33307" w14:textId="296344D5" w:rsidR="001006DF" w:rsidRPr="00EE2EE4" w:rsidRDefault="001006DF" w:rsidP="001006DF">
      <w:pPr>
        <w:spacing w:after="0" w:line="276" w:lineRule="auto"/>
        <w:jc w:val="both"/>
        <w:rPr>
          <w:rFonts w:ascii="Arial" w:eastAsia="Times New Roman" w:hAnsi="Arial" w:cs="Arial"/>
          <w:i/>
          <w:iCs/>
          <w:color w:val="000000" w:themeColor="text1"/>
          <w:kern w:val="0"/>
          <w:sz w:val="22"/>
          <w:szCs w:val="22"/>
          <w:lang w:eastAsia="en-GB"/>
          <w14:ligatures w14:val="none"/>
        </w:rPr>
      </w:pPr>
      <w:r w:rsidRPr="001006DF">
        <w:rPr>
          <w:rFonts w:ascii="Arial" w:eastAsia="Times New Roman" w:hAnsi="Arial" w:cs="Arial"/>
          <w:i/>
          <w:iCs/>
          <w:color w:val="000000" w:themeColor="text1"/>
          <w:kern w:val="0"/>
          <w:sz w:val="22"/>
          <w:szCs w:val="22"/>
          <w:lang w:eastAsia="en-GB"/>
          <w14:ligatures w14:val="none"/>
        </w:rPr>
        <w:t>Assessment</w:t>
      </w:r>
    </w:p>
    <w:p w14:paraId="11F4020F"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The proposed annexe would be sited within the established residential curtilage of the host dwelling and would be located in close proximity to the main dwellinghouse. Whilst detached in form, it would share the same vehicular and pedestrian access, parking arrangements and garden space as the host dwelling. No subdivision of the plot is proposed, and there would be no separate access created from the adjoining Public Right of Way KENV40.</w:t>
      </w:r>
    </w:p>
    <w:p w14:paraId="1F8366B0"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p>
    <w:p w14:paraId="4061355D" w14:textId="09C4F275" w:rsidR="001F28E0" w:rsidRPr="001F28E0" w:rsidRDefault="001F28E0" w:rsidP="001F28E0">
      <w:pPr>
        <w:spacing w:after="0" w:line="276" w:lineRule="auto"/>
        <w:jc w:val="both"/>
        <w:rPr>
          <w:rFonts w:ascii="Arial" w:eastAsia="Times New Roman" w:hAnsi="Arial" w:cs="Arial"/>
          <w:color w:val="000000" w:themeColor="text1"/>
          <w:kern w:val="0"/>
          <w:sz w:val="22"/>
          <w:szCs w:val="22"/>
          <w:lang w:eastAsia="en-GB"/>
          <w14:ligatures w14:val="none"/>
        </w:rPr>
      </w:pPr>
      <w:r w:rsidRPr="001F28E0">
        <w:rPr>
          <w:rFonts w:ascii="Arial" w:eastAsia="Times New Roman" w:hAnsi="Arial" w:cs="Arial"/>
          <w:color w:val="000000" w:themeColor="text1"/>
          <w:kern w:val="0"/>
          <w:sz w:val="22"/>
          <w:szCs w:val="22"/>
          <w:lang w:eastAsia="en-GB"/>
          <w14:ligatures w14:val="none"/>
        </w:rPr>
        <w:t>The application states that the annexe is proposed to provide ancillary residential accommodation associated with the host dwelling. The submitted information confirms that it would remain within the same ownership as the host dwelling and would not be occupied or disposed of as an independent dwelling</w:t>
      </w:r>
      <w:r w:rsidR="00143E4C">
        <w:rPr>
          <w:rFonts w:ascii="Arial" w:eastAsia="Times New Roman" w:hAnsi="Arial" w:cs="Arial"/>
          <w:color w:val="000000" w:themeColor="text1"/>
          <w:kern w:val="0"/>
          <w:sz w:val="22"/>
          <w:szCs w:val="22"/>
          <w:lang w:eastAsia="en-GB"/>
          <w14:ligatures w14:val="none"/>
        </w:rPr>
        <w:t>.</w:t>
      </w:r>
    </w:p>
    <w:p w14:paraId="1FA81089"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p>
    <w:p w14:paraId="630B882B"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In terms of scale, the annexe is a modest single-storey structure that would remain clearly subordinate to the host dwelling. Whilst the accommodation would contain facilities commonly associated with day-to-day living, including a kitchenette, bathroom, bedroom and living area, the building would occupy a relatively small footprint within the garden and would continue to rely upon the shared access, parking and amenity space associated with the host dwelling.</w:t>
      </w:r>
    </w:p>
    <w:p w14:paraId="4C73D268"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The proposal incorporates features capable of supporting independent occupation, including internal living facilities and a separate entrance. However, these factors are not determinative in themselves. Significant weight is given to the building's close physical relationship with the host dwelling, the absence of any separate curtilage or access arrangements, the stated ancillary purpose of the accommodation, and the fact that it would remain within the same planning unit and ownership as the main dwelling.</w:t>
      </w:r>
    </w:p>
    <w:p w14:paraId="464743AF"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p>
    <w:p w14:paraId="125BB221"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lastRenderedPageBreak/>
        <w:t>Having regard to the above, the proposal is considered to constitute ancillary residential accommodation rather than the creation of a separate dwellinghouse. To ensure that the accommodation remains ancillary to the host dwelling in perpetuity, it is considered reasonable and necessary to impose a planning condition restricting its occupation and preventing its use as an independent unit of accommodation.</w:t>
      </w:r>
    </w:p>
    <w:p w14:paraId="0D8B0AAC"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p>
    <w:p w14:paraId="62CD675D" w14:textId="77777777" w:rsidR="00012C49" w:rsidRPr="00F50648" w:rsidRDefault="00012C49" w:rsidP="00012C49">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Accordingly, the principle of development is considered acceptable and accords with the objectives of the NPPF relating to the proper planning of residential development.</w:t>
      </w:r>
    </w:p>
    <w:p w14:paraId="3033726E" w14:textId="77777777" w:rsidR="001006DF" w:rsidRPr="001006DF" w:rsidRDefault="001006DF" w:rsidP="001006DF">
      <w:pPr>
        <w:spacing w:after="0" w:line="276" w:lineRule="auto"/>
        <w:jc w:val="both"/>
        <w:rPr>
          <w:rFonts w:ascii="Arial" w:eastAsia="Times New Roman" w:hAnsi="Arial" w:cs="Arial"/>
          <w:i/>
          <w:iCs/>
          <w:color w:val="EE0000"/>
          <w:kern w:val="0"/>
          <w:sz w:val="22"/>
          <w:szCs w:val="22"/>
          <w:lang w:eastAsia="en-GB"/>
          <w14:ligatures w14:val="none"/>
        </w:rPr>
      </w:pPr>
    </w:p>
    <w:p w14:paraId="40B9B8C2" w14:textId="77777777" w:rsidR="001006DF" w:rsidRPr="001006DF" w:rsidRDefault="001006DF" w:rsidP="001006DF">
      <w:pPr>
        <w:spacing w:after="0" w:line="276" w:lineRule="auto"/>
        <w:jc w:val="both"/>
        <w:rPr>
          <w:rFonts w:ascii="Arial" w:eastAsia="Times New Roman" w:hAnsi="Arial" w:cs="Arial"/>
          <w:i/>
          <w:iCs/>
          <w:color w:val="000000" w:themeColor="text1"/>
          <w:kern w:val="0"/>
          <w:sz w:val="22"/>
          <w:szCs w:val="22"/>
          <w:lang w:eastAsia="en-GB"/>
          <w14:ligatures w14:val="none"/>
        </w:rPr>
      </w:pPr>
      <w:r w:rsidRPr="001006DF">
        <w:rPr>
          <w:rFonts w:ascii="Arial" w:eastAsia="Times New Roman" w:hAnsi="Arial" w:cs="Arial"/>
          <w:i/>
          <w:iCs/>
          <w:color w:val="000000" w:themeColor="text1"/>
          <w:kern w:val="0"/>
          <w:sz w:val="22"/>
          <w:szCs w:val="22"/>
          <w:lang w:eastAsia="en-GB"/>
          <w14:ligatures w14:val="none"/>
        </w:rPr>
        <w:t>Conclusion</w:t>
      </w:r>
    </w:p>
    <w:p w14:paraId="3397AF8C" w14:textId="77777777" w:rsidR="001006DF" w:rsidRPr="00F50648" w:rsidRDefault="001006DF" w:rsidP="00F50648">
      <w:pPr>
        <w:spacing w:after="0" w:line="276" w:lineRule="auto"/>
        <w:jc w:val="both"/>
        <w:rPr>
          <w:rFonts w:ascii="Arial" w:eastAsia="Times New Roman" w:hAnsi="Arial" w:cs="Arial"/>
          <w:color w:val="000000" w:themeColor="text1"/>
          <w:kern w:val="0"/>
          <w:sz w:val="22"/>
          <w:szCs w:val="22"/>
          <w:lang w:eastAsia="en-GB"/>
          <w14:ligatures w14:val="none"/>
        </w:rPr>
      </w:pPr>
    </w:p>
    <w:p w14:paraId="12CE442F" w14:textId="77777777" w:rsidR="00F50648" w:rsidRPr="00F50648" w:rsidRDefault="00F50648" w:rsidP="00F50648">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The proposed annexe would remain physically and functionally associated with the host dwelling and is considered to represent ancillary accommodation rather than the creation of a separate dwellinghouse. Whilst the accommodation would contain facilities capable of supporting a degree of independent living, its modest scale, close relationship with the host dwelling, shared access and amenity space, and absence of any separate planning unit weigh in favour of an ancillary use. Subject to a condition restricting occupation of the annexe to purposes ancillary to the host dwelling, the proposal is considered acceptable in principle.</w:t>
      </w:r>
    </w:p>
    <w:p w14:paraId="3EA7A43F" w14:textId="77777777" w:rsidR="00F50648" w:rsidRPr="00F50648" w:rsidRDefault="00F50648" w:rsidP="00F50648">
      <w:pPr>
        <w:spacing w:after="0" w:line="276" w:lineRule="auto"/>
        <w:jc w:val="both"/>
        <w:rPr>
          <w:rFonts w:ascii="Arial" w:eastAsia="Times New Roman" w:hAnsi="Arial" w:cs="Arial"/>
          <w:color w:val="000000" w:themeColor="text1"/>
          <w:kern w:val="0"/>
          <w:sz w:val="22"/>
          <w:szCs w:val="22"/>
          <w:lang w:eastAsia="en-GB"/>
          <w14:ligatures w14:val="none"/>
        </w:rPr>
      </w:pPr>
    </w:p>
    <w:p w14:paraId="0E7F2231" w14:textId="429AE7AB" w:rsidR="001006DF" w:rsidRPr="00F50648" w:rsidRDefault="00F5064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50648">
        <w:rPr>
          <w:rFonts w:ascii="Arial" w:eastAsia="Times New Roman" w:hAnsi="Arial" w:cs="Arial"/>
          <w:color w:val="000000" w:themeColor="text1"/>
          <w:kern w:val="0"/>
          <w:sz w:val="22"/>
          <w:szCs w:val="22"/>
          <w:lang w:eastAsia="en-GB"/>
          <w14:ligatures w14:val="none"/>
        </w:rPr>
        <w:t>Accordingly, the proposal accords with the objectives of the NPPF and raises no objection in principle.</w:t>
      </w:r>
    </w:p>
    <w:p w14:paraId="05DC29C2" w14:textId="77777777" w:rsidR="001006DF" w:rsidRPr="009C1702" w:rsidRDefault="001006DF" w:rsidP="009C1702">
      <w:pPr>
        <w:spacing w:after="0" w:line="276" w:lineRule="auto"/>
        <w:jc w:val="both"/>
        <w:rPr>
          <w:rFonts w:ascii="Arial" w:eastAsia="Times New Roman" w:hAnsi="Arial" w:cs="Arial"/>
          <w:b/>
          <w:bCs/>
          <w:kern w:val="0"/>
          <w:sz w:val="22"/>
          <w:szCs w:val="22"/>
          <w:lang w:eastAsia="en-GB"/>
          <w14:ligatures w14:val="none"/>
        </w:rPr>
      </w:pPr>
    </w:p>
    <w:p w14:paraId="6A783DB4"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21E40E5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507D5C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8A23FBD"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637411D2"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0A088F34" w14:textId="77777777" w:rsidR="00965FBC" w:rsidRPr="0044785F" w:rsidRDefault="00965FBC" w:rsidP="00965FBC">
      <w:pPr>
        <w:spacing w:after="0" w:line="276" w:lineRule="auto"/>
        <w:jc w:val="both"/>
        <w:rPr>
          <w:rFonts w:ascii="Arial" w:eastAsia="Times New Roman" w:hAnsi="Arial" w:cs="Arial"/>
          <w:color w:val="000000" w:themeColor="text1"/>
          <w:kern w:val="0"/>
          <w:sz w:val="22"/>
          <w:szCs w:val="22"/>
          <w:lang w:eastAsia="en-GB"/>
          <w14:ligatures w14:val="none"/>
        </w:rPr>
      </w:pPr>
    </w:p>
    <w:p w14:paraId="2ED2E4D9" w14:textId="77777777" w:rsid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r w:rsidRPr="003C6AD6">
        <w:rPr>
          <w:rFonts w:ascii="Arial" w:eastAsia="Times New Roman" w:hAnsi="Arial" w:cs="Arial"/>
          <w:color w:val="000000" w:themeColor="text1"/>
          <w:kern w:val="0"/>
          <w:sz w:val="22"/>
          <w:szCs w:val="22"/>
          <w:lang w:eastAsia="en-GB"/>
          <w14:ligatures w14:val="none"/>
        </w:rPr>
        <w:t>The proposed annexe would be positioned within the rear garden of the host dwelling where it would be largely screened from public view and would not be readily visible within the street scene. As such, the proposal would have only a limited influence on the character and appearance of the wider area.</w:t>
      </w:r>
    </w:p>
    <w:p w14:paraId="1EF160FD" w14:textId="77777777" w:rsidR="003C6AD6" w:rsidRP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p>
    <w:p w14:paraId="6BA23810" w14:textId="77777777" w:rsid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r w:rsidRPr="003C6AD6">
        <w:rPr>
          <w:rFonts w:ascii="Arial" w:eastAsia="Times New Roman" w:hAnsi="Arial" w:cs="Arial"/>
          <w:color w:val="000000" w:themeColor="text1"/>
          <w:kern w:val="0"/>
          <w:sz w:val="22"/>
          <w:szCs w:val="22"/>
          <w:lang w:eastAsia="en-GB"/>
          <w14:ligatures w14:val="none"/>
        </w:rPr>
        <w:t>The building would be modest in scale and clearly subservient to the host dwelling. The generous size of the plot is capable of accommodating the development without appearing cramped or resulting in an overdevelopment of the site.</w:t>
      </w:r>
    </w:p>
    <w:p w14:paraId="22644BC8" w14:textId="77777777" w:rsidR="003C6AD6" w:rsidRP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p>
    <w:p w14:paraId="494DB8D8" w14:textId="28FE90C4" w:rsid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r w:rsidRPr="003C6AD6">
        <w:rPr>
          <w:rFonts w:ascii="Arial" w:eastAsia="Times New Roman" w:hAnsi="Arial" w:cs="Arial"/>
          <w:color w:val="000000" w:themeColor="text1"/>
          <w:kern w:val="0"/>
          <w:sz w:val="22"/>
          <w:szCs w:val="22"/>
          <w:lang w:eastAsia="en-GB"/>
          <w14:ligatures w14:val="none"/>
        </w:rPr>
        <w:t xml:space="preserve">In terms of appearance, the annexe adopts a contemporary design approach, comprising external galvanised steel cladding panels with a leather-effect plastic finish and a flat roof formed from corrugated bitumen sheeting. These materials are not traditional to the area and </w:t>
      </w:r>
      <w:r w:rsidR="003C7354" w:rsidRPr="003C7354">
        <w:rPr>
          <w:rFonts w:ascii="Arial" w:eastAsia="Times New Roman" w:hAnsi="Arial" w:cs="Arial"/>
          <w:color w:val="000000" w:themeColor="text1"/>
          <w:kern w:val="0"/>
          <w:sz w:val="22"/>
          <w:szCs w:val="22"/>
          <w:lang w:eastAsia="en-GB"/>
          <w14:ligatures w14:val="none"/>
        </w:rPr>
        <w:t>would not reflect the more traditional material palette commonly found within West Overton</w:t>
      </w:r>
      <w:r w:rsidRPr="003C6AD6">
        <w:rPr>
          <w:rFonts w:ascii="Arial" w:eastAsia="Times New Roman" w:hAnsi="Arial" w:cs="Arial"/>
          <w:color w:val="000000" w:themeColor="text1"/>
          <w:kern w:val="0"/>
          <w:sz w:val="22"/>
          <w:szCs w:val="22"/>
          <w:lang w:eastAsia="en-GB"/>
          <w14:ligatures w14:val="none"/>
        </w:rPr>
        <w:t xml:space="preserve">. However, given the siting of the building within a private rear garden and its very limited visibility from public vantage points, the visual impact of these materials would be localised </w:t>
      </w:r>
      <w:r w:rsidRPr="003C6AD6">
        <w:rPr>
          <w:rFonts w:ascii="Arial" w:eastAsia="Times New Roman" w:hAnsi="Arial" w:cs="Arial"/>
          <w:color w:val="000000" w:themeColor="text1"/>
          <w:kern w:val="0"/>
          <w:sz w:val="22"/>
          <w:szCs w:val="22"/>
          <w:lang w:eastAsia="en-GB"/>
          <w14:ligatures w14:val="none"/>
        </w:rPr>
        <w:lastRenderedPageBreak/>
        <w:t>and would not result in significant harm to the character or appearance of the surrounding area.</w:t>
      </w:r>
    </w:p>
    <w:p w14:paraId="525D5052" w14:textId="77777777" w:rsidR="003C6AD6" w:rsidRP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p>
    <w:p w14:paraId="45B91A33" w14:textId="77777777" w:rsidR="003C6AD6" w:rsidRPr="003C6AD6" w:rsidRDefault="003C6AD6" w:rsidP="003C6AD6">
      <w:pPr>
        <w:spacing w:after="0" w:line="276" w:lineRule="auto"/>
        <w:jc w:val="both"/>
        <w:rPr>
          <w:rFonts w:ascii="Arial" w:eastAsia="Times New Roman" w:hAnsi="Arial" w:cs="Arial"/>
          <w:color w:val="000000" w:themeColor="text1"/>
          <w:kern w:val="0"/>
          <w:sz w:val="22"/>
          <w:szCs w:val="22"/>
          <w:lang w:eastAsia="en-GB"/>
          <w14:ligatures w14:val="none"/>
        </w:rPr>
      </w:pPr>
      <w:r w:rsidRPr="003C6AD6">
        <w:rPr>
          <w:rFonts w:ascii="Arial" w:eastAsia="Times New Roman" w:hAnsi="Arial" w:cs="Arial"/>
          <w:color w:val="000000" w:themeColor="text1"/>
          <w:kern w:val="0"/>
          <w:sz w:val="22"/>
          <w:szCs w:val="22"/>
          <w:lang w:eastAsia="en-GB"/>
          <w14:ligatures w14:val="none"/>
        </w:rPr>
        <w:t>The proposed annexe would therefore integrate satisfactorily within the plot and, notwithstanding the utilitarian nature of some of the proposed materials, the development would not give rise to such harm as to warrant refusal on design grounds.</w:t>
      </w:r>
    </w:p>
    <w:p w14:paraId="5FCB31F9" w14:textId="77777777" w:rsidR="00965FBC" w:rsidRDefault="00965FBC" w:rsidP="00965FBC">
      <w:pPr>
        <w:spacing w:after="0" w:line="276" w:lineRule="auto"/>
        <w:jc w:val="both"/>
        <w:rPr>
          <w:rFonts w:ascii="Arial" w:hAnsi="Arial" w:cs="Arial"/>
          <w:color w:val="000000" w:themeColor="text1"/>
          <w:sz w:val="22"/>
          <w:szCs w:val="22"/>
        </w:rPr>
      </w:pPr>
    </w:p>
    <w:p w14:paraId="11490F47"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ADBC6E6" w14:textId="77777777" w:rsidR="00A050F1" w:rsidRDefault="00A050F1" w:rsidP="00A050F1">
      <w:pPr>
        <w:spacing w:after="0" w:line="276" w:lineRule="auto"/>
        <w:jc w:val="both"/>
        <w:rPr>
          <w:rFonts w:ascii="Arial" w:hAnsi="Arial" w:cs="Arial"/>
          <w:b/>
          <w:bCs/>
          <w:i/>
          <w:iCs/>
          <w:color w:val="FF0000"/>
          <w:sz w:val="22"/>
          <w:szCs w:val="22"/>
        </w:rPr>
      </w:pPr>
    </w:p>
    <w:p w14:paraId="1C6A308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0D5B0F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0F2FDD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500586D" w14:textId="77777777" w:rsidR="00393433" w:rsidRDefault="00393433" w:rsidP="00A050F1">
      <w:pPr>
        <w:spacing w:after="0" w:line="276" w:lineRule="auto"/>
        <w:jc w:val="both"/>
        <w:rPr>
          <w:rFonts w:ascii="Arial" w:hAnsi="Arial" w:cs="Arial"/>
          <w:color w:val="000000" w:themeColor="text1"/>
          <w:sz w:val="22"/>
          <w:szCs w:val="22"/>
        </w:rPr>
      </w:pPr>
    </w:p>
    <w:p w14:paraId="094D2019"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ED51208" w14:textId="77777777" w:rsidR="00400FB2" w:rsidRDefault="00400FB2" w:rsidP="00A050F1">
      <w:pPr>
        <w:spacing w:after="0" w:line="276" w:lineRule="auto"/>
        <w:jc w:val="both"/>
        <w:rPr>
          <w:rFonts w:ascii="Arial" w:hAnsi="Arial" w:cs="Arial"/>
          <w:color w:val="000000" w:themeColor="text1"/>
          <w:sz w:val="22"/>
          <w:szCs w:val="22"/>
        </w:rPr>
      </w:pPr>
    </w:p>
    <w:p w14:paraId="7F21AA8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997CCFE" w14:textId="77777777" w:rsidR="00DB13C3" w:rsidRDefault="00DB13C3" w:rsidP="00DB13C3">
      <w:pPr>
        <w:spacing w:after="0" w:line="276" w:lineRule="auto"/>
        <w:jc w:val="both"/>
        <w:rPr>
          <w:rFonts w:ascii="Arial" w:hAnsi="Arial" w:cs="Arial"/>
          <w:i/>
          <w:iCs/>
          <w:color w:val="000000" w:themeColor="text1"/>
          <w:sz w:val="22"/>
          <w:szCs w:val="22"/>
        </w:rPr>
      </w:pPr>
    </w:p>
    <w:p w14:paraId="3BDCE0F3" w14:textId="77777777" w:rsidR="004568E7" w:rsidRPr="004568E7" w:rsidRDefault="004568E7" w:rsidP="004568E7">
      <w:pPr>
        <w:spacing w:after="0" w:line="276" w:lineRule="auto"/>
        <w:jc w:val="both"/>
        <w:rPr>
          <w:rFonts w:ascii="Arial" w:hAnsi="Arial" w:cs="Arial"/>
          <w:color w:val="000000" w:themeColor="text1"/>
          <w:sz w:val="22"/>
          <w:szCs w:val="22"/>
        </w:rPr>
      </w:pPr>
      <w:r w:rsidRPr="004568E7">
        <w:rPr>
          <w:rFonts w:ascii="Arial" w:hAnsi="Arial" w:cs="Arial"/>
          <w:color w:val="000000" w:themeColor="text1"/>
          <w:sz w:val="22"/>
          <w:szCs w:val="22"/>
        </w:rPr>
        <w:t>The proposed annexe would be positioned along the western boundary of the application site, adjacent to the rear garden boundaries of Nos. 20 and 21 Knights Close. Notwithstanding this relationship, the building would be modest in scale, comprising a single-storey structure with a flat roof. Given its limited height, the proposal would not result in any significant loss of light, overshadowing, or overbearing impact upon neighbouring occupiers.</w:t>
      </w:r>
    </w:p>
    <w:p w14:paraId="15C598E3" w14:textId="77777777" w:rsidR="004568E7" w:rsidRPr="004568E7" w:rsidRDefault="004568E7" w:rsidP="004568E7">
      <w:pPr>
        <w:spacing w:after="0" w:line="276" w:lineRule="auto"/>
        <w:jc w:val="both"/>
        <w:rPr>
          <w:rFonts w:ascii="Arial" w:hAnsi="Arial" w:cs="Arial"/>
          <w:color w:val="000000" w:themeColor="text1"/>
          <w:sz w:val="22"/>
          <w:szCs w:val="22"/>
        </w:rPr>
      </w:pPr>
    </w:p>
    <w:p w14:paraId="23AE9283" w14:textId="3D91D3F8" w:rsidR="004568E7" w:rsidRPr="004568E7" w:rsidRDefault="004568E7" w:rsidP="004568E7">
      <w:pPr>
        <w:spacing w:after="0" w:line="276" w:lineRule="auto"/>
        <w:jc w:val="both"/>
        <w:rPr>
          <w:rFonts w:ascii="Arial" w:hAnsi="Arial" w:cs="Arial"/>
          <w:color w:val="000000" w:themeColor="text1"/>
          <w:sz w:val="22"/>
          <w:szCs w:val="22"/>
        </w:rPr>
      </w:pPr>
      <w:r w:rsidRPr="004568E7">
        <w:rPr>
          <w:rFonts w:ascii="Arial" w:hAnsi="Arial" w:cs="Arial"/>
          <w:color w:val="000000" w:themeColor="text1"/>
          <w:sz w:val="22"/>
          <w:szCs w:val="22"/>
        </w:rPr>
        <w:t>In respect of privacy, all windows and doors would be contained within the east and south elevations, facing into the application site and towards the host dwelling. No openings are proposed within the elevation facing the neighbouring properties to the north or the west. Whilst views between neighbouring garden areas are typical within a residential setting, the proposed development would not give rise to any unacceptable overlooking or loss of privacy.</w:t>
      </w:r>
    </w:p>
    <w:p w14:paraId="4E7E61E4" w14:textId="77777777" w:rsidR="004568E7" w:rsidRPr="004568E7" w:rsidRDefault="004568E7" w:rsidP="004568E7">
      <w:pPr>
        <w:spacing w:after="0" w:line="276" w:lineRule="auto"/>
        <w:jc w:val="both"/>
        <w:rPr>
          <w:rFonts w:ascii="Arial" w:hAnsi="Arial" w:cs="Arial"/>
          <w:color w:val="000000" w:themeColor="text1"/>
          <w:sz w:val="22"/>
          <w:szCs w:val="22"/>
        </w:rPr>
      </w:pPr>
    </w:p>
    <w:p w14:paraId="7B3779F6" w14:textId="77777777" w:rsidR="004568E7" w:rsidRPr="004568E7" w:rsidRDefault="004568E7" w:rsidP="004568E7">
      <w:pPr>
        <w:spacing w:after="0" w:line="276" w:lineRule="auto"/>
        <w:jc w:val="both"/>
        <w:rPr>
          <w:rFonts w:ascii="Arial" w:hAnsi="Arial" w:cs="Arial"/>
          <w:color w:val="000000" w:themeColor="text1"/>
          <w:sz w:val="22"/>
          <w:szCs w:val="22"/>
        </w:rPr>
      </w:pPr>
      <w:r w:rsidRPr="004568E7">
        <w:rPr>
          <w:rFonts w:ascii="Arial" w:hAnsi="Arial" w:cs="Arial"/>
          <w:color w:val="000000" w:themeColor="text1"/>
          <w:sz w:val="22"/>
          <w:szCs w:val="22"/>
        </w:rPr>
        <w:t>Having regard to the scale, siting and design of the development, the proposal would preserve the reasonable living conditions of adjoining occupiers.</w:t>
      </w:r>
    </w:p>
    <w:p w14:paraId="3E74DB32" w14:textId="77777777" w:rsidR="00DB13C3" w:rsidRPr="00A050F1" w:rsidRDefault="00DB13C3" w:rsidP="00DB13C3">
      <w:pPr>
        <w:spacing w:after="0" w:line="276" w:lineRule="auto"/>
        <w:jc w:val="both"/>
        <w:rPr>
          <w:rFonts w:ascii="Arial" w:hAnsi="Arial" w:cs="Arial"/>
          <w:color w:val="000000" w:themeColor="text1"/>
          <w:sz w:val="22"/>
          <w:szCs w:val="22"/>
        </w:rPr>
      </w:pPr>
    </w:p>
    <w:p w14:paraId="2409F32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2CC18E1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F22005D" w14:textId="60E40093"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E0BB817" w14:textId="77777777" w:rsidR="00347065" w:rsidRPr="006705B5" w:rsidRDefault="0034706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674DD0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C504F7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004DCEC"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159C2407"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8C8B3D" w14:textId="77777777"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r w:rsidRPr="009242F0">
        <w:rPr>
          <w:rFonts w:ascii="Arial" w:eastAsia="Times New Roman" w:hAnsi="Arial" w:cs="Arial"/>
          <w:color w:val="000000" w:themeColor="text1"/>
          <w:kern w:val="0"/>
          <w:sz w:val="22"/>
          <w:szCs w:val="22"/>
          <w:lang w:eastAsia="en-GB"/>
          <w14:ligatures w14:val="none"/>
        </w:rPr>
        <w:t>The proposal would utilise the existing vehicular access serving the host dwelling and would not result in any alterations to the access arrangements. The proposed annexe is intended as accommodation ancillary to the main dwelling and would not create a separate planning unit. Whilst its occupation may generate a limited increase in vehicle movements, these would not be of a scale that would result in a material impact upon highway safety or the operation of the local highway network.</w:t>
      </w:r>
    </w:p>
    <w:p w14:paraId="3D4DC74D" w14:textId="77777777"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p>
    <w:p w14:paraId="54C669E4" w14:textId="28ED8F16" w:rsidR="009242F0" w:rsidRPr="009242F0" w:rsidRDefault="000240F4" w:rsidP="009242F0">
      <w:pPr>
        <w:spacing w:after="0" w:line="276" w:lineRule="auto"/>
        <w:jc w:val="both"/>
        <w:rPr>
          <w:rFonts w:ascii="Arial" w:eastAsia="Times New Roman" w:hAnsi="Arial" w:cs="Arial"/>
          <w:color w:val="000000" w:themeColor="text1"/>
          <w:kern w:val="0"/>
          <w:sz w:val="22"/>
          <w:szCs w:val="22"/>
          <w:lang w:eastAsia="en-GB"/>
          <w14:ligatures w14:val="none"/>
        </w:rPr>
      </w:pPr>
      <w:r w:rsidRPr="000240F4">
        <w:rPr>
          <w:rFonts w:ascii="Arial" w:eastAsia="Times New Roman" w:hAnsi="Arial" w:cs="Arial"/>
          <w:color w:val="000000" w:themeColor="text1"/>
          <w:kern w:val="0"/>
          <w:sz w:val="22"/>
          <w:szCs w:val="22"/>
          <w:lang w:eastAsia="en-GB"/>
          <w14:ligatures w14:val="none"/>
        </w:rPr>
        <w:t>Given the ancillary nature of the accommodation and the existing parking arrangements serving the host dwelling, the Highway Officer raises no objection subject to an ancillary occupancy condition.</w:t>
      </w:r>
    </w:p>
    <w:p w14:paraId="1AA77CDD" w14:textId="77777777"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p>
    <w:p w14:paraId="5AD93BA6" w14:textId="77777777"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r w:rsidRPr="009242F0">
        <w:rPr>
          <w:rFonts w:ascii="Arial" w:eastAsia="Times New Roman" w:hAnsi="Arial" w:cs="Arial"/>
          <w:color w:val="000000" w:themeColor="text1"/>
          <w:kern w:val="0"/>
          <w:sz w:val="22"/>
          <w:szCs w:val="22"/>
          <w:lang w:eastAsia="en-GB"/>
          <w14:ligatures w14:val="none"/>
        </w:rPr>
        <w:t>One representation requested that no vehicular access be created from Bridleway KENV40. No such access forms part of the application proposals and the annexe would continue to be served via the existing residential access from Southfield.</w:t>
      </w:r>
    </w:p>
    <w:p w14:paraId="6237389C" w14:textId="77777777"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p>
    <w:p w14:paraId="5AD237C1" w14:textId="78CECCA5" w:rsidR="009242F0" w:rsidRPr="009242F0" w:rsidRDefault="009242F0" w:rsidP="009242F0">
      <w:pPr>
        <w:spacing w:after="0" w:line="276" w:lineRule="auto"/>
        <w:jc w:val="both"/>
        <w:rPr>
          <w:rFonts w:ascii="Arial" w:eastAsia="Times New Roman" w:hAnsi="Arial" w:cs="Arial"/>
          <w:color w:val="000000" w:themeColor="text1"/>
          <w:kern w:val="0"/>
          <w:sz w:val="22"/>
          <w:szCs w:val="22"/>
          <w:lang w:eastAsia="en-GB"/>
          <w14:ligatures w14:val="none"/>
        </w:rPr>
      </w:pPr>
      <w:r w:rsidRPr="009242F0">
        <w:rPr>
          <w:rFonts w:ascii="Arial" w:eastAsia="Times New Roman" w:hAnsi="Arial" w:cs="Arial"/>
          <w:color w:val="000000" w:themeColor="text1"/>
          <w:kern w:val="0"/>
          <w:sz w:val="22"/>
          <w:szCs w:val="22"/>
          <w:lang w:eastAsia="en-GB"/>
          <w14:ligatures w14:val="none"/>
        </w:rPr>
        <w:t>The proposed development would not result in any adverse impact on highway safety, and the access arrangements are considered acceptable.</w:t>
      </w:r>
    </w:p>
    <w:p w14:paraId="42C28AEC"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58698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6D5728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C4F44B1" w14:textId="24CAD01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194EE52" w14:textId="77777777" w:rsidR="001745E7" w:rsidRPr="00F40F2D" w:rsidRDefault="001745E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0AED1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636DE2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1F4701A"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497D86A9" w14:textId="77777777" w:rsidR="00F40F2D" w:rsidRPr="00BF5F8C"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2457DD" w14:textId="5EF387A6"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r w:rsidRPr="00BF5F8C">
        <w:rPr>
          <w:rFonts w:ascii="Arial" w:eastAsia="Times New Roman" w:hAnsi="Arial" w:cs="Arial"/>
          <w:color w:val="000000" w:themeColor="text1"/>
          <w:kern w:val="0"/>
          <w:sz w:val="22"/>
          <w:szCs w:val="22"/>
          <w:lang w:eastAsia="en-GB"/>
          <w14:ligatures w14:val="none"/>
        </w:rPr>
        <w:t>The application site lies within the North Wessex Downs National Landscape. Core Policy 51 and the NPPF require</w:t>
      </w:r>
      <w:r>
        <w:rPr>
          <w:rFonts w:ascii="Arial" w:eastAsia="Times New Roman" w:hAnsi="Arial" w:cs="Arial"/>
          <w:color w:val="000000" w:themeColor="text1"/>
          <w:kern w:val="0"/>
          <w:sz w:val="22"/>
          <w:szCs w:val="22"/>
          <w:lang w:eastAsia="en-GB"/>
          <w14:ligatures w14:val="none"/>
        </w:rPr>
        <w:t>s</w:t>
      </w:r>
      <w:r w:rsidRPr="00BF5F8C">
        <w:rPr>
          <w:rFonts w:ascii="Arial" w:eastAsia="Times New Roman" w:hAnsi="Arial" w:cs="Arial"/>
          <w:color w:val="000000" w:themeColor="text1"/>
          <w:kern w:val="0"/>
          <w:sz w:val="22"/>
          <w:szCs w:val="22"/>
          <w:lang w:eastAsia="en-GB"/>
          <w14:ligatures w14:val="none"/>
        </w:rPr>
        <w:t xml:space="preserve"> development within designated landscapes to conserve and enhance their natural beauty and special qualities.</w:t>
      </w:r>
    </w:p>
    <w:p w14:paraId="47385A08"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p>
    <w:p w14:paraId="3D4BAACD"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r w:rsidRPr="00BF5F8C">
        <w:rPr>
          <w:rFonts w:ascii="Arial" w:eastAsia="Times New Roman" w:hAnsi="Arial" w:cs="Arial"/>
          <w:color w:val="000000" w:themeColor="text1"/>
          <w:kern w:val="0"/>
          <w:sz w:val="22"/>
          <w:szCs w:val="22"/>
          <w:lang w:eastAsia="en-GB"/>
          <w14:ligatures w14:val="none"/>
        </w:rPr>
        <w:t xml:space="preserve">The proposed development would comprise a modest single-storey annexe located within the established residential curtilage of the host dwelling. The building would be sited within a private rear garden surrounded by existing residential development and would not result in any encroachment into the wider countryside. Due to its scale, siting and relationship with the </w:t>
      </w:r>
      <w:r w:rsidRPr="00BF5F8C">
        <w:rPr>
          <w:rFonts w:ascii="Arial" w:eastAsia="Times New Roman" w:hAnsi="Arial" w:cs="Arial"/>
          <w:color w:val="000000" w:themeColor="text1"/>
          <w:kern w:val="0"/>
          <w:sz w:val="22"/>
          <w:szCs w:val="22"/>
          <w:lang w:eastAsia="en-GB"/>
          <w14:ligatures w14:val="none"/>
        </w:rPr>
        <w:lastRenderedPageBreak/>
        <w:t>existing dwelling, the proposal would have a limited visual presence and would not affect key views, landscape features or the wider scenic qualities of the National Landscape.</w:t>
      </w:r>
    </w:p>
    <w:p w14:paraId="2F102A54"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p>
    <w:p w14:paraId="1AE45B82"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r w:rsidRPr="00BF5F8C">
        <w:rPr>
          <w:rFonts w:ascii="Arial" w:eastAsia="Times New Roman" w:hAnsi="Arial" w:cs="Arial"/>
          <w:color w:val="000000" w:themeColor="text1"/>
          <w:kern w:val="0"/>
          <w:sz w:val="22"/>
          <w:szCs w:val="22"/>
          <w:lang w:eastAsia="en-GB"/>
          <w14:ligatures w14:val="none"/>
        </w:rPr>
        <w:t>Whilst some of the proposed materials are contemporary and utilitarian in appearance, any visual effects would be localised to the residential curtilage and would not result in harm to the wider landscape character of the National Landscape.</w:t>
      </w:r>
    </w:p>
    <w:p w14:paraId="72A27F1E"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p>
    <w:p w14:paraId="45974652" w14:textId="77777777" w:rsidR="00BF5F8C" w:rsidRPr="00BF5F8C" w:rsidRDefault="00BF5F8C" w:rsidP="00BF5F8C">
      <w:pPr>
        <w:spacing w:after="0" w:line="276" w:lineRule="auto"/>
        <w:jc w:val="both"/>
        <w:rPr>
          <w:rFonts w:ascii="Arial" w:eastAsia="Times New Roman" w:hAnsi="Arial" w:cs="Arial"/>
          <w:color w:val="000000" w:themeColor="text1"/>
          <w:kern w:val="0"/>
          <w:sz w:val="22"/>
          <w:szCs w:val="22"/>
          <w:lang w:eastAsia="en-GB"/>
          <w14:ligatures w14:val="none"/>
        </w:rPr>
      </w:pPr>
      <w:r w:rsidRPr="00BF5F8C">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p>
    <w:p w14:paraId="147B1372"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0A5AD6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52D49979" w14:textId="77777777" w:rsidR="001745E7" w:rsidRDefault="001745E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p>
    <w:p w14:paraId="7491D3C2" w14:textId="0D64105E"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975A2D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F4617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BA920F1"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02619572"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1DC3B30" w14:textId="77777777" w:rsidR="00EE2EE4" w:rsidRPr="00284CD5" w:rsidRDefault="00EE2EE4" w:rsidP="00284CD5">
      <w:pPr>
        <w:spacing w:after="0" w:line="276" w:lineRule="auto"/>
        <w:jc w:val="both"/>
        <w:rPr>
          <w:rFonts w:ascii="Arial" w:hAnsi="Arial" w:cs="Arial"/>
          <w:color w:val="000000" w:themeColor="text1"/>
          <w:sz w:val="22"/>
          <w:szCs w:val="22"/>
          <w:u w:val="single"/>
        </w:rPr>
      </w:pPr>
    </w:p>
    <w:p w14:paraId="74AEEC5C"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5AE7D3B" w14:textId="77777777" w:rsidR="00284CD5" w:rsidRPr="004B2F79" w:rsidRDefault="00284CD5" w:rsidP="00284CD5">
      <w:pPr>
        <w:spacing w:after="0" w:line="276" w:lineRule="auto"/>
        <w:jc w:val="both"/>
        <w:rPr>
          <w:rFonts w:ascii="Arial" w:hAnsi="Arial" w:cs="Arial"/>
          <w:color w:val="000000" w:themeColor="text1"/>
          <w:sz w:val="22"/>
          <w:szCs w:val="22"/>
        </w:rPr>
      </w:pPr>
    </w:p>
    <w:p w14:paraId="42074249"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B86BC1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AEB9D5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BFF252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6407B2B" w14:textId="1B1C5C85" w:rsidR="003D05E9" w:rsidRDefault="00243B36"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243B36">
        <w:rPr>
          <w:rFonts w:ascii="Arial" w:eastAsia="Times New Roman" w:hAnsi="Arial" w:cs="Arial"/>
          <w:color w:val="000000" w:themeColor="text1"/>
          <w:kern w:val="0"/>
          <w:sz w:val="22"/>
          <w:szCs w:val="22"/>
          <w:lang w:eastAsia="en-GB"/>
          <w14:ligatures w14:val="none"/>
        </w:rPr>
        <w:t>Subject to the imposition of a condition restricting the annexe to accommodation ancillary to the host dwelling, t</w:t>
      </w:r>
      <w:r w:rsidR="003D05E9" w:rsidRPr="003D05E9">
        <w:rPr>
          <w:rFonts w:ascii="Arial" w:eastAsia="Times New Roman" w:hAnsi="Arial" w:cs="Arial"/>
          <w:color w:val="000000" w:themeColor="text1"/>
          <w:kern w:val="0"/>
          <w:sz w:val="22"/>
          <w:szCs w:val="22"/>
          <w:lang w:eastAsia="en-GB"/>
          <w14:ligatures w14:val="none"/>
        </w:rPr>
        <w:t>he proposed development is considered to be acceptable in terms of its design, character and appearance, and would not result in any unacceptable harm to the amenities of neighbouring occupiers.</w:t>
      </w:r>
    </w:p>
    <w:p w14:paraId="62C1F72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633D83B"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4DFB1E5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5C786FC"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42923EC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26E3979" w14:textId="59EFF4B9" w:rsidR="009B7AD7" w:rsidRPr="00474FC0"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99FD52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62688D"/>
    <w:multiLevelType w:val="hybridMultilevel"/>
    <w:tmpl w:val="35A8E290"/>
    <w:lvl w:ilvl="0" w:tplc="BE740438">
      <w:numFmt w:val="bullet"/>
      <w:lvlText w:val="-"/>
      <w:lvlJc w:val="left"/>
      <w:pPr>
        <w:ind w:left="720" w:hanging="360"/>
      </w:pPr>
      <w:rPr>
        <w:rFonts w:ascii="Arial" w:eastAsia="Times New Roman" w:hAnsi="Arial" w:cs="Arial" w:hint="default"/>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A487A"/>
    <w:multiLevelType w:val="hybridMultilevel"/>
    <w:tmpl w:val="52C8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9"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7402409">
    <w:abstractNumId w:val="8"/>
  </w:num>
  <w:num w:numId="2" w16cid:durableId="892273552">
    <w:abstractNumId w:val="2"/>
  </w:num>
  <w:num w:numId="3" w16cid:durableId="1181357059">
    <w:abstractNumId w:val="16"/>
  </w:num>
  <w:num w:numId="4" w16cid:durableId="1650787556">
    <w:abstractNumId w:val="10"/>
  </w:num>
  <w:num w:numId="5" w16cid:durableId="466094426">
    <w:abstractNumId w:val="18"/>
  </w:num>
  <w:num w:numId="6" w16cid:durableId="1542328013">
    <w:abstractNumId w:val="20"/>
  </w:num>
  <w:num w:numId="7" w16cid:durableId="1004281297">
    <w:abstractNumId w:val="3"/>
  </w:num>
  <w:num w:numId="8" w16cid:durableId="1878279251">
    <w:abstractNumId w:val="1"/>
  </w:num>
  <w:num w:numId="9" w16cid:durableId="1286542474">
    <w:abstractNumId w:val="7"/>
  </w:num>
  <w:num w:numId="10" w16cid:durableId="2027555515">
    <w:abstractNumId w:val="15"/>
  </w:num>
  <w:num w:numId="11" w16cid:durableId="334724159">
    <w:abstractNumId w:val="14"/>
  </w:num>
  <w:num w:numId="12" w16cid:durableId="1840384416">
    <w:abstractNumId w:val="12"/>
  </w:num>
  <w:num w:numId="13" w16cid:durableId="665060638">
    <w:abstractNumId w:val="21"/>
  </w:num>
  <w:num w:numId="14" w16cid:durableId="32586408">
    <w:abstractNumId w:val="19"/>
  </w:num>
  <w:num w:numId="15" w16cid:durableId="514343630">
    <w:abstractNumId w:val="5"/>
  </w:num>
  <w:num w:numId="16" w16cid:durableId="27875379">
    <w:abstractNumId w:val="4"/>
  </w:num>
  <w:num w:numId="17" w16cid:durableId="1713575381">
    <w:abstractNumId w:val="6"/>
  </w:num>
  <w:num w:numId="18" w16cid:durableId="1138763074">
    <w:abstractNumId w:val="9"/>
  </w:num>
  <w:num w:numId="19" w16cid:durableId="2064598420">
    <w:abstractNumId w:val="0"/>
  </w:num>
  <w:num w:numId="20" w16cid:durableId="108596679">
    <w:abstractNumId w:val="22"/>
  </w:num>
  <w:num w:numId="21" w16cid:durableId="297955148">
    <w:abstractNumId w:val="11"/>
  </w:num>
  <w:num w:numId="22" w16cid:durableId="1202664866">
    <w:abstractNumId w:val="13"/>
  </w:num>
  <w:num w:numId="23" w16cid:durableId="5719634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C49"/>
    <w:rsid w:val="000143A5"/>
    <w:rsid w:val="000148E7"/>
    <w:rsid w:val="00015ADB"/>
    <w:rsid w:val="000221CB"/>
    <w:rsid w:val="000240F4"/>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A24A0"/>
    <w:rsid w:val="000B4864"/>
    <w:rsid w:val="000B66D7"/>
    <w:rsid w:val="000B6B01"/>
    <w:rsid w:val="000C7F98"/>
    <w:rsid w:val="000D0858"/>
    <w:rsid w:val="000D092E"/>
    <w:rsid w:val="000D5836"/>
    <w:rsid w:val="000E063D"/>
    <w:rsid w:val="000E18EB"/>
    <w:rsid w:val="000E6021"/>
    <w:rsid w:val="000E7462"/>
    <w:rsid w:val="000F3916"/>
    <w:rsid w:val="001006DF"/>
    <w:rsid w:val="001044B1"/>
    <w:rsid w:val="00111D21"/>
    <w:rsid w:val="00111E0B"/>
    <w:rsid w:val="001177BA"/>
    <w:rsid w:val="00134165"/>
    <w:rsid w:val="00134D23"/>
    <w:rsid w:val="00141929"/>
    <w:rsid w:val="0014198B"/>
    <w:rsid w:val="00143E4C"/>
    <w:rsid w:val="00146329"/>
    <w:rsid w:val="00152901"/>
    <w:rsid w:val="0016162B"/>
    <w:rsid w:val="00162405"/>
    <w:rsid w:val="001745E7"/>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1F28E0"/>
    <w:rsid w:val="00200044"/>
    <w:rsid w:val="002056F3"/>
    <w:rsid w:val="002100CF"/>
    <w:rsid w:val="00211930"/>
    <w:rsid w:val="00212556"/>
    <w:rsid w:val="0021435E"/>
    <w:rsid w:val="00215395"/>
    <w:rsid w:val="002175E1"/>
    <w:rsid w:val="002215A6"/>
    <w:rsid w:val="00221D04"/>
    <w:rsid w:val="00243B36"/>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47065"/>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5AFA"/>
    <w:rsid w:val="003A6042"/>
    <w:rsid w:val="003A7995"/>
    <w:rsid w:val="003B7C71"/>
    <w:rsid w:val="003C6AD6"/>
    <w:rsid w:val="003C7354"/>
    <w:rsid w:val="003C7574"/>
    <w:rsid w:val="003D05E9"/>
    <w:rsid w:val="003E08E2"/>
    <w:rsid w:val="003E2BA9"/>
    <w:rsid w:val="003E41D0"/>
    <w:rsid w:val="003F076A"/>
    <w:rsid w:val="003F4156"/>
    <w:rsid w:val="003F5922"/>
    <w:rsid w:val="00400FB2"/>
    <w:rsid w:val="004130CC"/>
    <w:rsid w:val="004158E9"/>
    <w:rsid w:val="004212F8"/>
    <w:rsid w:val="00422C35"/>
    <w:rsid w:val="00423C8C"/>
    <w:rsid w:val="004268A1"/>
    <w:rsid w:val="00430927"/>
    <w:rsid w:val="00436306"/>
    <w:rsid w:val="00436D0A"/>
    <w:rsid w:val="004407D1"/>
    <w:rsid w:val="004414AD"/>
    <w:rsid w:val="0044785F"/>
    <w:rsid w:val="00450181"/>
    <w:rsid w:val="004547E7"/>
    <w:rsid w:val="00454C71"/>
    <w:rsid w:val="00455BD4"/>
    <w:rsid w:val="004568E7"/>
    <w:rsid w:val="004649E9"/>
    <w:rsid w:val="00464AE2"/>
    <w:rsid w:val="00465C63"/>
    <w:rsid w:val="00465DD1"/>
    <w:rsid w:val="004713E6"/>
    <w:rsid w:val="00474FC0"/>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2F63"/>
    <w:rsid w:val="00711058"/>
    <w:rsid w:val="00711526"/>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0CA1"/>
    <w:rsid w:val="0083213E"/>
    <w:rsid w:val="008376A8"/>
    <w:rsid w:val="00842BB0"/>
    <w:rsid w:val="0084670A"/>
    <w:rsid w:val="00852CAC"/>
    <w:rsid w:val="00855117"/>
    <w:rsid w:val="0085527B"/>
    <w:rsid w:val="008602F9"/>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50F4"/>
    <w:rsid w:val="008E684D"/>
    <w:rsid w:val="008F0D3D"/>
    <w:rsid w:val="008F1CF8"/>
    <w:rsid w:val="008F371F"/>
    <w:rsid w:val="008F6030"/>
    <w:rsid w:val="00914ED0"/>
    <w:rsid w:val="00921A38"/>
    <w:rsid w:val="0092325F"/>
    <w:rsid w:val="00924221"/>
    <w:rsid w:val="009242F0"/>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6B18"/>
    <w:rsid w:val="00A772D3"/>
    <w:rsid w:val="00A81CF7"/>
    <w:rsid w:val="00A8272D"/>
    <w:rsid w:val="00A85226"/>
    <w:rsid w:val="00A919D6"/>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117B"/>
    <w:rsid w:val="00B44C99"/>
    <w:rsid w:val="00B44EC9"/>
    <w:rsid w:val="00B54DA2"/>
    <w:rsid w:val="00B633AB"/>
    <w:rsid w:val="00B6556B"/>
    <w:rsid w:val="00B67C4B"/>
    <w:rsid w:val="00B71530"/>
    <w:rsid w:val="00B71D0E"/>
    <w:rsid w:val="00B7214D"/>
    <w:rsid w:val="00B7419B"/>
    <w:rsid w:val="00B82691"/>
    <w:rsid w:val="00B915D4"/>
    <w:rsid w:val="00BA2753"/>
    <w:rsid w:val="00BB5ECE"/>
    <w:rsid w:val="00BB7690"/>
    <w:rsid w:val="00BD6B4D"/>
    <w:rsid w:val="00BE579C"/>
    <w:rsid w:val="00BE5F7B"/>
    <w:rsid w:val="00BF1DB2"/>
    <w:rsid w:val="00BF5F8C"/>
    <w:rsid w:val="00BF7456"/>
    <w:rsid w:val="00C03688"/>
    <w:rsid w:val="00C1522E"/>
    <w:rsid w:val="00C21B1F"/>
    <w:rsid w:val="00C224C6"/>
    <w:rsid w:val="00C261CE"/>
    <w:rsid w:val="00C27C39"/>
    <w:rsid w:val="00C318BF"/>
    <w:rsid w:val="00C326D3"/>
    <w:rsid w:val="00C37EDD"/>
    <w:rsid w:val="00C40230"/>
    <w:rsid w:val="00C41B5D"/>
    <w:rsid w:val="00C43BC6"/>
    <w:rsid w:val="00C44C6D"/>
    <w:rsid w:val="00C45665"/>
    <w:rsid w:val="00C508EE"/>
    <w:rsid w:val="00C575A0"/>
    <w:rsid w:val="00C65C68"/>
    <w:rsid w:val="00C66E1F"/>
    <w:rsid w:val="00C73630"/>
    <w:rsid w:val="00C760C4"/>
    <w:rsid w:val="00C81A53"/>
    <w:rsid w:val="00C8654A"/>
    <w:rsid w:val="00C86A61"/>
    <w:rsid w:val="00CA3A97"/>
    <w:rsid w:val="00CB6B3B"/>
    <w:rsid w:val="00CC1DF4"/>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2EE4"/>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648"/>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171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2641</Words>
  <Characters>15091</Characters>
  <Application>Microsoft Office Word</Application>
  <DocSecurity>0</DocSecurity>
  <Lines>334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salesforceId:162081ff-95d0-4413-a9dc-3786e72a9377</dc:subject>
  <dc:creator>O'Donoghue, Ruaridh</dc:creator>
  <cp:keywords/>
  <dc:description/>
  <cp:lastModifiedBy>Joe Leesam</cp:lastModifiedBy>
  <cp:revision>37</cp:revision>
  <dcterms:created xsi:type="dcterms:W3CDTF">2026-10-12T13:37:00Z</dcterms:created>
  <dcterms:modified xsi:type="dcterms:W3CDTF">2026-10-12T14:22:00Z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069Q300000V1qvjIAB</vt:lpwstr>
  </property>
</Properties>
</file>