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16327F">
        <w:rPr>
          <w:rFonts w:ascii="Arial" w:hAnsi="Arial" w:cs="Arial"/>
          <w:b/>
          <w:bCs/>
          <w:sz w:val="28"/>
          <w:szCs w:val="28"/>
        </w:rPr>
        <w:t>HOUSEHOLDER PLANNING 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83AE3A5" w:rsidR="000E38BA" w:rsidRPr="007279A5" w:rsidRDefault="0016327F" w:rsidP="00A20E02">
            <w:pPr>
              <w:spacing w:line="276" w:lineRule="auto"/>
              <w:rPr>
                <w:rFonts w:ascii="Arial" w:hAnsi="Arial" w:cs="Arial"/>
                <w:sz w:val="22"/>
                <w:szCs w:val="22"/>
                <w:lang w:eastAsia="en-GB"/>
              </w:rPr>
            </w:pPr>
            <w:r w:rsidRPr="007279A5">
              <w:rPr>
                <w:rFonts w:ascii="Arial" w:hAnsi="Arial" w:cs="Arial"/>
                <w:sz w:val="22"/>
                <w:szCs w:val="22"/>
                <w:lang w:eastAsia="en-GB"/>
              </w:rPr>
              <w:t>PL/2026/03401</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AC8DFA2" w:rsidR="000E38BA" w:rsidRPr="007279A5" w:rsidRDefault="0016327F" w:rsidP="00A20E02">
            <w:pPr>
              <w:spacing w:line="276" w:lineRule="auto"/>
              <w:rPr>
                <w:rFonts w:ascii="Arial" w:hAnsi="Arial" w:cs="Arial"/>
                <w:b/>
                <w:bCs/>
                <w:sz w:val="22"/>
                <w:szCs w:val="22"/>
                <w:lang w:eastAsia="en-GB"/>
              </w:rPr>
            </w:pPr>
            <w:r w:rsidRPr="007279A5">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1B99C119" w:rsidR="000E38BA" w:rsidRPr="007279A5" w:rsidRDefault="0016327F" w:rsidP="00A20E02">
            <w:pPr>
              <w:spacing w:line="276" w:lineRule="auto"/>
              <w:rPr>
                <w:rFonts w:ascii="Arial" w:hAnsi="Arial" w:cs="Arial"/>
                <w:b/>
                <w:bCs/>
                <w:sz w:val="22"/>
                <w:szCs w:val="22"/>
                <w:lang w:eastAsia="en-GB"/>
              </w:rPr>
            </w:pPr>
            <w:r w:rsidRPr="007279A5">
              <w:rPr>
                <w:rFonts w:ascii="Arial" w:hAnsi="Arial" w:cs="Arial"/>
                <w:sz w:val="22"/>
                <w:szCs w:val="22"/>
                <w:lang w:val="en-GB" w:eastAsia="en-GB"/>
              </w:rPr>
              <w:t>127 Lacock Gardens, Hilperton, Trowbridge, BA14 7TG</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3D1F071" w:rsidR="000E38BA" w:rsidRPr="007279A5" w:rsidRDefault="007279A5" w:rsidP="00A20E02">
            <w:pPr>
              <w:spacing w:line="276" w:lineRule="auto"/>
              <w:rPr>
                <w:rFonts w:ascii="Arial" w:hAnsi="Arial" w:cs="Arial"/>
                <w:b/>
                <w:bCs/>
                <w:sz w:val="22"/>
                <w:szCs w:val="22"/>
                <w:lang w:eastAsia="en-GB"/>
              </w:rPr>
            </w:pPr>
            <w:r w:rsidRPr="007279A5">
              <w:rPr>
                <w:rFonts w:ascii="Arial" w:hAnsi="Arial" w:cs="Arial"/>
                <w:sz w:val="22"/>
                <w:szCs w:val="22"/>
                <w:lang w:eastAsia="en-GB"/>
              </w:rPr>
              <w:t>Proposed single-storey, pitched roof, rear extension</w:t>
            </w:r>
            <w:r w:rsidR="00714E4F">
              <w:rPr>
                <w:rFonts w:ascii="Arial" w:hAnsi="Arial" w:cs="Arial"/>
                <w:sz w:val="22"/>
                <w:szCs w:val="22"/>
                <w:lang w:eastAsia="en-GB"/>
              </w:rPr>
              <w:t xml:space="preserve"> (part- retrospective)</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008C59C0" w:rsidR="000E38BA" w:rsidRPr="005A66C3" w:rsidRDefault="002C2420" w:rsidP="002C2420">
      <w:pPr>
        <w:tabs>
          <w:tab w:val="left" w:pos="2520"/>
        </w:tabs>
        <w:spacing w:line="276" w:lineRule="auto"/>
        <w:jc w:val="center"/>
        <w:rPr>
          <w:rFonts w:ascii="Arial" w:hAnsi="Arial" w:cs="Arial"/>
          <w:bCs/>
          <w:sz w:val="22"/>
          <w:szCs w:val="22"/>
        </w:rPr>
      </w:pPr>
      <w:r w:rsidRPr="002C2420">
        <w:rPr>
          <w:rFonts w:ascii="Arial" w:hAnsi="Arial" w:cs="Arial"/>
          <w:bCs/>
          <w:noProof/>
          <w:sz w:val="22"/>
          <w:szCs w:val="22"/>
        </w:rPr>
        <w:drawing>
          <wp:inline distT="0" distB="0" distL="0" distR="0" wp14:anchorId="235BC490" wp14:editId="47350650">
            <wp:extent cx="3190691" cy="2497541"/>
            <wp:effectExtent l="0" t="0" r="0" b="0"/>
            <wp:docPr id="1034151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51784" name=""/>
                    <pic:cNvPicPr/>
                  </pic:nvPicPr>
                  <pic:blipFill>
                    <a:blip r:embed="rId5"/>
                    <a:stretch>
                      <a:fillRect/>
                    </a:stretch>
                  </pic:blipFill>
                  <pic:spPr>
                    <a:xfrm>
                      <a:off x="0" y="0"/>
                      <a:ext cx="3207279" cy="2510526"/>
                    </a:xfrm>
                    <a:prstGeom prst="rect">
                      <a:avLst/>
                    </a:prstGeom>
                  </pic:spPr>
                </pic:pic>
              </a:graphicData>
            </a:graphic>
          </wp:inline>
        </w:drawing>
      </w: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2C8E08BD" w14:textId="77777777" w:rsidR="0027563A" w:rsidRPr="0027563A" w:rsidRDefault="0027563A" w:rsidP="0027563A">
      <w:pPr>
        <w:pStyle w:val="NoSpacing"/>
        <w:spacing w:line="276" w:lineRule="auto"/>
      </w:pPr>
      <w:r w:rsidRPr="0027563A">
        <w:t>The application seeks planning permission for the erection of a single-storey rear extension to the existing dwelling. The extension would project approximately 2 metres beyond the rear elevation, measure 3.9 metres in width, and incorporate a mono-pitched roof rising from approximately 2.4 metres at the eaves to 3.5 metres where it adjoins the host dwelling. External materials are proposed to comprise red/grey interlocking concrete roof tiles and lightly stained horizontal larch timber cladding, together with associated lead flashing and detailing. The extension would provide additional internal living accommodation ancillary to the existing residential use of the property.</w:t>
      </w:r>
    </w:p>
    <w:p w14:paraId="28AE561C" w14:textId="77777777" w:rsidR="008C2CBB" w:rsidRPr="0027563A" w:rsidRDefault="008C2CBB" w:rsidP="005A66C3">
      <w:pPr>
        <w:pStyle w:val="NoSpacing"/>
        <w:spacing w:line="276" w:lineRule="auto"/>
      </w:pPr>
    </w:p>
    <w:p w14:paraId="69CD5645" w14:textId="413B2DC3" w:rsidR="001E210B" w:rsidRPr="0027563A" w:rsidRDefault="00FB1E29" w:rsidP="005A66C3">
      <w:pPr>
        <w:spacing w:line="276" w:lineRule="auto"/>
        <w:rPr>
          <w:rFonts w:ascii="Arial" w:hAnsi="Arial" w:cs="Arial"/>
          <w:b/>
          <w:bCs/>
          <w:sz w:val="22"/>
          <w:szCs w:val="22"/>
        </w:rPr>
      </w:pPr>
      <w:r w:rsidRPr="0027563A">
        <w:rPr>
          <w:rFonts w:ascii="Arial" w:hAnsi="Arial" w:cs="Arial"/>
          <w:b/>
          <w:bCs/>
          <w:sz w:val="22"/>
          <w:szCs w:val="22"/>
        </w:rPr>
        <w:t>SITE DESCRIPTION / CONTEXT</w:t>
      </w:r>
    </w:p>
    <w:p w14:paraId="746A2167" w14:textId="77777777" w:rsidR="00C77C50" w:rsidRPr="0027563A" w:rsidRDefault="00C77C50" w:rsidP="005A66C3">
      <w:pPr>
        <w:spacing w:line="276" w:lineRule="auto"/>
        <w:jc w:val="both"/>
        <w:rPr>
          <w:rFonts w:ascii="Arial" w:hAnsi="Arial" w:cs="Arial"/>
          <w:sz w:val="22"/>
          <w:szCs w:val="22"/>
        </w:rPr>
      </w:pPr>
    </w:p>
    <w:p w14:paraId="40454135" w14:textId="57CDA37C" w:rsidR="0027563A" w:rsidRPr="0027563A" w:rsidRDefault="0027563A" w:rsidP="005A66C3">
      <w:pPr>
        <w:spacing w:line="276" w:lineRule="auto"/>
        <w:jc w:val="both"/>
        <w:rPr>
          <w:rFonts w:ascii="Arial" w:hAnsi="Arial" w:cs="Arial"/>
          <w:sz w:val="22"/>
          <w:szCs w:val="22"/>
        </w:rPr>
      </w:pPr>
      <w:r w:rsidRPr="0027563A">
        <w:rPr>
          <w:rFonts w:ascii="Arial" w:hAnsi="Arial" w:cs="Arial"/>
          <w:sz w:val="22"/>
          <w:szCs w:val="22"/>
        </w:rPr>
        <w:t>The application site comprises a detached dwelling located within a modern residential estate characterised predominantly by two-storey dwellings constructed in red brick with white uPVC fenestration and tiled pitched roofs. Properties within the locality generally benefit from modest front gardens and low-level hedgerow boundary treatments, creating a medium-density suburban character. The site occupies an edge-of-settlement location, with open agricultural land situated to the south beyond the residential development. The property lies within the Trowbridge Settlement Boundary and is located within the Trowbridge and Westbury Bat Mitigation Strategy Grey Zone and within identified Bechstein Bat Core Roost Buffers. The site is also located within Flood Zone 1, with the Council's Strategic Flood Risk Assessment indicating a negligible risk from both surface water and groundwater flooding.</w:t>
      </w:r>
    </w:p>
    <w:p w14:paraId="363B8EDC" w14:textId="77777777" w:rsidR="00514587" w:rsidRPr="005A66C3" w:rsidRDefault="00514587"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06669595" w14:textId="77777777" w:rsidR="00C848E4" w:rsidRPr="005A66C3" w:rsidRDefault="00C848E4" w:rsidP="005A66C3">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953"/>
        <w:gridCol w:w="5868"/>
        <w:gridCol w:w="2609"/>
      </w:tblGrid>
      <w:tr w:rsidR="00C848E4" w:rsidRPr="005A66C3" w14:paraId="5463C585" w14:textId="77777777" w:rsidTr="00532E0B">
        <w:tc>
          <w:tcPr>
            <w:tcW w:w="1838" w:type="dxa"/>
            <w:shd w:val="clear" w:color="auto" w:fill="F2F2F2" w:themeFill="background1" w:themeFillShade="F2"/>
          </w:tcPr>
          <w:p w14:paraId="28852B27"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Decision</w:t>
            </w:r>
          </w:p>
        </w:tc>
      </w:tr>
      <w:tr w:rsidR="00C848E4" w:rsidRPr="005A66C3" w14:paraId="6391EEE9" w14:textId="77777777" w:rsidTr="00532E0B">
        <w:tc>
          <w:tcPr>
            <w:tcW w:w="1838" w:type="dxa"/>
          </w:tcPr>
          <w:p w14:paraId="129D6CF1" w14:textId="48368A47" w:rsidR="00C848E4" w:rsidRPr="005A66C3" w:rsidRDefault="00E972F7" w:rsidP="005A66C3">
            <w:pPr>
              <w:spacing w:line="276" w:lineRule="auto"/>
              <w:rPr>
                <w:rFonts w:ascii="Arial" w:hAnsi="Arial" w:cs="Arial"/>
                <w:sz w:val="22"/>
                <w:szCs w:val="22"/>
              </w:rPr>
            </w:pPr>
            <w:r w:rsidRPr="00E972F7">
              <w:rPr>
                <w:rFonts w:ascii="Arial" w:hAnsi="Arial" w:cs="Arial"/>
                <w:sz w:val="22"/>
                <w:szCs w:val="22"/>
              </w:rPr>
              <w:t>W/88/01650/OUT</w:t>
            </w:r>
          </w:p>
        </w:tc>
        <w:tc>
          <w:tcPr>
            <w:tcW w:w="5954" w:type="dxa"/>
          </w:tcPr>
          <w:p w14:paraId="3C690310" w14:textId="6543CDDA" w:rsidR="00C848E4" w:rsidRPr="005A66C3" w:rsidRDefault="009E0E9B" w:rsidP="005A66C3">
            <w:pPr>
              <w:spacing w:line="276" w:lineRule="auto"/>
              <w:rPr>
                <w:rFonts w:ascii="Arial" w:hAnsi="Arial" w:cs="Arial"/>
                <w:sz w:val="22"/>
                <w:szCs w:val="22"/>
              </w:rPr>
            </w:pPr>
            <w:r w:rsidRPr="009E0E9B">
              <w:rPr>
                <w:rFonts w:ascii="Arial" w:hAnsi="Arial" w:cs="Arial"/>
                <w:sz w:val="22"/>
                <w:szCs w:val="22"/>
              </w:rPr>
              <w:t xml:space="preserve">Residential development together with local </w:t>
            </w:r>
            <w:proofErr w:type="spellStart"/>
            <w:r w:rsidRPr="009E0E9B">
              <w:rPr>
                <w:rFonts w:ascii="Arial" w:hAnsi="Arial" w:cs="Arial"/>
                <w:sz w:val="22"/>
                <w:szCs w:val="22"/>
              </w:rPr>
              <w:t>centre</w:t>
            </w:r>
            <w:proofErr w:type="spellEnd"/>
            <w:r w:rsidRPr="009E0E9B">
              <w:rPr>
                <w:rFonts w:ascii="Arial" w:hAnsi="Arial" w:cs="Arial"/>
                <w:sz w:val="22"/>
                <w:szCs w:val="22"/>
              </w:rPr>
              <w:t>, highway improvements and public open space</w:t>
            </w:r>
          </w:p>
        </w:tc>
        <w:tc>
          <w:tcPr>
            <w:tcW w:w="2638" w:type="dxa"/>
          </w:tcPr>
          <w:p w14:paraId="23A7486B" w14:textId="53BCAC1C" w:rsidR="00C848E4" w:rsidRPr="005A66C3" w:rsidRDefault="009E0E9B" w:rsidP="005A66C3">
            <w:pPr>
              <w:spacing w:line="276" w:lineRule="auto"/>
              <w:rPr>
                <w:rFonts w:ascii="Arial" w:hAnsi="Arial" w:cs="Arial"/>
                <w:sz w:val="22"/>
                <w:szCs w:val="22"/>
              </w:rPr>
            </w:pPr>
            <w:r>
              <w:rPr>
                <w:rFonts w:ascii="Arial" w:hAnsi="Arial" w:cs="Arial"/>
                <w:sz w:val="22"/>
                <w:szCs w:val="22"/>
              </w:rPr>
              <w:t>Approved</w:t>
            </w:r>
          </w:p>
        </w:tc>
      </w:tr>
      <w:tr w:rsidR="009E0E9B" w:rsidRPr="005A66C3" w14:paraId="073133BE" w14:textId="77777777" w:rsidTr="00532E0B">
        <w:tc>
          <w:tcPr>
            <w:tcW w:w="1838" w:type="dxa"/>
          </w:tcPr>
          <w:p w14:paraId="4345EEC6" w14:textId="5C41B7C2" w:rsidR="009E0E9B" w:rsidRPr="00E972F7" w:rsidRDefault="009E0E9B" w:rsidP="005A66C3">
            <w:pPr>
              <w:spacing w:line="276" w:lineRule="auto"/>
              <w:rPr>
                <w:rFonts w:ascii="Arial" w:hAnsi="Arial" w:cs="Arial"/>
                <w:sz w:val="22"/>
                <w:szCs w:val="22"/>
              </w:rPr>
            </w:pPr>
            <w:r w:rsidRPr="009E0E9B">
              <w:rPr>
                <w:rFonts w:ascii="Arial" w:hAnsi="Arial" w:cs="Arial"/>
                <w:sz w:val="22"/>
                <w:szCs w:val="22"/>
              </w:rPr>
              <w:t>W/99/00472/REM</w:t>
            </w:r>
          </w:p>
        </w:tc>
        <w:tc>
          <w:tcPr>
            <w:tcW w:w="5954" w:type="dxa"/>
          </w:tcPr>
          <w:p w14:paraId="6CE60548" w14:textId="208F6000" w:rsidR="009E0E9B" w:rsidRPr="009E0E9B" w:rsidRDefault="009E0E9B" w:rsidP="005A66C3">
            <w:pPr>
              <w:spacing w:line="276" w:lineRule="auto"/>
              <w:rPr>
                <w:rFonts w:ascii="Arial" w:hAnsi="Arial" w:cs="Arial"/>
                <w:sz w:val="22"/>
                <w:szCs w:val="22"/>
              </w:rPr>
            </w:pPr>
            <w:r w:rsidRPr="009E0E9B">
              <w:rPr>
                <w:rFonts w:ascii="Arial" w:hAnsi="Arial" w:cs="Arial"/>
                <w:sz w:val="22"/>
                <w:szCs w:val="22"/>
              </w:rPr>
              <w:t>59 detached houses</w:t>
            </w:r>
          </w:p>
        </w:tc>
        <w:tc>
          <w:tcPr>
            <w:tcW w:w="2638" w:type="dxa"/>
          </w:tcPr>
          <w:p w14:paraId="4F6595D0" w14:textId="6664F8BA" w:rsidR="009E0E9B" w:rsidRDefault="009E0E9B" w:rsidP="005A66C3">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5A66C3" w:rsidRDefault="00C53B6A" w:rsidP="005A66C3">
      <w:pPr>
        <w:spacing w:line="276" w:lineRule="auto"/>
        <w:rPr>
          <w:rFonts w:ascii="Arial" w:hAnsi="Arial" w:cs="Arial"/>
          <w:sz w:val="22"/>
          <w:szCs w:val="22"/>
        </w:rPr>
      </w:pPr>
    </w:p>
    <w:p w14:paraId="10B576DA" w14:textId="1112F6FD" w:rsidR="00C53B6A" w:rsidRPr="003F3263" w:rsidRDefault="00C53B6A"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1</w:t>
      </w:r>
      <w:r w:rsidR="00601AAD" w:rsidRPr="003F3263">
        <w:rPr>
          <w:rFonts w:ascii="Arial" w:hAnsi="Arial" w:cs="Arial"/>
          <w:sz w:val="22"/>
          <w:szCs w:val="22"/>
        </w:rPr>
        <w:tab/>
      </w:r>
      <w:r w:rsidR="00601AAD" w:rsidRPr="003F3263">
        <w:rPr>
          <w:rFonts w:ascii="Arial" w:hAnsi="Arial" w:cs="Arial"/>
          <w:sz w:val="22"/>
          <w:szCs w:val="22"/>
        </w:rPr>
        <w:tab/>
      </w:r>
      <w:r w:rsidRPr="003F3263">
        <w:rPr>
          <w:rFonts w:ascii="Arial" w:hAnsi="Arial" w:cs="Arial"/>
          <w:sz w:val="22"/>
          <w:szCs w:val="22"/>
        </w:rPr>
        <w:t xml:space="preserve">Settlement </w:t>
      </w:r>
      <w:r w:rsidR="007A61A7" w:rsidRPr="003F3263">
        <w:rPr>
          <w:rFonts w:ascii="Arial" w:hAnsi="Arial" w:cs="Arial"/>
          <w:sz w:val="22"/>
          <w:szCs w:val="22"/>
        </w:rPr>
        <w:t>S</w:t>
      </w:r>
      <w:r w:rsidRPr="003F3263">
        <w:rPr>
          <w:rFonts w:ascii="Arial" w:hAnsi="Arial" w:cs="Arial"/>
          <w:sz w:val="22"/>
          <w:szCs w:val="22"/>
        </w:rPr>
        <w:t xml:space="preserve">trategy; </w:t>
      </w:r>
    </w:p>
    <w:p w14:paraId="476E7C45" w14:textId="745033F9" w:rsidR="00DC64E7" w:rsidRPr="003F3263" w:rsidRDefault="00C53B6A"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2</w:t>
      </w:r>
      <w:r w:rsidR="00601AAD" w:rsidRPr="003F3263">
        <w:rPr>
          <w:rFonts w:ascii="Arial" w:hAnsi="Arial" w:cs="Arial"/>
          <w:sz w:val="22"/>
          <w:szCs w:val="22"/>
        </w:rPr>
        <w:t xml:space="preserve"> </w:t>
      </w:r>
      <w:r w:rsidR="00601AAD" w:rsidRPr="003F3263">
        <w:rPr>
          <w:rFonts w:ascii="Arial" w:hAnsi="Arial" w:cs="Arial"/>
          <w:sz w:val="22"/>
          <w:szCs w:val="22"/>
        </w:rPr>
        <w:tab/>
      </w:r>
      <w:r w:rsidR="00601AAD" w:rsidRPr="003F3263">
        <w:rPr>
          <w:rFonts w:ascii="Arial" w:hAnsi="Arial" w:cs="Arial"/>
          <w:sz w:val="22"/>
          <w:szCs w:val="22"/>
        </w:rPr>
        <w:tab/>
      </w:r>
      <w:r w:rsidRPr="003F3263">
        <w:rPr>
          <w:rFonts w:ascii="Arial" w:hAnsi="Arial" w:cs="Arial"/>
          <w:sz w:val="22"/>
          <w:szCs w:val="22"/>
        </w:rPr>
        <w:t xml:space="preserve">Delivery </w:t>
      </w:r>
      <w:r w:rsidR="007A61A7" w:rsidRPr="003F3263">
        <w:rPr>
          <w:rFonts w:ascii="Arial" w:hAnsi="Arial" w:cs="Arial"/>
          <w:sz w:val="22"/>
          <w:szCs w:val="22"/>
        </w:rPr>
        <w:t>S</w:t>
      </w:r>
      <w:r w:rsidRPr="003F3263">
        <w:rPr>
          <w:rFonts w:ascii="Arial" w:hAnsi="Arial" w:cs="Arial"/>
          <w:sz w:val="22"/>
          <w:szCs w:val="22"/>
        </w:rPr>
        <w:t>trategy;</w:t>
      </w:r>
    </w:p>
    <w:p w14:paraId="7D8BECCC" w14:textId="2DE79C99" w:rsidR="0076074E" w:rsidRPr="003F3263" w:rsidRDefault="0076074E"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 xml:space="preserve">Core Policy </w:t>
      </w:r>
      <w:r w:rsidR="00594C14" w:rsidRPr="003F3263">
        <w:rPr>
          <w:rFonts w:ascii="Arial" w:hAnsi="Arial" w:cs="Arial"/>
          <w:sz w:val="22"/>
          <w:szCs w:val="22"/>
        </w:rPr>
        <w:t>29</w:t>
      </w:r>
      <w:r w:rsidRPr="003F3263">
        <w:rPr>
          <w:rFonts w:ascii="Arial" w:hAnsi="Arial" w:cs="Arial"/>
          <w:sz w:val="22"/>
          <w:szCs w:val="22"/>
        </w:rPr>
        <w:t xml:space="preserve"> </w:t>
      </w:r>
      <w:r w:rsidRPr="003F3263">
        <w:rPr>
          <w:rFonts w:ascii="Arial" w:hAnsi="Arial" w:cs="Arial"/>
          <w:sz w:val="22"/>
          <w:szCs w:val="22"/>
        </w:rPr>
        <w:tab/>
        <w:t>Spatial Strategy:</w:t>
      </w:r>
      <w:r w:rsidR="00594C14" w:rsidRPr="003F3263">
        <w:rPr>
          <w:rFonts w:ascii="Arial" w:hAnsi="Arial" w:cs="Arial"/>
          <w:sz w:val="22"/>
          <w:szCs w:val="22"/>
        </w:rPr>
        <w:t xml:space="preserve"> Trowbridge Community Area;</w:t>
      </w:r>
    </w:p>
    <w:p w14:paraId="72359717" w14:textId="5D2923D3" w:rsidR="007336B3" w:rsidRPr="003F3263" w:rsidRDefault="007336B3"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50</w:t>
      </w:r>
      <w:r w:rsidRPr="003F3263">
        <w:rPr>
          <w:rFonts w:ascii="Arial" w:hAnsi="Arial" w:cs="Arial"/>
          <w:sz w:val="22"/>
          <w:szCs w:val="22"/>
        </w:rPr>
        <w:tab/>
      </w:r>
      <w:r w:rsidRPr="003F3263">
        <w:rPr>
          <w:rFonts w:ascii="Arial" w:hAnsi="Arial" w:cs="Arial"/>
          <w:sz w:val="22"/>
          <w:szCs w:val="22"/>
        </w:rPr>
        <w:tab/>
        <w:t>Biodiversity and Geodiversity;</w:t>
      </w:r>
    </w:p>
    <w:p w14:paraId="2C9A8F56" w14:textId="6C82D516" w:rsidR="00C53B6A" w:rsidRPr="003F3263" w:rsidRDefault="00C53B6A"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51</w:t>
      </w:r>
      <w:r w:rsidR="00601AAD" w:rsidRPr="003F3263">
        <w:rPr>
          <w:rFonts w:ascii="Arial" w:hAnsi="Arial" w:cs="Arial"/>
          <w:sz w:val="22"/>
          <w:szCs w:val="22"/>
        </w:rPr>
        <w:t xml:space="preserve"> </w:t>
      </w:r>
      <w:r w:rsidR="00601AAD" w:rsidRPr="003F3263">
        <w:rPr>
          <w:rFonts w:ascii="Arial" w:hAnsi="Arial" w:cs="Arial"/>
          <w:sz w:val="22"/>
          <w:szCs w:val="22"/>
        </w:rPr>
        <w:tab/>
      </w:r>
      <w:r w:rsidRPr="003F3263">
        <w:rPr>
          <w:rFonts w:ascii="Arial" w:hAnsi="Arial" w:cs="Arial"/>
          <w:sz w:val="22"/>
          <w:szCs w:val="22"/>
        </w:rPr>
        <w:t xml:space="preserve">Landscape; </w:t>
      </w:r>
    </w:p>
    <w:p w14:paraId="40D32787" w14:textId="78D7E7D9" w:rsidR="00A938B9" w:rsidRPr="003F3263" w:rsidRDefault="00C53B6A"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57</w:t>
      </w:r>
      <w:r w:rsidR="00601AAD" w:rsidRPr="003F3263">
        <w:rPr>
          <w:rFonts w:ascii="Arial" w:hAnsi="Arial" w:cs="Arial"/>
          <w:sz w:val="22"/>
          <w:szCs w:val="22"/>
        </w:rPr>
        <w:t xml:space="preserve"> </w:t>
      </w:r>
      <w:r w:rsidR="00601AAD" w:rsidRPr="003F3263">
        <w:rPr>
          <w:rFonts w:ascii="Arial" w:hAnsi="Arial" w:cs="Arial"/>
          <w:sz w:val="22"/>
          <w:szCs w:val="22"/>
        </w:rPr>
        <w:tab/>
      </w:r>
      <w:r w:rsidRPr="003F3263">
        <w:rPr>
          <w:rFonts w:ascii="Arial" w:hAnsi="Arial" w:cs="Arial"/>
          <w:sz w:val="22"/>
          <w:szCs w:val="22"/>
        </w:rPr>
        <w:t xml:space="preserve">Ensuring </w:t>
      </w:r>
      <w:r w:rsidR="007A61A7" w:rsidRPr="003F3263">
        <w:rPr>
          <w:rFonts w:ascii="Arial" w:hAnsi="Arial" w:cs="Arial"/>
          <w:sz w:val="22"/>
          <w:szCs w:val="22"/>
        </w:rPr>
        <w:t>H</w:t>
      </w:r>
      <w:r w:rsidRPr="003F3263">
        <w:rPr>
          <w:rFonts w:ascii="Arial" w:hAnsi="Arial" w:cs="Arial"/>
          <w:sz w:val="22"/>
          <w:szCs w:val="22"/>
        </w:rPr>
        <w:t>igh-</w:t>
      </w:r>
      <w:r w:rsidR="007A61A7" w:rsidRPr="003F3263">
        <w:rPr>
          <w:rFonts w:ascii="Arial" w:hAnsi="Arial" w:cs="Arial"/>
          <w:sz w:val="22"/>
          <w:szCs w:val="22"/>
        </w:rPr>
        <w:t>Q</w:t>
      </w:r>
      <w:r w:rsidRPr="003F3263">
        <w:rPr>
          <w:rFonts w:ascii="Arial" w:hAnsi="Arial" w:cs="Arial"/>
          <w:sz w:val="22"/>
          <w:szCs w:val="22"/>
        </w:rPr>
        <w:t xml:space="preserve">uality </w:t>
      </w:r>
      <w:r w:rsidR="007A61A7" w:rsidRPr="003F3263">
        <w:rPr>
          <w:rFonts w:ascii="Arial" w:hAnsi="Arial" w:cs="Arial"/>
          <w:sz w:val="22"/>
          <w:szCs w:val="22"/>
        </w:rPr>
        <w:t>D</w:t>
      </w:r>
      <w:r w:rsidRPr="003F3263">
        <w:rPr>
          <w:rFonts w:ascii="Arial" w:hAnsi="Arial" w:cs="Arial"/>
          <w:sz w:val="22"/>
          <w:szCs w:val="22"/>
        </w:rPr>
        <w:t xml:space="preserve">esign and </w:t>
      </w:r>
      <w:r w:rsidR="007A61A7" w:rsidRPr="003F3263">
        <w:rPr>
          <w:rFonts w:ascii="Arial" w:hAnsi="Arial" w:cs="Arial"/>
          <w:sz w:val="22"/>
          <w:szCs w:val="22"/>
        </w:rPr>
        <w:t>P</w:t>
      </w:r>
      <w:r w:rsidRPr="003F3263">
        <w:rPr>
          <w:rFonts w:ascii="Arial" w:hAnsi="Arial" w:cs="Arial"/>
          <w:sz w:val="22"/>
          <w:szCs w:val="22"/>
        </w:rPr>
        <w:t xml:space="preserve">lace </w:t>
      </w:r>
      <w:r w:rsidR="007A61A7" w:rsidRPr="003F3263">
        <w:rPr>
          <w:rFonts w:ascii="Arial" w:hAnsi="Arial" w:cs="Arial"/>
          <w:sz w:val="22"/>
          <w:szCs w:val="22"/>
        </w:rPr>
        <w:t>S</w:t>
      </w:r>
      <w:r w:rsidRPr="003F3263">
        <w:rPr>
          <w:rFonts w:ascii="Arial" w:hAnsi="Arial" w:cs="Arial"/>
          <w:sz w:val="22"/>
          <w:szCs w:val="22"/>
        </w:rPr>
        <w:t xml:space="preserve">haping; </w:t>
      </w:r>
    </w:p>
    <w:p w14:paraId="11ED6A25" w14:textId="7AF5F23B" w:rsidR="00EB3DCC" w:rsidRPr="003F3263" w:rsidRDefault="00EB3DCC"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60</w:t>
      </w:r>
      <w:r w:rsidRPr="003F3263">
        <w:rPr>
          <w:rFonts w:ascii="Arial" w:hAnsi="Arial" w:cs="Arial"/>
          <w:sz w:val="22"/>
          <w:szCs w:val="22"/>
        </w:rPr>
        <w:tab/>
      </w:r>
      <w:r w:rsidRPr="003F3263">
        <w:rPr>
          <w:rFonts w:ascii="Arial" w:hAnsi="Arial" w:cs="Arial"/>
          <w:sz w:val="22"/>
          <w:szCs w:val="22"/>
        </w:rPr>
        <w:tab/>
        <w:t>Sustainable Transport;</w:t>
      </w:r>
    </w:p>
    <w:p w14:paraId="77A925A7" w14:textId="333FBA5F" w:rsidR="00C53B6A" w:rsidRPr="003F3263" w:rsidRDefault="00C53B6A"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61</w:t>
      </w:r>
      <w:r w:rsidR="00601AAD" w:rsidRPr="003F3263">
        <w:rPr>
          <w:rFonts w:ascii="Arial" w:hAnsi="Arial" w:cs="Arial"/>
          <w:sz w:val="22"/>
          <w:szCs w:val="22"/>
        </w:rPr>
        <w:t xml:space="preserve"> </w:t>
      </w:r>
      <w:r w:rsidR="00601AAD" w:rsidRPr="003F3263">
        <w:rPr>
          <w:rFonts w:ascii="Arial" w:hAnsi="Arial" w:cs="Arial"/>
          <w:sz w:val="22"/>
          <w:szCs w:val="22"/>
        </w:rPr>
        <w:tab/>
      </w:r>
      <w:r w:rsidRPr="003F3263">
        <w:rPr>
          <w:rFonts w:ascii="Arial" w:hAnsi="Arial" w:cs="Arial"/>
          <w:sz w:val="22"/>
          <w:szCs w:val="22"/>
        </w:rPr>
        <w:t xml:space="preserve">Transport and Development; </w:t>
      </w:r>
    </w:p>
    <w:p w14:paraId="2F1672C7" w14:textId="2EDD9E9D" w:rsidR="00C53B6A" w:rsidRPr="003F3263" w:rsidRDefault="00C53B6A"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64</w:t>
      </w:r>
      <w:r w:rsidR="00601AAD" w:rsidRPr="003F3263">
        <w:rPr>
          <w:rFonts w:ascii="Arial" w:hAnsi="Arial" w:cs="Arial"/>
          <w:sz w:val="22"/>
          <w:szCs w:val="22"/>
        </w:rPr>
        <w:t xml:space="preserve"> </w:t>
      </w:r>
      <w:r w:rsidR="00601AAD" w:rsidRPr="003F3263">
        <w:rPr>
          <w:rFonts w:ascii="Arial" w:hAnsi="Arial" w:cs="Arial"/>
          <w:sz w:val="22"/>
          <w:szCs w:val="22"/>
        </w:rPr>
        <w:tab/>
      </w:r>
      <w:r w:rsidRPr="003F3263">
        <w:rPr>
          <w:rFonts w:ascii="Arial" w:hAnsi="Arial" w:cs="Arial"/>
          <w:sz w:val="22"/>
          <w:szCs w:val="22"/>
        </w:rPr>
        <w:t xml:space="preserve">Demand Management; </w:t>
      </w:r>
    </w:p>
    <w:p w14:paraId="2911E291" w14:textId="49AA6B9B" w:rsidR="0023524B" w:rsidRPr="003F3263" w:rsidRDefault="0023524B" w:rsidP="005A66C3">
      <w:pPr>
        <w:autoSpaceDE w:val="0"/>
        <w:autoSpaceDN w:val="0"/>
        <w:adjustRightInd w:val="0"/>
        <w:spacing w:line="276" w:lineRule="auto"/>
        <w:rPr>
          <w:rFonts w:ascii="Arial" w:hAnsi="Arial" w:cs="Arial"/>
          <w:sz w:val="22"/>
          <w:szCs w:val="22"/>
        </w:rPr>
      </w:pPr>
      <w:r w:rsidRPr="003F3263">
        <w:rPr>
          <w:rFonts w:ascii="Arial" w:hAnsi="Arial" w:cs="Arial"/>
          <w:sz w:val="22"/>
          <w:szCs w:val="22"/>
        </w:rPr>
        <w:t>Core Policy 67</w:t>
      </w:r>
      <w:r w:rsidRPr="003F3263">
        <w:rPr>
          <w:rFonts w:ascii="Arial" w:hAnsi="Arial" w:cs="Arial"/>
          <w:sz w:val="22"/>
          <w:szCs w:val="22"/>
        </w:rPr>
        <w:tab/>
      </w:r>
      <w:r w:rsidRPr="003F3263">
        <w:rPr>
          <w:rFonts w:ascii="Arial" w:hAnsi="Arial" w:cs="Arial"/>
          <w:sz w:val="22"/>
          <w:szCs w:val="22"/>
        </w:rPr>
        <w:tab/>
        <w:t>Flood Risk;</w:t>
      </w:r>
    </w:p>
    <w:p w14:paraId="2644B18E" w14:textId="77777777" w:rsidR="00C53B6A" w:rsidRPr="003F3263" w:rsidRDefault="00C53B6A" w:rsidP="005A66C3">
      <w:pPr>
        <w:spacing w:line="276" w:lineRule="auto"/>
        <w:rPr>
          <w:rFonts w:ascii="Arial" w:hAnsi="Arial" w:cs="Arial"/>
          <w:sz w:val="22"/>
          <w:szCs w:val="22"/>
        </w:rPr>
      </w:pPr>
    </w:p>
    <w:p w14:paraId="64F53B99" w14:textId="1F025449" w:rsidR="00DC4F3E" w:rsidRPr="003F3263" w:rsidRDefault="00121700" w:rsidP="005A66C3">
      <w:pPr>
        <w:spacing w:line="276" w:lineRule="auto"/>
        <w:rPr>
          <w:rFonts w:ascii="Arial" w:hAnsi="Arial" w:cs="Arial"/>
          <w:sz w:val="22"/>
          <w:szCs w:val="22"/>
          <w:u w:val="single"/>
        </w:rPr>
      </w:pPr>
      <w:r w:rsidRPr="003F3263">
        <w:rPr>
          <w:rFonts w:ascii="Arial" w:hAnsi="Arial" w:cs="Arial"/>
          <w:sz w:val="22"/>
          <w:szCs w:val="22"/>
          <w:u w:val="single"/>
        </w:rPr>
        <w:t>Hilperton Neighbourhood Development Plan 2017-2026</w:t>
      </w:r>
    </w:p>
    <w:p w14:paraId="58E2C66B" w14:textId="77777777" w:rsidR="00121700" w:rsidRPr="003F3263" w:rsidRDefault="00121700" w:rsidP="005A66C3">
      <w:pPr>
        <w:spacing w:line="276" w:lineRule="auto"/>
        <w:rPr>
          <w:rFonts w:ascii="Arial" w:hAnsi="Arial" w:cs="Arial"/>
          <w:sz w:val="22"/>
          <w:szCs w:val="22"/>
          <w:u w:val="single"/>
        </w:rPr>
      </w:pPr>
    </w:p>
    <w:p w14:paraId="1C924897" w14:textId="22AAFF9B" w:rsidR="00DC4F3E" w:rsidRPr="003F3263" w:rsidRDefault="00DC4F3E" w:rsidP="005A66C3">
      <w:pPr>
        <w:spacing w:line="276" w:lineRule="auto"/>
        <w:rPr>
          <w:rFonts w:ascii="Arial" w:hAnsi="Arial" w:cs="Arial"/>
          <w:sz w:val="22"/>
          <w:szCs w:val="22"/>
          <w:u w:val="single"/>
        </w:rPr>
      </w:pPr>
      <w:bookmarkStart w:id="0" w:name="_Hlk212452795"/>
      <w:bookmarkStart w:id="1" w:name="_Hlk212461860"/>
      <w:r w:rsidRPr="003F3263">
        <w:rPr>
          <w:rFonts w:ascii="Arial" w:hAnsi="Arial" w:cs="Arial"/>
          <w:sz w:val="22"/>
          <w:szCs w:val="22"/>
          <w:u w:val="single"/>
        </w:rPr>
        <w:t>The National Planning Policy Framework (NPPF)</w:t>
      </w:r>
      <w:r w:rsidR="00735DE1" w:rsidRPr="003F3263">
        <w:rPr>
          <w:rFonts w:ascii="Arial" w:hAnsi="Arial" w:cs="Arial"/>
          <w:sz w:val="22"/>
          <w:szCs w:val="22"/>
        </w:rPr>
        <w:t xml:space="preserve"> and </w:t>
      </w:r>
      <w:r w:rsidRPr="003F3263">
        <w:rPr>
          <w:rFonts w:ascii="Arial" w:hAnsi="Arial" w:cs="Arial"/>
          <w:sz w:val="22"/>
          <w:szCs w:val="22"/>
          <w:u w:val="single"/>
        </w:rPr>
        <w:t>The Planning Practice Guidance (PPG)</w:t>
      </w:r>
    </w:p>
    <w:p w14:paraId="4930FB06" w14:textId="77777777" w:rsidR="008D6C52" w:rsidRPr="003F3263" w:rsidRDefault="008D6C52" w:rsidP="005A66C3">
      <w:pPr>
        <w:spacing w:line="276" w:lineRule="auto"/>
        <w:rPr>
          <w:rFonts w:ascii="Arial" w:hAnsi="Arial" w:cs="Arial"/>
          <w:sz w:val="22"/>
          <w:szCs w:val="22"/>
          <w:u w:val="single"/>
        </w:rPr>
      </w:pPr>
    </w:p>
    <w:p w14:paraId="08D91513" w14:textId="2BED8373" w:rsidR="00561AE7" w:rsidRPr="003F3263" w:rsidRDefault="008D6C52" w:rsidP="005A66C3">
      <w:pPr>
        <w:spacing w:line="276" w:lineRule="auto"/>
        <w:rPr>
          <w:rFonts w:ascii="Arial" w:hAnsi="Arial" w:cs="Arial"/>
          <w:sz w:val="22"/>
          <w:szCs w:val="22"/>
          <w:u w:val="single"/>
        </w:rPr>
      </w:pPr>
      <w:r w:rsidRPr="003F3263">
        <w:rPr>
          <w:rFonts w:ascii="Arial" w:hAnsi="Arial" w:cs="Arial"/>
          <w:sz w:val="22"/>
          <w:szCs w:val="22"/>
          <w:u w:val="single"/>
        </w:rPr>
        <w:t xml:space="preserve">Wiltshire Design Guide </w:t>
      </w:r>
      <w:r w:rsidR="00DC4F3E" w:rsidRPr="003F3263">
        <w:rPr>
          <w:rFonts w:ascii="Arial" w:hAnsi="Arial" w:cs="Arial"/>
          <w:sz w:val="22"/>
          <w:szCs w:val="22"/>
          <w:u w:val="single"/>
        </w:rPr>
        <w:t>- Appendix D – Design Guidance for Householder extensions</w:t>
      </w:r>
    </w:p>
    <w:bookmarkEnd w:id="0"/>
    <w:p w14:paraId="19CD89F3" w14:textId="77777777" w:rsidR="00DC4F3E" w:rsidRPr="003F3263" w:rsidRDefault="00DC4F3E" w:rsidP="005A66C3">
      <w:pPr>
        <w:spacing w:line="276" w:lineRule="auto"/>
        <w:rPr>
          <w:rFonts w:ascii="Arial" w:hAnsi="Arial" w:cs="Arial"/>
          <w:sz w:val="22"/>
          <w:szCs w:val="22"/>
          <w:u w:val="single"/>
        </w:rPr>
      </w:pPr>
    </w:p>
    <w:p w14:paraId="791E8FB4" w14:textId="79324D54" w:rsidR="00561AE7" w:rsidRPr="003F3263" w:rsidRDefault="008D6C52" w:rsidP="005A66C3">
      <w:pPr>
        <w:spacing w:line="276" w:lineRule="auto"/>
        <w:rPr>
          <w:rFonts w:ascii="Arial" w:hAnsi="Arial" w:cs="Arial"/>
          <w:sz w:val="22"/>
          <w:szCs w:val="22"/>
          <w:u w:val="single"/>
        </w:rPr>
      </w:pPr>
      <w:r w:rsidRPr="003F3263">
        <w:rPr>
          <w:rFonts w:ascii="Arial" w:hAnsi="Arial" w:cs="Arial"/>
          <w:sz w:val="22"/>
          <w:szCs w:val="22"/>
          <w:u w:val="single"/>
        </w:rPr>
        <w:t>The Wiltshire Local Transport Plan 201</w:t>
      </w:r>
      <w:r w:rsidR="008D5791" w:rsidRPr="003F3263">
        <w:rPr>
          <w:rFonts w:ascii="Arial" w:hAnsi="Arial" w:cs="Arial"/>
          <w:sz w:val="22"/>
          <w:szCs w:val="22"/>
          <w:u w:val="single"/>
        </w:rPr>
        <w:t>1</w:t>
      </w:r>
      <w:r w:rsidRPr="003F3263">
        <w:rPr>
          <w:rFonts w:ascii="Arial" w:hAnsi="Arial" w:cs="Arial"/>
          <w:sz w:val="22"/>
          <w:szCs w:val="22"/>
          <w:u w:val="single"/>
        </w:rPr>
        <w:t xml:space="preserve"> – 2026: Car Parking Strategy (March 2015).</w:t>
      </w:r>
    </w:p>
    <w:p w14:paraId="68198CF8" w14:textId="77777777" w:rsidR="00DC4F3E" w:rsidRPr="003F3263" w:rsidRDefault="00DC4F3E" w:rsidP="005A66C3">
      <w:pPr>
        <w:spacing w:line="276" w:lineRule="auto"/>
        <w:rPr>
          <w:rFonts w:ascii="Arial" w:hAnsi="Arial" w:cs="Arial"/>
          <w:sz w:val="22"/>
          <w:szCs w:val="22"/>
        </w:rPr>
      </w:pPr>
    </w:p>
    <w:p w14:paraId="7E5B5138" w14:textId="30DA2106" w:rsidR="00CD6B35" w:rsidRPr="003F3263" w:rsidRDefault="00CD6B35" w:rsidP="005A66C3">
      <w:pPr>
        <w:spacing w:line="276" w:lineRule="auto"/>
        <w:rPr>
          <w:rFonts w:ascii="Arial" w:hAnsi="Arial" w:cs="Arial"/>
          <w:sz w:val="22"/>
          <w:szCs w:val="22"/>
          <w:u w:val="single"/>
        </w:rPr>
      </w:pPr>
      <w:r w:rsidRPr="003F3263">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4E88C248" w14:textId="6E877BCF" w:rsidR="00CC6665" w:rsidRPr="005A66C3" w:rsidRDefault="00F25EA7" w:rsidP="005A66C3">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7ED1B50D" w14:textId="3838BF53" w:rsidR="0060536A" w:rsidRPr="00440325" w:rsidRDefault="00440325" w:rsidP="00440325">
      <w:pPr>
        <w:spacing w:line="276" w:lineRule="auto"/>
        <w:rPr>
          <w:rFonts w:ascii="Arial" w:hAnsi="Arial" w:cs="Arial"/>
          <w:bCs/>
          <w:sz w:val="22"/>
          <w:szCs w:val="22"/>
          <w:u w:val="single"/>
        </w:rPr>
      </w:pPr>
      <w:r w:rsidRPr="00440325">
        <w:rPr>
          <w:rFonts w:ascii="Arial" w:hAnsi="Arial" w:cs="Arial"/>
          <w:bCs/>
          <w:sz w:val="22"/>
          <w:szCs w:val="22"/>
          <w:u w:val="single"/>
        </w:rPr>
        <w:t xml:space="preserve">Hilperton </w:t>
      </w:r>
      <w:r w:rsidR="00DC4F3E" w:rsidRPr="00440325">
        <w:rPr>
          <w:rFonts w:ascii="Arial" w:hAnsi="Arial" w:cs="Arial"/>
          <w:bCs/>
          <w:sz w:val="22"/>
          <w:szCs w:val="22"/>
          <w:u w:val="single"/>
        </w:rPr>
        <w:t>Parish</w:t>
      </w:r>
      <w:r w:rsidR="005D2581" w:rsidRPr="00440325">
        <w:rPr>
          <w:rFonts w:ascii="Arial" w:hAnsi="Arial" w:cs="Arial"/>
          <w:bCs/>
          <w:sz w:val="22"/>
          <w:szCs w:val="22"/>
          <w:u w:val="single"/>
        </w:rPr>
        <w:t xml:space="preserve"> Council</w:t>
      </w:r>
      <w:r w:rsidR="0060536A" w:rsidRPr="00440325">
        <w:rPr>
          <w:rFonts w:ascii="Arial" w:hAnsi="Arial" w:cs="Arial"/>
          <w:bCs/>
          <w:sz w:val="22"/>
          <w:szCs w:val="22"/>
          <w:u w:val="single"/>
        </w:rPr>
        <w:t xml:space="preserve"> – </w:t>
      </w:r>
      <w:r w:rsidRPr="00440325">
        <w:rPr>
          <w:rFonts w:ascii="Arial" w:hAnsi="Arial" w:cs="Arial"/>
          <w:bCs/>
          <w:sz w:val="22"/>
          <w:szCs w:val="22"/>
          <w:u w:val="single"/>
        </w:rPr>
        <w:t>No Objection</w:t>
      </w: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lastRenderedPageBreak/>
        <w:t>REPRESENTATIONS</w:t>
      </w:r>
    </w:p>
    <w:p w14:paraId="062733D9" w14:textId="77777777" w:rsidR="005D2581" w:rsidRPr="005A66C3" w:rsidRDefault="005D2581" w:rsidP="005A66C3">
      <w:pPr>
        <w:spacing w:line="276" w:lineRule="auto"/>
        <w:rPr>
          <w:rFonts w:ascii="Arial" w:hAnsi="Arial" w:cs="Arial"/>
          <w:bCs/>
          <w:sz w:val="22"/>
          <w:szCs w:val="22"/>
        </w:rPr>
      </w:pPr>
    </w:p>
    <w:p w14:paraId="1C30F395" w14:textId="76247FD6" w:rsidR="00B15AD7" w:rsidRPr="00440325" w:rsidRDefault="003A1308" w:rsidP="005A66C3">
      <w:pPr>
        <w:spacing w:line="276" w:lineRule="auto"/>
        <w:rPr>
          <w:rFonts w:ascii="Arial" w:hAnsi="Arial" w:cs="Arial"/>
          <w:bCs/>
          <w:sz w:val="22"/>
          <w:szCs w:val="22"/>
        </w:rPr>
      </w:pPr>
      <w:r w:rsidRPr="00440325">
        <w:rPr>
          <w:rFonts w:ascii="Arial" w:hAnsi="Arial" w:cs="Arial"/>
          <w:bCs/>
          <w:sz w:val="22"/>
          <w:szCs w:val="22"/>
        </w:rPr>
        <w:t>No</w:t>
      </w:r>
      <w:r w:rsidR="003E43F6" w:rsidRPr="00440325">
        <w:rPr>
          <w:rFonts w:ascii="Arial" w:hAnsi="Arial" w:cs="Arial"/>
          <w:bCs/>
          <w:sz w:val="22"/>
          <w:szCs w:val="22"/>
        </w:rPr>
        <w:t xml:space="preserve"> comments received.</w:t>
      </w:r>
    </w:p>
    <w:p w14:paraId="1CA26ADF" w14:textId="77777777" w:rsidR="00606E13" w:rsidRPr="005A66C3" w:rsidRDefault="00606E13"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074F4E2F" w14:textId="77777777" w:rsidR="001F0DE6" w:rsidRPr="001F0DE6" w:rsidRDefault="001F0DE6" w:rsidP="001F0DE6">
      <w:pPr>
        <w:spacing w:line="276" w:lineRule="auto"/>
        <w:jc w:val="both"/>
        <w:rPr>
          <w:rFonts w:ascii="Arial" w:hAnsi="Arial" w:cs="Arial"/>
          <w:sz w:val="22"/>
          <w:szCs w:val="22"/>
        </w:rPr>
      </w:pPr>
      <w:r w:rsidRPr="001F0DE6">
        <w:rPr>
          <w:rFonts w:ascii="Arial" w:hAnsi="Arial" w:cs="Arial"/>
          <w:sz w:val="22"/>
          <w:szCs w:val="22"/>
        </w:rPr>
        <w:t>The application proposes a modest householder extension to an existing dwelling located within the Trowbridge Settlement Boundary, where the principle of residential development is established and accepted. The proposed works represent a domestic alteration ancillary to the continued residential use of the property and, having regard to their limited scale and location within the residential curtilage, are considered acceptable in principle.</w:t>
      </w:r>
    </w:p>
    <w:p w14:paraId="16051FF9" w14:textId="77777777" w:rsidR="00323D7D" w:rsidRPr="005A66C3" w:rsidRDefault="00323D7D" w:rsidP="005A66C3">
      <w:pPr>
        <w:spacing w:line="276" w:lineRule="auto"/>
        <w:rPr>
          <w:rFonts w:ascii="Arial" w:hAnsi="Arial" w:cs="Arial"/>
          <w:sz w:val="22"/>
          <w:szCs w:val="22"/>
        </w:rPr>
      </w:pPr>
    </w:p>
    <w:p w14:paraId="013B8DA6" w14:textId="6FADE17E"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1158EA1B" w14:textId="656A5FB8" w:rsidR="002D5728" w:rsidRDefault="002D5728" w:rsidP="0054166A">
      <w:pPr>
        <w:spacing w:line="276" w:lineRule="auto"/>
        <w:jc w:val="both"/>
        <w:rPr>
          <w:rFonts w:ascii="Arial" w:hAnsi="Arial" w:cs="Arial"/>
          <w:color w:val="000000" w:themeColor="text1"/>
          <w:sz w:val="22"/>
          <w:szCs w:val="22"/>
        </w:rPr>
      </w:pPr>
      <w:r w:rsidRPr="002D5728">
        <w:rPr>
          <w:rFonts w:ascii="Arial" w:hAnsi="Arial" w:cs="Arial"/>
          <w:color w:val="000000" w:themeColor="text1"/>
          <w:sz w:val="22"/>
          <w:szCs w:val="22"/>
        </w:rPr>
        <w:t>The proposed extension is modest in scale, projecting approximately 2 metres from the existing rear elevation and measuring 3.9 metres in width. It is designed as a simple mono-pitched form with the roof connecting into the existing dwelling at a maximum height of approximately 3.5 metres and reducing to 2.4 metres at the eaves. The extension occupies the footprint of an existing rear projection and therefore does not materially increase the overall rearward extent of built development beyond that already established. The proposed materials are considered appropriate to the host dwelling and surrounding area, with the use of interlocking concrete roof tiles reflecting the existing roofscape. Whilst timber cladding is proposed to sections of the external elevations, this material would be confined to the rear garden environment where it would not be visible from the public realm and would sit comfortably within a setting already characterised by timber fencing and domestic garden features. Overall, the extension is considered appropriately designed, proportionate to the host dwelling, subservient in appearance, and would preserve the character and appearance of both the property and the wider street scene.</w:t>
      </w:r>
    </w:p>
    <w:p w14:paraId="46245EAD" w14:textId="77777777" w:rsidR="002D5728" w:rsidRPr="005A66C3" w:rsidRDefault="002D5728" w:rsidP="0054166A">
      <w:pPr>
        <w:spacing w:line="276" w:lineRule="auto"/>
        <w:jc w:val="both"/>
        <w:rPr>
          <w:rFonts w:ascii="Arial" w:hAnsi="Arial" w:cs="Arial"/>
          <w:color w:val="000000" w:themeColor="text1"/>
          <w:sz w:val="22"/>
          <w:szCs w:val="22"/>
        </w:rPr>
      </w:pPr>
    </w:p>
    <w:p w14:paraId="66BC3641" w14:textId="714E187E"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6F4CCB44" w14:textId="11A76537" w:rsidR="00846F0F" w:rsidRDefault="00846F0F" w:rsidP="005A66C3">
      <w:pPr>
        <w:spacing w:line="276" w:lineRule="auto"/>
        <w:rPr>
          <w:rFonts w:ascii="Arial" w:hAnsi="Arial" w:cs="Arial"/>
          <w:sz w:val="22"/>
          <w:szCs w:val="22"/>
        </w:rPr>
      </w:pPr>
      <w:r w:rsidRPr="00846F0F">
        <w:rPr>
          <w:rFonts w:ascii="Arial" w:hAnsi="Arial" w:cs="Arial"/>
          <w:noProof/>
          <w:sz w:val="22"/>
          <w:szCs w:val="22"/>
        </w:rPr>
        <w:drawing>
          <wp:inline distT="0" distB="0" distL="0" distR="0" wp14:anchorId="5DE29890" wp14:editId="0345D324">
            <wp:extent cx="6629400" cy="2667000"/>
            <wp:effectExtent l="0" t="0" r="0" b="0"/>
            <wp:docPr id="482825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25613" name=""/>
                    <pic:cNvPicPr/>
                  </pic:nvPicPr>
                  <pic:blipFill>
                    <a:blip r:embed="rId6"/>
                    <a:stretch>
                      <a:fillRect/>
                    </a:stretch>
                  </pic:blipFill>
                  <pic:spPr>
                    <a:xfrm>
                      <a:off x="0" y="0"/>
                      <a:ext cx="6629400" cy="2667000"/>
                    </a:xfrm>
                    <a:prstGeom prst="rect">
                      <a:avLst/>
                    </a:prstGeom>
                  </pic:spPr>
                </pic:pic>
              </a:graphicData>
            </a:graphic>
          </wp:inline>
        </w:drawing>
      </w:r>
    </w:p>
    <w:p w14:paraId="2929BB6E" w14:textId="54251352" w:rsidR="00846F0F" w:rsidRDefault="00846F0F" w:rsidP="00846F0F">
      <w:pPr>
        <w:spacing w:line="276" w:lineRule="auto"/>
        <w:jc w:val="center"/>
        <w:rPr>
          <w:rFonts w:ascii="Arial" w:hAnsi="Arial" w:cs="Arial"/>
          <w:i/>
          <w:iCs/>
          <w:sz w:val="22"/>
          <w:szCs w:val="22"/>
        </w:rPr>
      </w:pPr>
      <w:r w:rsidRPr="00846F0F">
        <w:rPr>
          <w:rFonts w:ascii="Arial" w:hAnsi="Arial" w:cs="Arial"/>
          <w:i/>
          <w:iCs/>
          <w:sz w:val="22"/>
          <w:szCs w:val="22"/>
        </w:rPr>
        <w:t>Proposed Elevations</w:t>
      </w:r>
    </w:p>
    <w:p w14:paraId="0104F8E1" w14:textId="77777777" w:rsidR="00055EE1" w:rsidRPr="00055EE1" w:rsidRDefault="00055EE1" w:rsidP="00055EE1">
      <w:pPr>
        <w:spacing w:line="276" w:lineRule="auto"/>
        <w:rPr>
          <w:rFonts w:ascii="Arial" w:hAnsi="Arial" w:cs="Arial"/>
          <w:sz w:val="22"/>
          <w:szCs w:val="22"/>
        </w:rPr>
      </w:pPr>
    </w:p>
    <w:p w14:paraId="4CB8275B" w14:textId="33D4EF8B" w:rsidR="00846F0F" w:rsidRDefault="00055EE1" w:rsidP="005A66C3">
      <w:pPr>
        <w:spacing w:line="276" w:lineRule="auto"/>
        <w:rPr>
          <w:rFonts w:ascii="Arial" w:hAnsi="Arial" w:cs="Arial"/>
          <w:sz w:val="22"/>
          <w:szCs w:val="22"/>
        </w:rPr>
      </w:pPr>
      <w:r w:rsidRPr="00055EE1">
        <w:rPr>
          <w:rFonts w:ascii="Arial" w:hAnsi="Arial" w:cs="Arial"/>
          <w:noProof/>
          <w:sz w:val="22"/>
          <w:szCs w:val="22"/>
        </w:rPr>
        <w:drawing>
          <wp:inline distT="0" distB="0" distL="0" distR="0" wp14:anchorId="0AF68130" wp14:editId="383453CF">
            <wp:extent cx="6629400" cy="4909820"/>
            <wp:effectExtent l="0" t="0" r="0" b="5080"/>
            <wp:docPr id="1712991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91741" name=""/>
                    <pic:cNvPicPr/>
                  </pic:nvPicPr>
                  <pic:blipFill>
                    <a:blip r:embed="rId7"/>
                    <a:stretch>
                      <a:fillRect/>
                    </a:stretch>
                  </pic:blipFill>
                  <pic:spPr>
                    <a:xfrm>
                      <a:off x="0" y="0"/>
                      <a:ext cx="6629400" cy="4909820"/>
                    </a:xfrm>
                    <a:prstGeom prst="rect">
                      <a:avLst/>
                    </a:prstGeom>
                  </pic:spPr>
                </pic:pic>
              </a:graphicData>
            </a:graphic>
          </wp:inline>
        </w:drawing>
      </w:r>
    </w:p>
    <w:p w14:paraId="2CF2F99E" w14:textId="1C4CCAE1" w:rsidR="00055EE1" w:rsidRPr="00055EE1" w:rsidRDefault="00055EE1" w:rsidP="00055EE1">
      <w:pPr>
        <w:spacing w:line="276" w:lineRule="auto"/>
        <w:jc w:val="center"/>
        <w:rPr>
          <w:rFonts w:ascii="Arial" w:hAnsi="Arial" w:cs="Arial"/>
          <w:i/>
          <w:iCs/>
          <w:sz w:val="22"/>
          <w:szCs w:val="22"/>
        </w:rPr>
      </w:pPr>
      <w:r w:rsidRPr="00055EE1">
        <w:rPr>
          <w:rFonts w:ascii="Arial" w:hAnsi="Arial" w:cs="Arial"/>
          <w:i/>
          <w:iCs/>
          <w:sz w:val="22"/>
          <w:szCs w:val="22"/>
        </w:rPr>
        <w:t>Site Visit Image</w:t>
      </w:r>
    </w:p>
    <w:p w14:paraId="7E96C4C5" w14:textId="77777777" w:rsidR="00055EE1" w:rsidRDefault="00055EE1" w:rsidP="005A66C3">
      <w:pPr>
        <w:spacing w:line="276" w:lineRule="auto"/>
        <w:rPr>
          <w:rFonts w:ascii="Arial" w:hAnsi="Arial" w:cs="Arial"/>
          <w:sz w:val="22"/>
          <w:szCs w:val="22"/>
        </w:rPr>
      </w:pPr>
    </w:p>
    <w:p w14:paraId="46195950" w14:textId="77777777" w:rsidR="00D024E5" w:rsidRPr="005A66C3" w:rsidRDefault="00D024E5"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29F05B7E" w14:textId="479E8A9A" w:rsidR="00BA0474" w:rsidRPr="005A66C3" w:rsidRDefault="001378DA" w:rsidP="005A66C3">
      <w:pPr>
        <w:spacing w:line="276" w:lineRule="auto"/>
        <w:jc w:val="both"/>
        <w:rPr>
          <w:rFonts w:ascii="Arial" w:hAnsi="Arial" w:cs="Arial"/>
          <w:color w:val="000000" w:themeColor="text1"/>
          <w:sz w:val="22"/>
          <w:szCs w:val="22"/>
        </w:rPr>
      </w:pPr>
      <w:r w:rsidRPr="001378DA">
        <w:rPr>
          <w:rFonts w:ascii="Arial" w:hAnsi="Arial" w:cs="Arial"/>
          <w:color w:val="000000" w:themeColor="text1"/>
          <w:sz w:val="22"/>
          <w:szCs w:val="22"/>
        </w:rPr>
        <w:t>By virtue of its single-storey form, modest dimensions and position to the rear of the dwelling, the proposal would not give rise to any unacceptable impacts upon the amenities of neighbouring occupiers. The development would not result in significant overlooking, loss of privacy, overshadowing or an overbearing impact. Given the limited scale and massing proposed, the extension is considered to integrate comfortably within the site without detriment to the living conditions currently enjoyed by surrounding residents.</w:t>
      </w:r>
      <w:r>
        <w:rPr>
          <w:rFonts w:ascii="Arial" w:hAnsi="Arial" w:cs="Arial"/>
          <w:color w:val="000000" w:themeColor="text1"/>
          <w:sz w:val="22"/>
          <w:szCs w:val="22"/>
        </w:rPr>
        <w:t xml:space="preserve"> </w:t>
      </w:r>
      <w:r w:rsidR="00BA0474"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B274A44" w14:textId="77777777" w:rsidR="006C3E6E" w:rsidRPr="005A66C3" w:rsidRDefault="006C3E6E" w:rsidP="005A66C3">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3A002EF8" w14:textId="77777777" w:rsidR="005B18A5" w:rsidRPr="005B18A5" w:rsidRDefault="005B18A5" w:rsidP="005B18A5">
      <w:pPr>
        <w:spacing w:line="276" w:lineRule="auto"/>
        <w:jc w:val="both"/>
        <w:rPr>
          <w:rFonts w:ascii="Arial" w:hAnsi="Arial" w:cs="Arial"/>
          <w:sz w:val="22"/>
          <w:szCs w:val="22"/>
        </w:rPr>
      </w:pPr>
      <w:r w:rsidRPr="005B18A5">
        <w:rPr>
          <w:rFonts w:ascii="Arial" w:hAnsi="Arial" w:cs="Arial"/>
          <w:sz w:val="22"/>
          <w:szCs w:val="22"/>
        </w:rPr>
        <w:t>The proposal comprises an extension to existing internal living accommodation and does not create any additional bedrooms or separate residential units. As such, the development would not be expected to generate additional vehicle movements or increase parking demand beyond existing levels. The proposal therefore raises no highway safety concerns and would not adversely affect the adequacy of parking provision associated with the dwelling.</w:t>
      </w:r>
    </w:p>
    <w:p w14:paraId="1D84EB61" w14:textId="77777777" w:rsidR="002A73D1" w:rsidRPr="005A66C3" w:rsidRDefault="002A73D1"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19FD70BD" w14:textId="1DEB46A6" w:rsidR="0050269B" w:rsidRPr="005B18A5" w:rsidRDefault="0054447E" w:rsidP="005B18A5">
      <w:pPr>
        <w:spacing w:line="276" w:lineRule="auto"/>
        <w:jc w:val="both"/>
        <w:rPr>
          <w:rFonts w:ascii="Arial" w:hAnsi="Arial" w:cs="Arial"/>
          <w:sz w:val="22"/>
          <w:szCs w:val="22"/>
        </w:rPr>
      </w:pPr>
      <w:r w:rsidRPr="005B18A5">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sidRPr="005B18A5">
        <w:rPr>
          <w:rFonts w:ascii="Arial" w:hAnsi="Arial" w:cs="Arial"/>
          <w:sz w:val="22"/>
          <w:szCs w:val="22"/>
        </w:rPr>
        <w:t xml:space="preserve"> </w:t>
      </w:r>
      <w:r w:rsidR="00640499" w:rsidRPr="005B18A5">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r w:rsidR="005B18A5">
        <w:rPr>
          <w:rFonts w:ascii="Arial" w:hAnsi="Arial" w:cs="Arial"/>
          <w:sz w:val="22"/>
          <w:szCs w:val="22"/>
        </w:rPr>
        <w:t xml:space="preserve"> </w:t>
      </w:r>
      <w:r w:rsidR="0071327B" w:rsidRPr="005B18A5">
        <w:rPr>
          <w:rFonts w:ascii="Arial" w:hAnsi="Arial" w:cs="Arial"/>
          <w:sz w:val="22"/>
          <w:szCs w:val="22"/>
        </w:rPr>
        <w:t xml:space="preserve">Householder development is exempt from the statutory Biodiversity Net Gain requirements introduced through Schedule 7A of the Town and Country </w:t>
      </w:r>
      <w:r w:rsidR="0071327B" w:rsidRPr="005B18A5">
        <w:rPr>
          <w:rFonts w:ascii="Arial" w:hAnsi="Arial" w:cs="Arial"/>
          <w:sz w:val="22"/>
          <w:szCs w:val="22"/>
        </w:rPr>
        <w:lastRenderedPageBreak/>
        <w:t>Planning Act 1990 (as amended). Nevertheless, proposals should seek to avoid ecological harm and incorporate biodiversity enhancements where appropriate.</w:t>
      </w:r>
    </w:p>
    <w:p w14:paraId="0096CB2B" w14:textId="77777777" w:rsidR="0071327B" w:rsidRPr="005B18A5" w:rsidRDefault="0071327B" w:rsidP="005B18A5">
      <w:pPr>
        <w:spacing w:line="276" w:lineRule="auto"/>
        <w:jc w:val="both"/>
        <w:rPr>
          <w:rFonts w:ascii="Arial" w:hAnsi="Arial" w:cs="Arial"/>
          <w:sz w:val="22"/>
          <w:szCs w:val="22"/>
        </w:rPr>
      </w:pPr>
    </w:p>
    <w:p w14:paraId="26558037" w14:textId="38B0545F" w:rsidR="002A73D1" w:rsidRPr="005B18A5" w:rsidRDefault="005B18A5" w:rsidP="005B18A5">
      <w:pPr>
        <w:spacing w:line="276" w:lineRule="auto"/>
        <w:jc w:val="both"/>
        <w:rPr>
          <w:rFonts w:ascii="Arial" w:hAnsi="Arial" w:cs="Arial"/>
          <w:sz w:val="22"/>
          <w:szCs w:val="22"/>
        </w:rPr>
      </w:pPr>
      <w:r w:rsidRPr="005B18A5">
        <w:rPr>
          <w:rFonts w:ascii="Arial" w:hAnsi="Arial" w:cs="Arial"/>
          <w:sz w:val="22"/>
          <w:szCs w:val="22"/>
        </w:rPr>
        <w:t>The site lies within the Trowbridge and Westbury Bat Mitigation Strategy Grey Zone and within identified Bechstein Bat Core Roost Buffers. Notwithstanding these constraints, the proposal relates to a small-scale rear extension at ground-floor level and does not involve the alteration, removal or disturbance of the existing roof structure where bat roosting potential would typically arise. The works are largely confined to an existing domestic garden area comprising hardstanding and managed residential land. Given the limited scope of the development and the absence of any direct interaction with features likely to support protected species, it is considered that the proposal would give rise to negligible, if any, ecological impacts.</w:t>
      </w:r>
    </w:p>
    <w:p w14:paraId="1036FAB3" w14:textId="77777777" w:rsidR="005B18A5" w:rsidRPr="005A66C3" w:rsidRDefault="005B18A5"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482AF280" w14:textId="77777777" w:rsidR="00DE3E46" w:rsidRPr="00C922CA" w:rsidRDefault="00DE3E46" w:rsidP="00DE3E46">
      <w:pPr>
        <w:spacing w:line="276" w:lineRule="auto"/>
        <w:rPr>
          <w:rFonts w:ascii="Arial" w:hAnsi="Arial" w:cs="Arial"/>
          <w:sz w:val="22"/>
          <w:szCs w:val="22"/>
        </w:rPr>
      </w:pPr>
    </w:p>
    <w:p w14:paraId="721AF1B7" w14:textId="3AAE1729" w:rsidR="00C922CA" w:rsidRPr="00234963" w:rsidRDefault="00234963" w:rsidP="00234963">
      <w:pPr>
        <w:spacing w:line="276" w:lineRule="auto"/>
        <w:jc w:val="both"/>
        <w:rPr>
          <w:rFonts w:ascii="Arial" w:hAnsi="Arial" w:cs="Arial"/>
          <w:sz w:val="22"/>
          <w:szCs w:val="22"/>
        </w:rPr>
      </w:pPr>
      <w:r w:rsidRPr="00234963">
        <w:rPr>
          <w:rFonts w:ascii="Arial" w:hAnsi="Arial" w:cs="Arial"/>
          <w:sz w:val="22"/>
          <w:szCs w:val="22"/>
        </w:rPr>
        <w:t>The application site is located within Flood Zone 1 and the Council's Strategic Flood Risk Assessment identifies a negligible risk of flooding from both surface water and groundwater sources. Furthermore, the proposed extension would result in only a very minor increase in built form, extending approximately 2 metres by 3.9 metres. Given the limited increase in impermeable area and the absence of any identified drainage constraints affecting the site, it is not considered that the development would adversely affect flood risk or drainage conditions either within the site or elsewhere.</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46788A04" w14:textId="77777777" w:rsidR="00234963" w:rsidRPr="00234963" w:rsidRDefault="00234963" w:rsidP="00234963">
      <w:pPr>
        <w:spacing w:line="276" w:lineRule="auto"/>
        <w:jc w:val="both"/>
        <w:rPr>
          <w:rFonts w:ascii="Arial" w:hAnsi="Arial" w:cs="Arial"/>
          <w:color w:val="000000" w:themeColor="text1"/>
          <w:sz w:val="22"/>
          <w:szCs w:val="22"/>
        </w:rPr>
      </w:pPr>
      <w:r w:rsidRPr="00234963">
        <w:rPr>
          <w:rFonts w:ascii="Arial" w:hAnsi="Arial" w:cs="Arial"/>
          <w:color w:val="000000" w:themeColor="text1"/>
          <w:sz w:val="22"/>
          <w:szCs w:val="22"/>
        </w:rPr>
        <w:t>The proposed development represents a modest and well-designed extension that is acceptable in principle within the settlement boundary. The proposal would preserve the character and appearance of the host dwelling and surrounding area, safeguard neighbouring residential amenity, give rise to no significant ecological, drainage or highway impacts, and accords with the relevant policies of the development plan when read as a whole. Accordingly, the application is recommended for approval.</w:t>
      </w:r>
    </w:p>
    <w:p w14:paraId="4E5870C7" w14:textId="77777777" w:rsidR="00FE203F" w:rsidRDefault="00FE203F" w:rsidP="005A66C3">
      <w:pPr>
        <w:spacing w:line="276" w:lineRule="auto"/>
        <w:jc w:val="both"/>
        <w:rPr>
          <w:rFonts w:ascii="Arial" w:hAnsi="Arial" w:cs="Arial"/>
          <w:b/>
          <w:bCs/>
          <w:color w:val="FF0000"/>
          <w:sz w:val="22"/>
          <w:szCs w:val="22"/>
        </w:rPr>
      </w:pPr>
    </w:p>
    <w:p w14:paraId="16F63C50" w14:textId="77777777" w:rsidR="00234963" w:rsidRPr="005A66C3" w:rsidRDefault="00234963" w:rsidP="005A66C3">
      <w:pPr>
        <w:spacing w:line="276" w:lineRule="auto"/>
        <w:jc w:val="both"/>
        <w:rPr>
          <w:rFonts w:ascii="Arial" w:hAnsi="Arial" w:cs="Arial"/>
          <w:color w:val="FF0000"/>
          <w:sz w:val="22"/>
          <w:szCs w:val="22"/>
        </w:rPr>
      </w:pPr>
    </w:p>
    <w:p w14:paraId="2C632DB2" w14:textId="3A01DA16"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conditions</w:t>
      </w:r>
    </w:p>
    <w:p w14:paraId="0A064A34" w14:textId="3E2B7F3B" w:rsidR="006B4ED4" w:rsidRPr="006B4ED4" w:rsidRDefault="006B4ED4" w:rsidP="005A66C3">
      <w:pPr>
        <w:spacing w:line="276" w:lineRule="auto"/>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31287"/>
    <w:rsid w:val="000334F9"/>
    <w:rsid w:val="00044328"/>
    <w:rsid w:val="000456D0"/>
    <w:rsid w:val="00055EE1"/>
    <w:rsid w:val="0006177E"/>
    <w:rsid w:val="00062A40"/>
    <w:rsid w:val="0007364A"/>
    <w:rsid w:val="00075C07"/>
    <w:rsid w:val="00081734"/>
    <w:rsid w:val="0008663E"/>
    <w:rsid w:val="00087823"/>
    <w:rsid w:val="000B0456"/>
    <w:rsid w:val="000B3CAF"/>
    <w:rsid w:val="000B4C9C"/>
    <w:rsid w:val="000B4D97"/>
    <w:rsid w:val="000C6EF7"/>
    <w:rsid w:val="000D01DA"/>
    <w:rsid w:val="000D0E39"/>
    <w:rsid w:val="000E3596"/>
    <w:rsid w:val="000E38BA"/>
    <w:rsid w:val="000F1D22"/>
    <w:rsid w:val="001003C2"/>
    <w:rsid w:val="001008EB"/>
    <w:rsid w:val="00102137"/>
    <w:rsid w:val="00102E92"/>
    <w:rsid w:val="00110FD1"/>
    <w:rsid w:val="00113A8D"/>
    <w:rsid w:val="00121700"/>
    <w:rsid w:val="0012283E"/>
    <w:rsid w:val="0012332F"/>
    <w:rsid w:val="001251AE"/>
    <w:rsid w:val="00131B65"/>
    <w:rsid w:val="001378DA"/>
    <w:rsid w:val="001424D4"/>
    <w:rsid w:val="0015620C"/>
    <w:rsid w:val="00157E20"/>
    <w:rsid w:val="001602BB"/>
    <w:rsid w:val="0016327F"/>
    <w:rsid w:val="0016397C"/>
    <w:rsid w:val="00164DC7"/>
    <w:rsid w:val="0017440C"/>
    <w:rsid w:val="0018465E"/>
    <w:rsid w:val="001929B3"/>
    <w:rsid w:val="00193EC7"/>
    <w:rsid w:val="001A0A2E"/>
    <w:rsid w:val="001A0F50"/>
    <w:rsid w:val="001A14B2"/>
    <w:rsid w:val="001A5972"/>
    <w:rsid w:val="001B17F8"/>
    <w:rsid w:val="001B2AF4"/>
    <w:rsid w:val="001B5749"/>
    <w:rsid w:val="001C39A7"/>
    <w:rsid w:val="001C4291"/>
    <w:rsid w:val="001C770A"/>
    <w:rsid w:val="001D3680"/>
    <w:rsid w:val="001E210B"/>
    <w:rsid w:val="001F0DE6"/>
    <w:rsid w:val="001F52AF"/>
    <w:rsid w:val="001F69D5"/>
    <w:rsid w:val="00212E9D"/>
    <w:rsid w:val="0021580E"/>
    <w:rsid w:val="00215BB1"/>
    <w:rsid w:val="00220396"/>
    <w:rsid w:val="002238D3"/>
    <w:rsid w:val="00227942"/>
    <w:rsid w:val="002346D2"/>
    <w:rsid w:val="00234963"/>
    <w:rsid w:val="0023524B"/>
    <w:rsid w:val="00237835"/>
    <w:rsid w:val="0024344D"/>
    <w:rsid w:val="0024516A"/>
    <w:rsid w:val="00245EA8"/>
    <w:rsid w:val="00247662"/>
    <w:rsid w:val="00255042"/>
    <w:rsid w:val="002574DF"/>
    <w:rsid w:val="00262F2E"/>
    <w:rsid w:val="002755A2"/>
    <w:rsid w:val="0027563A"/>
    <w:rsid w:val="0028102A"/>
    <w:rsid w:val="00293496"/>
    <w:rsid w:val="002A0353"/>
    <w:rsid w:val="002A1715"/>
    <w:rsid w:val="002A73D1"/>
    <w:rsid w:val="002B2380"/>
    <w:rsid w:val="002B5192"/>
    <w:rsid w:val="002B7A9A"/>
    <w:rsid w:val="002C01FA"/>
    <w:rsid w:val="002C2420"/>
    <w:rsid w:val="002C4607"/>
    <w:rsid w:val="002C650A"/>
    <w:rsid w:val="002D5728"/>
    <w:rsid w:val="002E02F9"/>
    <w:rsid w:val="002E6332"/>
    <w:rsid w:val="002E6872"/>
    <w:rsid w:val="002F4101"/>
    <w:rsid w:val="002F53F9"/>
    <w:rsid w:val="00303570"/>
    <w:rsid w:val="00304DA1"/>
    <w:rsid w:val="00306089"/>
    <w:rsid w:val="00313982"/>
    <w:rsid w:val="00323D7D"/>
    <w:rsid w:val="003240DB"/>
    <w:rsid w:val="00327F1B"/>
    <w:rsid w:val="0033669A"/>
    <w:rsid w:val="00341989"/>
    <w:rsid w:val="0035771C"/>
    <w:rsid w:val="00363BD7"/>
    <w:rsid w:val="00371825"/>
    <w:rsid w:val="00371AAC"/>
    <w:rsid w:val="00383F2A"/>
    <w:rsid w:val="00387981"/>
    <w:rsid w:val="0039175E"/>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3F3263"/>
    <w:rsid w:val="00402BA4"/>
    <w:rsid w:val="00403FEB"/>
    <w:rsid w:val="00406E82"/>
    <w:rsid w:val="0041549C"/>
    <w:rsid w:val="00417846"/>
    <w:rsid w:val="00421DC5"/>
    <w:rsid w:val="004226F2"/>
    <w:rsid w:val="004228A8"/>
    <w:rsid w:val="004330EA"/>
    <w:rsid w:val="00434323"/>
    <w:rsid w:val="00436238"/>
    <w:rsid w:val="00440325"/>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5366"/>
    <w:rsid w:val="004E5947"/>
    <w:rsid w:val="004E7A6C"/>
    <w:rsid w:val="004F26D5"/>
    <w:rsid w:val="004F4B97"/>
    <w:rsid w:val="004F57B4"/>
    <w:rsid w:val="004F6703"/>
    <w:rsid w:val="0050043D"/>
    <w:rsid w:val="0050269B"/>
    <w:rsid w:val="0051231F"/>
    <w:rsid w:val="00514587"/>
    <w:rsid w:val="0051622F"/>
    <w:rsid w:val="005214B8"/>
    <w:rsid w:val="00522A6A"/>
    <w:rsid w:val="0053334B"/>
    <w:rsid w:val="00540D8E"/>
    <w:rsid w:val="0054166A"/>
    <w:rsid w:val="005435B4"/>
    <w:rsid w:val="0054447E"/>
    <w:rsid w:val="00552306"/>
    <w:rsid w:val="00554E40"/>
    <w:rsid w:val="00556B5B"/>
    <w:rsid w:val="00557B1E"/>
    <w:rsid w:val="00561AE7"/>
    <w:rsid w:val="0056508E"/>
    <w:rsid w:val="00580DA8"/>
    <w:rsid w:val="00594C14"/>
    <w:rsid w:val="005A3D8E"/>
    <w:rsid w:val="005A6526"/>
    <w:rsid w:val="005A66C3"/>
    <w:rsid w:val="005A7264"/>
    <w:rsid w:val="005B18A5"/>
    <w:rsid w:val="005B1CA8"/>
    <w:rsid w:val="005B7582"/>
    <w:rsid w:val="005C0C82"/>
    <w:rsid w:val="005C30A6"/>
    <w:rsid w:val="005C5A46"/>
    <w:rsid w:val="005D2581"/>
    <w:rsid w:val="005D7F1D"/>
    <w:rsid w:val="005E60B0"/>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6611A"/>
    <w:rsid w:val="0067097F"/>
    <w:rsid w:val="006765B6"/>
    <w:rsid w:val="00685272"/>
    <w:rsid w:val="00687041"/>
    <w:rsid w:val="00694DDA"/>
    <w:rsid w:val="00695E40"/>
    <w:rsid w:val="006968E4"/>
    <w:rsid w:val="00696DB1"/>
    <w:rsid w:val="006A046D"/>
    <w:rsid w:val="006A676B"/>
    <w:rsid w:val="006B4ED4"/>
    <w:rsid w:val="006C0878"/>
    <w:rsid w:val="006C1101"/>
    <w:rsid w:val="006C3E6E"/>
    <w:rsid w:val="006C68D8"/>
    <w:rsid w:val="006D2DAA"/>
    <w:rsid w:val="006E26D9"/>
    <w:rsid w:val="006E7161"/>
    <w:rsid w:val="006F3CE5"/>
    <w:rsid w:val="006F6EEE"/>
    <w:rsid w:val="00701E79"/>
    <w:rsid w:val="00703B1E"/>
    <w:rsid w:val="00710117"/>
    <w:rsid w:val="007126AD"/>
    <w:rsid w:val="0071327B"/>
    <w:rsid w:val="00713A31"/>
    <w:rsid w:val="00714DA1"/>
    <w:rsid w:val="00714E4F"/>
    <w:rsid w:val="00724032"/>
    <w:rsid w:val="0072500F"/>
    <w:rsid w:val="0072605C"/>
    <w:rsid w:val="007279A5"/>
    <w:rsid w:val="007336B3"/>
    <w:rsid w:val="0073376C"/>
    <w:rsid w:val="00735DE1"/>
    <w:rsid w:val="00751CD6"/>
    <w:rsid w:val="0076074E"/>
    <w:rsid w:val="00765813"/>
    <w:rsid w:val="00773C1F"/>
    <w:rsid w:val="00774BF0"/>
    <w:rsid w:val="00777F61"/>
    <w:rsid w:val="0078630E"/>
    <w:rsid w:val="00794688"/>
    <w:rsid w:val="007A09D9"/>
    <w:rsid w:val="007A3D0E"/>
    <w:rsid w:val="007A5705"/>
    <w:rsid w:val="007A61A7"/>
    <w:rsid w:val="007B2237"/>
    <w:rsid w:val="007B2589"/>
    <w:rsid w:val="007B3765"/>
    <w:rsid w:val="007C4434"/>
    <w:rsid w:val="007C5693"/>
    <w:rsid w:val="007D167B"/>
    <w:rsid w:val="007D69FB"/>
    <w:rsid w:val="007E0B02"/>
    <w:rsid w:val="007E19A1"/>
    <w:rsid w:val="007F204C"/>
    <w:rsid w:val="00805D2E"/>
    <w:rsid w:val="008067A3"/>
    <w:rsid w:val="00812AF8"/>
    <w:rsid w:val="0081484B"/>
    <w:rsid w:val="00820464"/>
    <w:rsid w:val="00826B63"/>
    <w:rsid w:val="00827534"/>
    <w:rsid w:val="00827906"/>
    <w:rsid w:val="00831793"/>
    <w:rsid w:val="00841628"/>
    <w:rsid w:val="00845779"/>
    <w:rsid w:val="00846F0F"/>
    <w:rsid w:val="00856BF8"/>
    <w:rsid w:val="008610E2"/>
    <w:rsid w:val="0086349B"/>
    <w:rsid w:val="0086459F"/>
    <w:rsid w:val="00871565"/>
    <w:rsid w:val="00874E1A"/>
    <w:rsid w:val="008806E9"/>
    <w:rsid w:val="00880ECF"/>
    <w:rsid w:val="0088368E"/>
    <w:rsid w:val="00890257"/>
    <w:rsid w:val="0089746E"/>
    <w:rsid w:val="0089794B"/>
    <w:rsid w:val="008A6179"/>
    <w:rsid w:val="008B1BB2"/>
    <w:rsid w:val="008B2757"/>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564F0"/>
    <w:rsid w:val="00960475"/>
    <w:rsid w:val="009753A2"/>
    <w:rsid w:val="009803C6"/>
    <w:rsid w:val="0098148F"/>
    <w:rsid w:val="00982397"/>
    <w:rsid w:val="00982730"/>
    <w:rsid w:val="00982EB1"/>
    <w:rsid w:val="00990E62"/>
    <w:rsid w:val="00995309"/>
    <w:rsid w:val="009969D7"/>
    <w:rsid w:val="00997306"/>
    <w:rsid w:val="009A5A55"/>
    <w:rsid w:val="009C0B7F"/>
    <w:rsid w:val="009C68FD"/>
    <w:rsid w:val="009C7268"/>
    <w:rsid w:val="009D1B37"/>
    <w:rsid w:val="009D2F03"/>
    <w:rsid w:val="009D621E"/>
    <w:rsid w:val="009E0E9B"/>
    <w:rsid w:val="009E223C"/>
    <w:rsid w:val="009E23EC"/>
    <w:rsid w:val="009E6324"/>
    <w:rsid w:val="00A2028D"/>
    <w:rsid w:val="00A20E02"/>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F2D7B"/>
    <w:rsid w:val="00B10D59"/>
    <w:rsid w:val="00B125B4"/>
    <w:rsid w:val="00B13966"/>
    <w:rsid w:val="00B149EB"/>
    <w:rsid w:val="00B15AD7"/>
    <w:rsid w:val="00B169D2"/>
    <w:rsid w:val="00B16AEF"/>
    <w:rsid w:val="00B20C1F"/>
    <w:rsid w:val="00B21D27"/>
    <w:rsid w:val="00B27418"/>
    <w:rsid w:val="00B31880"/>
    <w:rsid w:val="00B3289E"/>
    <w:rsid w:val="00B40BA3"/>
    <w:rsid w:val="00B41FA9"/>
    <w:rsid w:val="00B42171"/>
    <w:rsid w:val="00B47DE8"/>
    <w:rsid w:val="00B53A9C"/>
    <w:rsid w:val="00B554C2"/>
    <w:rsid w:val="00B5556F"/>
    <w:rsid w:val="00B62AC6"/>
    <w:rsid w:val="00B812E0"/>
    <w:rsid w:val="00B86414"/>
    <w:rsid w:val="00B86CE9"/>
    <w:rsid w:val="00BA0474"/>
    <w:rsid w:val="00BB0CA0"/>
    <w:rsid w:val="00BB2CE7"/>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13C25"/>
    <w:rsid w:val="00C2367F"/>
    <w:rsid w:val="00C25413"/>
    <w:rsid w:val="00C328B6"/>
    <w:rsid w:val="00C44B5F"/>
    <w:rsid w:val="00C53B6A"/>
    <w:rsid w:val="00C563CE"/>
    <w:rsid w:val="00C56682"/>
    <w:rsid w:val="00C568B6"/>
    <w:rsid w:val="00C577FF"/>
    <w:rsid w:val="00C63478"/>
    <w:rsid w:val="00C64924"/>
    <w:rsid w:val="00C664A5"/>
    <w:rsid w:val="00C71367"/>
    <w:rsid w:val="00C72D5A"/>
    <w:rsid w:val="00C77C50"/>
    <w:rsid w:val="00C848E4"/>
    <w:rsid w:val="00C922CA"/>
    <w:rsid w:val="00C94CB8"/>
    <w:rsid w:val="00CB502A"/>
    <w:rsid w:val="00CC03E4"/>
    <w:rsid w:val="00CC144B"/>
    <w:rsid w:val="00CC6665"/>
    <w:rsid w:val="00CD6B35"/>
    <w:rsid w:val="00CF554E"/>
    <w:rsid w:val="00D00163"/>
    <w:rsid w:val="00D024E5"/>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47194"/>
    <w:rsid w:val="00D61D82"/>
    <w:rsid w:val="00D66197"/>
    <w:rsid w:val="00D70231"/>
    <w:rsid w:val="00D8351D"/>
    <w:rsid w:val="00D8452E"/>
    <w:rsid w:val="00DA037B"/>
    <w:rsid w:val="00DA3ED5"/>
    <w:rsid w:val="00DA5825"/>
    <w:rsid w:val="00DC4C05"/>
    <w:rsid w:val="00DC4F3E"/>
    <w:rsid w:val="00DC5403"/>
    <w:rsid w:val="00DC64E7"/>
    <w:rsid w:val="00DC6EB2"/>
    <w:rsid w:val="00DD29A1"/>
    <w:rsid w:val="00DE34F6"/>
    <w:rsid w:val="00DE3E46"/>
    <w:rsid w:val="00DE745B"/>
    <w:rsid w:val="00DE7788"/>
    <w:rsid w:val="00E011E0"/>
    <w:rsid w:val="00E062CD"/>
    <w:rsid w:val="00E179DC"/>
    <w:rsid w:val="00E3514F"/>
    <w:rsid w:val="00E362CA"/>
    <w:rsid w:val="00E43B49"/>
    <w:rsid w:val="00E51806"/>
    <w:rsid w:val="00E54EAF"/>
    <w:rsid w:val="00E55D48"/>
    <w:rsid w:val="00E600A1"/>
    <w:rsid w:val="00E64624"/>
    <w:rsid w:val="00E746AD"/>
    <w:rsid w:val="00E747FF"/>
    <w:rsid w:val="00E85E15"/>
    <w:rsid w:val="00E93D2E"/>
    <w:rsid w:val="00E94629"/>
    <w:rsid w:val="00E972F7"/>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25EA7"/>
    <w:rsid w:val="00F35E07"/>
    <w:rsid w:val="00F40F94"/>
    <w:rsid w:val="00F45C7C"/>
    <w:rsid w:val="00F5017A"/>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125</TotalTime>
  <Pages>6</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Andrew Thomas</cp:lastModifiedBy>
  <cp:revision>169</cp:revision>
  <cp:lastPrinted>2007-12-19T10:51:00Z</cp:lastPrinted>
  <dcterms:created xsi:type="dcterms:W3CDTF">2025-06-02T09:27:00Z</dcterms:created>
  <dcterms:modified xsi:type="dcterms:W3CDTF">2026-10-12T08:23:00Z</dcterms:modified>
</cp:coreProperties>
</file>