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7DE10"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96EFE9B"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22A3E46"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51DC22EA" w14:textId="77777777" w:rsidTr="00683C17">
        <w:tc>
          <w:tcPr>
            <w:tcW w:w="3681" w:type="dxa"/>
          </w:tcPr>
          <w:p w14:paraId="39A3E596"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FAB8362"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PL/2026/05271</w:t>
            </w:r>
          </w:p>
        </w:tc>
      </w:tr>
      <w:tr w:rsidR="003951BD" w14:paraId="5ECB7C7F" w14:textId="77777777" w:rsidTr="00683C17">
        <w:tc>
          <w:tcPr>
            <w:tcW w:w="3681" w:type="dxa"/>
          </w:tcPr>
          <w:p w14:paraId="05343C75"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00018FD"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490FC861" w14:textId="77777777" w:rsidTr="00683C17">
        <w:tc>
          <w:tcPr>
            <w:tcW w:w="3681" w:type="dxa"/>
          </w:tcPr>
          <w:p w14:paraId="3F740521"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0F59987"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66 West View Crescent, Devizes, SN10 5HE</w:t>
            </w:r>
          </w:p>
        </w:tc>
      </w:tr>
      <w:tr w:rsidR="003951BD" w14:paraId="5BCD9F8A" w14:textId="77777777" w:rsidTr="00683C17">
        <w:tc>
          <w:tcPr>
            <w:tcW w:w="3681" w:type="dxa"/>
          </w:tcPr>
          <w:p w14:paraId="7D870022"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F1D22D2"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Conversion of existing rear outbuilding to an accessible wet room, construction of a new glazed garden room/link between the rear of the dwelling and the outbuilding, kitchen alterations, and conversion of the existing ground floor living room to a bedroom, to provide essential disability adaptations for a disabled occupant.</w:t>
            </w:r>
          </w:p>
        </w:tc>
      </w:tr>
      <w:tr w:rsidR="003951BD" w14:paraId="10C9BE42" w14:textId="77777777" w:rsidTr="00683C17">
        <w:tc>
          <w:tcPr>
            <w:tcW w:w="3681" w:type="dxa"/>
          </w:tcPr>
          <w:p w14:paraId="7A6E5562"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5CE9226"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2694A698" w14:textId="77777777" w:rsid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56F1B4B"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6276B66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7F417DE9"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0E885FB0" w14:textId="06D1414C" w:rsidR="005B0FD5" w:rsidRPr="005046D3" w:rsidRDefault="005B0FD5"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00726C82">
        <w:rPr>
          <w:rFonts w:ascii="Arial" w:eastAsia="Times New Roman" w:hAnsi="Arial" w:cs="Arial"/>
          <w:color w:val="000000" w:themeColor="text1"/>
          <w:kern w:val="0"/>
          <w:sz w:val="22"/>
          <w:szCs w:val="22"/>
          <w:lang w:eastAsia="en-GB"/>
          <w14:ligatures w14:val="none"/>
        </w:rPr>
        <w:t xml:space="preserve">to convert the existing rear outbuilding to </w:t>
      </w:r>
      <w:r w:rsidR="000F4060">
        <w:rPr>
          <w:rFonts w:ascii="Arial" w:eastAsia="Times New Roman" w:hAnsi="Arial" w:cs="Arial"/>
          <w:color w:val="000000" w:themeColor="text1"/>
          <w:kern w:val="0"/>
          <w:sz w:val="22"/>
          <w:szCs w:val="22"/>
          <w:lang w:eastAsia="en-GB"/>
          <w14:ligatures w14:val="none"/>
        </w:rPr>
        <w:t>an accessible wet room and to construct a</w:t>
      </w:r>
      <w:r w:rsidR="006E56E3">
        <w:rPr>
          <w:rFonts w:ascii="Arial" w:eastAsia="Times New Roman" w:hAnsi="Arial" w:cs="Arial"/>
          <w:color w:val="000000" w:themeColor="text1"/>
          <w:kern w:val="0"/>
          <w:sz w:val="22"/>
          <w:szCs w:val="22"/>
          <w:lang w:eastAsia="en-GB"/>
          <w14:ligatures w14:val="none"/>
        </w:rPr>
        <w:t xml:space="preserve"> single-storey</w:t>
      </w:r>
      <w:r w:rsidR="000F4060">
        <w:rPr>
          <w:rFonts w:ascii="Arial" w:eastAsia="Times New Roman" w:hAnsi="Arial" w:cs="Arial"/>
          <w:color w:val="000000" w:themeColor="text1"/>
          <w:kern w:val="0"/>
          <w:sz w:val="22"/>
          <w:szCs w:val="22"/>
          <w:lang w:eastAsia="en-GB"/>
          <w14:ligatures w14:val="none"/>
        </w:rPr>
        <w:t xml:space="preserve"> </w:t>
      </w:r>
      <w:r w:rsidR="006E56E3">
        <w:rPr>
          <w:rFonts w:ascii="Arial" w:eastAsia="Times New Roman" w:hAnsi="Arial" w:cs="Arial"/>
          <w:color w:val="000000" w:themeColor="text1"/>
          <w:kern w:val="0"/>
          <w:sz w:val="22"/>
          <w:szCs w:val="22"/>
          <w:lang w:eastAsia="en-GB"/>
          <w14:ligatures w14:val="none"/>
        </w:rPr>
        <w:t>connecting structure</w:t>
      </w:r>
      <w:r w:rsidR="009918E6">
        <w:rPr>
          <w:rFonts w:ascii="Arial" w:eastAsia="Times New Roman" w:hAnsi="Arial" w:cs="Arial"/>
          <w:color w:val="000000" w:themeColor="text1"/>
          <w:kern w:val="0"/>
          <w:sz w:val="22"/>
          <w:szCs w:val="22"/>
          <w:lang w:eastAsia="en-GB"/>
          <w14:ligatures w14:val="none"/>
        </w:rPr>
        <w:t xml:space="preserve"> between the rear of the main house </w:t>
      </w:r>
      <w:r w:rsidR="005E18B8">
        <w:rPr>
          <w:rFonts w:ascii="Arial" w:eastAsia="Times New Roman" w:hAnsi="Arial" w:cs="Arial"/>
          <w:color w:val="000000" w:themeColor="text1"/>
          <w:kern w:val="0"/>
          <w:sz w:val="22"/>
          <w:szCs w:val="22"/>
          <w:lang w:eastAsia="en-GB"/>
          <w14:ligatures w14:val="none"/>
        </w:rPr>
        <w:t xml:space="preserve">and the converted outbuilding. </w:t>
      </w:r>
    </w:p>
    <w:p w14:paraId="20CBA926"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024D1D9"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5F9350C4"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318E4E5D"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163563C0" w14:textId="43AD8D1D" w:rsidR="00FE250F" w:rsidRDefault="00445DD5"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relates to 66 West View Crescent</w:t>
      </w:r>
      <w:r w:rsidR="00B80647">
        <w:rPr>
          <w:rFonts w:ascii="Arial" w:eastAsia="Times New Roman" w:hAnsi="Arial" w:cs="Arial"/>
          <w:color w:val="000000" w:themeColor="text1"/>
          <w:kern w:val="0"/>
          <w:sz w:val="22"/>
          <w:szCs w:val="22"/>
          <w:lang w:eastAsia="en-GB"/>
          <w14:ligatures w14:val="none"/>
        </w:rPr>
        <w:t xml:space="preserve"> in Devizes. It is a two-storey</w:t>
      </w:r>
      <w:r w:rsidR="00201CF6">
        <w:rPr>
          <w:rFonts w:ascii="Arial" w:eastAsia="Times New Roman" w:hAnsi="Arial" w:cs="Arial"/>
          <w:color w:val="000000" w:themeColor="text1"/>
          <w:kern w:val="0"/>
          <w:sz w:val="22"/>
          <w:szCs w:val="22"/>
          <w:lang w:eastAsia="en-GB"/>
          <w14:ligatures w14:val="none"/>
        </w:rPr>
        <w:t>, attached house</w:t>
      </w:r>
      <w:r w:rsidR="00B91625">
        <w:rPr>
          <w:rFonts w:ascii="Arial" w:eastAsia="Times New Roman" w:hAnsi="Arial" w:cs="Arial"/>
          <w:color w:val="000000" w:themeColor="text1"/>
          <w:kern w:val="0"/>
          <w:sz w:val="22"/>
          <w:szCs w:val="22"/>
          <w:lang w:eastAsia="en-GB"/>
          <w14:ligatures w14:val="none"/>
        </w:rPr>
        <w:t xml:space="preserve"> with light pebble-dashed external walls.</w:t>
      </w:r>
      <w:r w:rsidR="005357B4">
        <w:rPr>
          <w:rFonts w:ascii="Arial" w:eastAsia="Times New Roman" w:hAnsi="Arial" w:cs="Arial"/>
          <w:color w:val="000000" w:themeColor="text1"/>
          <w:kern w:val="0"/>
          <w:sz w:val="22"/>
          <w:szCs w:val="22"/>
          <w:lang w:eastAsia="en-GB"/>
          <w14:ligatures w14:val="none"/>
        </w:rPr>
        <w:t xml:space="preserve"> </w:t>
      </w:r>
      <w:r w:rsidR="006D7F77">
        <w:rPr>
          <w:rFonts w:ascii="Arial" w:eastAsia="Times New Roman" w:hAnsi="Arial" w:cs="Arial"/>
          <w:color w:val="000000" w:themeColor="text1"/>
          <w:kern w:val="0"/>
          <w:sz w:val="22"/>
          <w:szCs w:val="22"/>
          <w:lang w:eastAsia="en-GB"/>
          <w14:ligatures w14:val="none"/>
        </w:rPr>
        <w:t xml:space="preserve">A detached outbuilding exists in the garden to the rear and is currently used </w:t>
      </w:r>
      <w:r w:rsidR="00CB37E4">
        <w:rPr>
          <w:rFonts w:ascii="Arial" w:eastAsia="Times New Roman" w:hAnsi="Arial" w:cs="Arial"/>
          <w:color w:val="000000" w:themeColor="text1"/>
          <w:kern w:val="0"/>
          <w:sz w:val="22"/>
          <w:szCs w:val="22"/>
          <w:lang w:eastAsia="en-GB"/>
          <w14:ligatures w14:val="none"/>
        </w:rPr>
        <w:t>for utility / storage.</w:t>
      </w:r>
    </w:p>
    <w:p w14:paraId="058DCE7E" w14:textId="77777777" w:rsidR="00650D53" w:rsidRDefault="00650D53"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53FA63D" w14:textId="28073643" w:rsidR="00650D53" w:rsidRDefault="00650D53"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site </w:t>
      </w:r>
      <w:proofErr w:type="gramStart"/>
      <w:r>
        <w:rPr>
          <w:rFonts w:ascii="Arial" w:eastAsia="Times New Roman" w:hAnsi="Arial" w:cs="Arial"/>
          <w:color w:val="000000" w:themeColor="text1"/>
          <w:kern w:val="0"/>
          <w:sz w:val="22"/>
          <w:szCs w:val="22"/>
          <w:lang w:eastAsia="en-GB"/>
          <w14:ligatures w14:val="none"/>
        </w:rPr>
        <w:t>is located in</w:t>
      </w:r>
      <w:proofErr w:type="gramEnd"/>
      <w:r>
        <w:rPr>
          <w:rFonts w:ascii="Arial" w:eastAsia="Times New Roman" w:hAnsi="Arial" w:cs="Arial"/>
          <w:color w:val="000000" w:themeColor="text1"/>
          <w:kern w:val="0"/>
          <w:sz w:val="22"/>
          <w:szCs w:val="22"/>
          <w:lang w:eastAsia="en-GB"/>
          <w14:ligatures w14:val="none"/>
        </w:rPr>
        <w:t xml:space="preserve"> a residential area</w:t>
      </w:r>
      <w:r w:rsidR="00AF2A03">
        <w:rPr>
          <w:rFonts w:ascii="Arial" w:eastAsia="Times New Roman" w:hAnsi="Arial" w:cs="Arial"/>
          <w:color w:val="000000" w:themeColor="text1"/>
          <w:kern w:val="0"/>
          <w:sz w:val="22"/>
          <w:szCs w:val="22"/>
          <w:lang w:eastAsia="en-GB"/>
          <w14:ligatures w14:val="none"/>
        </w:rPr>
        <w:t xml:space="preserve"> approximately </w:t>
      </w:r>
      <w:r w:rsidR="003F18DA">
        <w:rPr>
          <w:rFonts w:ascii="Arial" w:eastAsia="Times New Roman" w:hAnsi="Arial" w:cs="Arial"/>
          <w:color w:val="000000" w:themeColor="text1"/>
          <w:kern w:val="0"/>
          <w:sz w:val="22"/>
          <w:szCs w:val="22"/>
          <w:lang w:eastAsia="en-GB"/>
          <w14:ligatures w14:val="none"/>
        </w:rPr>
        <w:t>0.7 miles</w:t>
      </w:r>
      <w:r>
        <w:rPr>
          <w:rFonts w:ascii="Arial" w:eastAsia="Times New Roman" w:hAnsi="Arial" w:cs="Arial"/>
          <w:color w:val="000000" w:themeColor="text1"/>
          <w:kern w:val="0"/>
          <w:sz w:val="22"/>
          <w:szCs w:val="22"/>
          <w:lang w:eastAsia="en-GB"/>
          <w14:ligatures w14:val="none"/>
        </w:rPr>
        <w:t xml:space="preserve"> </w:t>
      </w:r>
      <w:r w:rsidR="00D63E70">
        <w:rPr>
          <w:rFonts w:ascii="Arial" w:eastAsia="Times New Roman" w:hAnsi="Arial" w:cs="Arial"/>
          <w:color w:val="000000" w:themeColor="text1"/>
          <w:kern w:val="0"/>
          <w:sz w:val="22"/>
          <w:szCs w:val="22"/>
          <w:lang w:eastAsia="en-GB"/>
          <w14:ligatures w14:val="none"/>
        </w:rPr>
        <w:t>southwest</w:t>
      </w:r>
      <w:r w:rsidR="003F18DA">
        <w:rPr>
          <w:rFonts w:ascii="Arial" w:eastAsia="Times New Roman" w:hAnsi="Arial" w:cs="Arial"/>
          <w:color w:val="000000" w:themeColor="text1"/>
          <w:kern w:val="0"/>
          <w:sz w:val="22"/>
          <w:szCs w:val="22"/>
          <w:lang w:eastAsia="en-GB"/>
          <w14:ligatures w14:val="none"/>
        </w:rPr>
        <w:t xml:space="preserve"> of the centre of Devizes.</w:t>
      </w:r>
      <w:r w:rsidR="00640451">
        <w:rPr>
          <w:rFonts w:ascii="Arial" w:eastAsia="Times New Roman" w:hAnsi="Arial" w:cs="Arial"/>
          <w:color w:val="000000" w:themeColor="text1"/>
          <w:kern w:val="0"/>
          <w:sz w:val="22"/>
          <w:szCs w:val="22"/>
          <w:lang w:eastAsia="en-GB"/>
          <w14:ligatures w14:val="none"/>
        </w:rPr>
        <w:t xml:space="preserve"> The street is characterised by </w:t>
      </w:r>
      <w:r w:rsidR="005A6B3A">
        <w:rPr>
          <w:rFonts w:ascii="Arial" w:eastAsia="Times New Roman" w:hAnsi="Arial" w:cs="Arial"/>
          <w:color w:val="000000" w:themeColor="text1"/>
          <w:kern w:val="0"/>
          <w:sz w:val="22"/>
          <w:szCs w:val="22"/>
          <w:lang w:eastAsia="en-GB"/>
          <w14:ligatures w14:val="none"/>
        </w:rPr>
        <w:t xml:space="preserve">mid-20th century </w:t>
      </w:r>
      <w:r w:rsidR="00686535">
        <w:rPr>
          <w:rFonts w:ascii="Arial" w:eastAsia="Times New Roman" w:hAnsi="Arial" w:cs="Arial"/>
          <w:color w:val="000000" w:themeColor="text1"/>
          <w:kern w:val="0"/>
          <w:sz w:val="22"/>
          <w:szCs w:val="22"/>
          <w:lang w:eastAsia="en-GB"/>
          <w14:ligatures w14:val="none"/>
        </w:rPr>
        <w:t xml:space="preserve">attached and semi-detached houses of similar character to the </w:t>
      </w:r>
      <w:r w:rsidR="00AA0A25">
        <w:rPr>
          <w:rFonts w:ascii="Arial" w:eastAsia="Times New Roman" w:hAnsi="Arial" w:cs="Arial"/>
          <w:color w:val="000000" w:themeColor="text1"/>
          <w:kern w:val="0"/>
          <w:sz w:val="22"/>
          <w:szCs w:val="22"/>
          <w:lang w:eastAsia="en-GB"/>
          <w14:ligatures w14:val="none"/>
        </w:rPr>
        <w:t>proposal dwelling, in a mix of red brick and pebbledash</w:t>
      </w:r>
      <w:r w:rsidR="00774FCB">
        <w:rPr>
          <w:rFonts w:ascii="Arial" w:eastAsia="Times New Roman" w:hAnsi="Arial" w:cs="Arial"/>
          <w:color w:val="000000" w:themeColor="text1"/>
          <w:kern w:val="0"/>
          <w:sz w:val="22"/>
          <w:szCs w:val="22"/>
          <w:lang w:eastAsia="en-GB"/>
          <w14:ligatures w14:val="none"/>
        </w:rPr>
        <w:t xml:space="preserve">. </w:t>
      </w:r>
    </w:p>
    <w:p w14:paraId="3F0AD335" w14:textId="77777777" w:rsidR="00004179" w:rsidRDefault="00004179"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9407F37"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5A5D18E0"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090368C" w14:textId="2431AA75" w:rsidR="00965A06" w:rsidRPr="003520A6" w:rsidRDefault="003520A6" w:rsidP="00CE7093">
      <w:pPr>
        <w:pStyle w:val="ListParagraph"/>
        <w:numPr>
          <w:ilvl w:val="0"/>
          <w:numId w:val="9"/>
        </w:num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3520A6">
        <w:rPr>
          <w:rFonts w:ascii="Arial" w:eastAsia="Times New Roman" w:hAnsi="Arial" w:cs="Arial"/>
          <w:i/>
          <w:iCs/>
          <w:color w:val="000000" w:themeColor="text1"/>
          <w:kern w:val="0"/>
          <w:sz w:val="22"/>
          <w:szCs w:val="22"/>
          <w:lang w:eastAsia="en-GB"/>
          <w14:ligatures w14:val="none"/>
        </w:rPr>
        <w:t>None</w:t>
      </w:r>
    </w:p>
    <w:p w14:paraId="77896548"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6CFF85D9"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21BEB811"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951BD" w:rsidRPr="003E74F7" w14:paraId="4863AA8C" w14:textId="77777777" w:rsidTr="008F7D98">
        <w:trPr>
          <w:trHeight w:hRule="exact" w:val="20"/>
        </w:trPr>
        <w:tc>
          <w:tcPr>
            <w:tcW w:w="8921" w:type="dxa"/>
            <w:tcBorders>
              <w:bottom w:val="single" w:sz="6" w:space="0" w:color="auto"/>
            </w:tcBorders>
            <w:vAlign w:val="center"/>
            <w:hideMark/>
          </w:tcPr>
          <w:p w14:paraId="2CA81CC0" w14:textId="77777777" w:rsidR="003951BD" w:rsidRPr="00D6500C" w:rsidRDefault="003951BD" w:rsidP="003951BD">
            <w:pPr>
              <w:spacing w:after="0"/>
              <w:rPr>
                <w:rFonts w:ascii="Arial" w:hAnsi="Arial" w:cs="Arial"/>
                <w:sz w:val="22"/>
                <w:szCs w:val="22"/>
              </w:rPr>
            </w:pPr>
            <w:bookmarkStart w:id="0" w:name="_bc9eaa23_7b84_4e11_8860_67eb8bbe0c9e"/>
          </w:p>
        </w:tc>
      </w:tr>
      <w:tr w:rsidR="003951BD" w:rsidRPr="003E74F7" w14:paraId="3ADA77A7"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2928A90" w14:textId="77777777" w:rsidR="003951BD" w:rsidRPr="00D6500C" w:rsidRDefault="003951BD" w:rsidP="003951BD">
            <w:pPr>
              <w:spacing w:after="0"/>
              <w:rPr>
                <w:rFonts w:ascii="Arial" w:hAnsi="Arial" w:cs="Arial"/>
                <w:b/>
                <w:bCs/>
                <w:sz w:val="22"/>
                <w:szCs w:val="22"/>
              </w:rPr>
            </w:pPr>
            <w:r w:rsidRPr="00D6500C">
              <w:rPr>
                <w:rFonts w:ascii="Arial" w:hAnsi="Arial" w:cs="Arial"/>
                <w:b/>
                <w:bCs/>
                <w:sz w:val="22"/>
                <w:szCs w:val="22"/>
              </w:rPr>
              <w:t>Proposal / Summary</w:t>
            </w:r>
          </w:p>
        </w:tc>
      </w:tr>
      <w:tr w:rsidR="003951BD" w:rsidRPr="003E74F7" w14:paraId="5C04443F" w14:textId="77777777" w:rsidTr="008F7D98">
        <w:tc>
          <w:tcPr>
            <w:tcW w:w="8921" w:type="dxa"/>
            <w:tcBorders>
              <w:left w:val="single" w:sz="12" w:space="0" w:color="auto"/>
              <w:bottom w:val="single" w:sz="12" w:space="0" w:color="auto"/>
              <w:right w:val="single" w:sz="12" w:space="0" w:color="auto"/>
            </w:tcBorders>
            <w:vAlign w:val="center"/>
          </w:tcPr>
          <w:p w14:paraId="6A2D0421" w14:textId="729498EC" w:rsidR="003951BD" w:rsidRPr="00D6500C" w:rsidRDefault="006157FD" w:rsidP="003951BD">
            <w:pPr>
              <w:spacing w:after="0"/>
              <w:rPr>
                <w:rFonts w:ascii="Arial" w:hAnsi="Arial" w:cs="Arial"/>
                <w:sz w:val="22"/>
                <w:szCs w:val="22"/>
              </w:rPr>
            </w:pPr>
            <w:r>
              <w:rPr>
                <w:rFonts w:ascii="Arial" w:hAnsi="Arial" w:cs="Arial"/>
                <w:sz w:val="22"/>
                <w:szCs w:val="22"/>
              </w:rPr>
              <w:t>None</w:t>
            </w:r>
          </w:p>
        </w:tc>
      </w:tr>
      <w:bookmarkEnd w:id="0"/>
    </w:tbl>
    <w:p w14:paraId="6098B042"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36DB7F3E"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7F34546D" w14:textId="77777777" w:rsidR="006157FD" w:rsidRDefault="006157FD" w:rsidP="009C1702">
      <w:pPr>
        <w:spacing w:after="0" w:line="276" w:lineRule="auto"/>
        <w:jc w:val="both"/>
        <w:rPr>
          <w:rFonts w:ascii="Arial" w:eastAsia="Times New Roman" w:hAnsi="Arial" w:cs="Arial"/>
          <w:b/>
          <w:bCs/>
          <w:kern w:val="0"/>
          <w:sz w:val="22"/>
          <w:szCs w:val="22"/>
          <w:lang w:eastAsia="en-GB"/>
          <w14:ligatures w14:val="none"/>
        </w:rPr>
      </w:pPr>
    </w:p>
    <w:p w14:paraId="7AD0DE91" w14:textId="77777777" w:rsidR="006157FD" w:rsidRDefault="006157FD" w:rsidP="009C1702">
      <w:pPr>
        <w:spacing w:after="0" w:line="276" w:lineRule="auto"/>
        <w:jc w:val="both"/>
        <w:rPr>
          <w:rFonts w:ascii="Arial" w:eastAsia="Times New Roman" w:hAnsi="Arial" w:cs="Arial"/>
          <w:b/>
          <w:bCs/>
          <w:kern w:val="0"/>
          <w:sz w:val="22"/>
          <w:szCs w:val="22"/>
          <w:lang w:eastAsia="en-GB"/>
          <w14:ligatures w14:val="none"/>
        </w:rPr>
      </w:pPr>
    </w:p>
    <w:p w14:paraId="62D3837B" w14:textId="77777777" w:rsidR="006157FD" w:rsidRDefault="006157FD" w:rsidP="009C1702">
      <w:pPr>
        <w:spacing w:after="0" w:line="276" w:lineRule="auto"/>
        <w:jc w:val="both"/>
        <w:rPr>
          <w:rFonts w:ascii="Arial" w:eastAsia="Times New Roman" w:hAnsi="Arial" w:cs="Arial"/>
          <w:b/>
          <w:bCs/>
          <w:kern w:val="0"/>
          <w:sz w:val="22"/>
          <w:szCs w:val="22"/>
          <w:lang w:eastAsia="en-GB"/>
          <w14:ligatures w14:val="none"/>
        </w:rPr>
      </w:pPr>
    </w:p>
    <w:p w14:paraId="1DAD3828"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RELEVANT POLICIES AND GUIDANCE</w:t>
      </w:r>
    </w:p>
    <w:p w14:paraId="195006B6"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E1E4617"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5A73AF41"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231734B8"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 xml:space="preserve">Core Policy 57 Ensuring </w:t>
      </w:r>
      <w:proofErr w:type="gramStart"/>
      <w:r w:rsidRPr="009C1702">
        <w:rPr>
          <w:rFonts w:ascii="Arial" w:eastAsia="Times New Roman" w:hAnsi="Arial" w:cs="Arial"/>
          <w:kern w:val="0"/>
          <w:sz w:val="22"/>
          <w:szCs w:val="22"/>
          <w:lang w:eastAsia="en-GB"/>
          <w14:ligatures w14:val="none"/>
        </w:rPr>
        <w:t>High Quality</w:t>
      </w:r>
      <w:proofErr w:type="gramEnd"/>
      <w:r w:rsidRPr="009C1702">
        <w:rPr>
          <w:rFonts w:ascii="Arial" w:eastAsia="Times New Roman" w:hAnsi="Arial" w:cs="Arial"/>
          <w:kern w:val="0"/>
          <w:sz w:val="22"/>
          <w:szCs w:val="22"/>
          <w:lang w:eastAsia="en-GB"/>
          <w14:ligatures w14:val="none"/>
        </w:rPr>
        <w:t xml:space="preserve"> Design and Place Shaping</w:t>
      </w:r>
    </w:p>
    <w:p w14:paraId="5DA04F97"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119DC382"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6C621223"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095EC699"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13F5950E"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4F63F9C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497209E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36F2CF1E"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C007077"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7E75268"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566D34AF" w14:textId="472E8D11" w:rsidR="00A55952" w:rsidRPr="000815DE" w:rsidRDefault="00F7609E" w:rsidP="00740954">
      <w:pPr>
        <w:spacing w:after="0" w:line="276" w:lineRule="auto"/>
        <w:jc w:val="both"/>
        <w:rPr>
          <w:rFonts w:ascii="Arial" w:eastAsia="Times New Roman" w:hAnsi="Arial" w:cs="Arial"/>
          <w:color w:val="FF0000"/>
          <w:kern w:val="0"/>
          <w:sz w:val="22"/>
          <w:szCs w:val="22"/>
          <w:lang w:eastAsia="en-GB"/>
          <w14:ligatures w14:val="none"/>
        </w:rPr>
      </w:pPr>
      <w:r w:rsidRPr="00085C56">
        <w:rPr>
          <w:rFonts w:ascii="Arial" w:eastAsia="Times New Roman" w:hAnsi="Arial" w:cs="Arial"/>
          <w:kern w:val="0"/>
          <w:sz w:val="22"/>
          <w:szCs w:val="22"/>
          <w:u w:val="single"/>
          <w:lang w:eastAsia="en-GB"/>
          <w14:ligatures w14:val="none"/>
        </w:rPr>
        <w:t>Parish/Town Council</w:t>
      </w:r>
      <w:r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p>
    <w:p w14:paraId="368AFD09"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D1A057C"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3A5116E7"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53E85FE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4B30AEA"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6247D855"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794320FF"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F55DAF6"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BBDE0D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E66766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3BD974B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0601B01"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1F8AC8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BFEEB7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D9B1D53"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22C0D9BD"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5B6DE04E"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142F677"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20F5FCD0"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17F07947"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6F7E238C" w14:textId="77777777" w:rsidR="00CD186A" w:rsidRDefault="00CD186A" w:rsidP="00852CAC">
      <w:pPr>
        <w:spacing w:after="0" w:line="276" w:lineRule="auto"/>
        <w:jc w:val="both"/>
        <w:rPr>
          <w:rFonts w:ascii="Arial" w:eastAsia="Times New Roman" w:hAnsi="Arial" w:cs="Arial"/>
          <w:kern w:val="0"/>
          <w:sz w:val="22"/>
          <w:szCs w:val="22"/>
          <w:lang w:eastAsia="en-GB"/>
          <w14:ligatures w14:val="none"/>
        </w:rPr>
      </w:pPr>
    </w:p>
    <w:p w14:paraId="7868BCE3" w14:textId="07FAF257" w:rsidR="00E315E0" w:rsidRDefault="00636852" w:rsidP="00852CAC">
      <w:pPr>
        <w:spacing w:after="0" w:line="276" w:lineRule="auto"/>
        <w:jc w:val="both"/>
        <w:rPr>
          <w:rFonts w:ascii="Arial" w:eastAsia="Times New Roman" w:hAnsi="Arial" w:cs="Arial"/>
          <w:kern w:val="0"/>
          <w:sz w:val="22"/>
          <w:szCs w:val="22"/>
          <w:lang w:eastAsia="en-GB"/>
          <w14:ligatures w14:val="none"/>
        </w:rPr>
      </w:pPr>
      <w:r w:rsidRPr="00636852">
        <w:rPr>
          <w:rFonts w:ascii="Arial" w:eastAsia="Times New Roman" w:hAnsi="Arial" w:cs="Arial"/>
          <w:kern w:val="0"/>
          <w:sz w:val="22"/>
          <w:szCs w:val="22"/>
          <w:lang w:eastAsia="en-GB"/>
          <w14:ligatures w14:val="none"/>
        </w:rPr>
        <w:t xml:space="preserve">The outbuilding is located to the rear of the property and is not visible from the public realm. As such, the development would have no material impact upon the appearance of the street </w:t>
      </w:r>
      <w:r w:rsidRPr="00636852">
        <w:rPr>
          <w:rFonts w:ascii="Arial" w:eastAsia="Times New Roman" w:hAnsi="Arial" w:cs="Arial"/>
          <w:kern w:val="0"/>
          <w:sz w:val="22"/>
          <w:szCs w:val="22"/>
          <w:lang w:eastAsia="en-GB"/>
          <w14:ligatures w14:val="none"/>
        </w:rPr>
        <w:lastRenderedPageBreak/>
        <w:t>scene.</w:t>
      </w:r>
      <w:r>
        <w:rPr>
          <w:rFonts w:ascii="Arial" w:eastAsia="Times New Roman" w:hAnsi="Arial" w:cs="Arial"/>
          <w:kern w:val="0"/>
          <w:sz w:val="22"/>
          <w:szCs w:val="22"/>
          <w:lang w:eastAsia="en-GB"/>
          <w14:ligatures w14:val="none"/>
        </w:rPr>
        <w:t xml:space="preserve"> </w:t>
      </w:r>
      <w:r w:rsidR="007A255B" w:rsidRPr="007A255B">
        <w:rPr>
          <w:rFonts w:ascii="Arial" w:eastAsia="Times New Roman" w:hAnsi="Arial" w:cs="Arial"/>
          <w:kern w:val="0"/>
          <w:sz w:val="22"/>
          <w:szCs w:val="22"/>
          <w:lang w:eastAsia="en-GB"/>
          <w14:ligatures w14:val="none"/>
        </w:rPr>
        <w:t>The proposed extension would be modest in scale and subordinate to the host dwelling. The linking element would occupy approximately half the width of the dwelling and would result in only a limited increase in built form. The flat roof design is consistent with that of the existing outbuilding, which would retain its current height and overall scale.</w:t>
      </w:r>
    </w:p>
    <w:p w14:paraId="1971EC9E" w14:textId="77777777" w:rsidR="00636852" w:rsidRDefault="00636852" w:rsidP="00852CAC">
      <w:pPr>
        <w:spacing w:after="0" w:line="276" w:lineRule="auto"/>
        <w:jc w:val="both"/>
        <w:rPr>
          <w:rFonts w:ascii="Arial" w:eastAsia="Times New Roman" w:hAnsi="Arial" w:cs="Arial"/>
          <w:kern w:val="0"/>
          <w:sz w:val="22"/>
          <w:szCs w:val="22"/>
          <w:lang w:eastAsia="en-GB"/>
          <w14:ligatures w14:val="none"/>
        </w:rPr>
      </w:pPr>
    </w:p>
    <w:p w14:paraId="0DB32133" w14:textId="7A2808AA" w:rsidR="00A45EFD" w:rsidRDefault="0042079D" w:rsidP="00852CAC">
      <w:pPr>
        <w:spacing w:after="0" w:line="276" w:lineRule="auto"/>
        <w:jc w:val="both"/>
        <w:rPr>
          <w:rFonts w:ascii="Arial" w:eastAsia="Times New Roman" w:hAnsi="Arial" w:cs="Arial"/>
          <w:kern w:val="0"/>
          <w:sz w:val="22"/>
          <w:szCs w:val="22"/>
          <w:lang w:eastAsia="en-GB"/>
          <w14:ligatures w14:val="none"/>
        </w:rPr>
      </w:pPr>
      <w:r w:rsidRPr="0042079D">
        <w:rPr>
          <w:rFonts w:ascii="Arial" w:eastAsia="Times New Roman" w:hAnsi="Arial" w:cs="Arial"/>
          <w:kern w:val="0"/>
          <w:sz w:val="22"/>
          <w:szCs w:val="22"/>
          <w:lang w:eastAsia="en-GB"/>
          <w14:ligatures w14:val="none"/>
        </w:rPr>
        <w:t>In terms of appearance, the extension would be finished in render to match the existing outbuilding, while the proposed white uPVC windows and doors would reflect those already present on the dwelling. The development would therefore appear as a coherent and proportionate addition to the property.</w:t>
      </w:r>
    </w:p>
    <w:p w14:paraId="5848F200" w14:textId="77777777" w:rsidR="0042079D" w:rsidRDefault="0042079D" w:rsidP="00852CAC">
      <w:pPr>
        <w:spacing w:after="0" w:line="276" w:lineRule="auto"/>
        <w:jc w:val="both"/>
        <w:rPr>
          <w:rFonts w:ascii="Arial" w:eastAsia="Times New Roman" w:hAnsi="Arial" w:cs="Arial"/>
          <w:kern w:val="0"/>
          <w:sz w:val="22"/>
          <w:szCs w:val="22"/>
          <w:lang w:eastAsia="en-GB"/>
          <w14:ligatures w14:val="none"/>
        </w:rPr>
      </w:pPr>
    </w:p>
    <w:p w14:paraId="18CD3EA8" w14:textId="234D6A96" w:rsidR="00A45EFD" w:rsidRDefault="00A45EFD" w:rsidP="00852CAC">
      <w:pPr>
        <w:spacing w:after="0" w:line="276" w:lineRule="auto"/>
        <w:jc w:val="both"/>
        <w:rPr>
          <w:rFonts w:ascii="Arial" w:eastAsia="Times New Roman" w:hAnsi="Arial" w:cs="Arial"/>
          <w:kern w:val="0"/>
          <w:sz w:val="22"/>
          <w:szCs w:val="22"/>
          <w:lang w:eastAsia="en-GB"/>
          <w14:ligatures w14:val="none"/>
        </w:rPr>
      </w:pPr>
      <w:r w:rsidRPr="00A45EFD">
        <w:rPr>
          <w:rFonts w:ascii="Arial" w:eastAsia="Times New Roman" w:hAnsi="Arial" w:cs="Arial"/>
          <w:kern w:val="0"/>
          <w:sz w:val="22"/>
          <w:szCs w:val="22"/>
          <w:lang w:eastAsia="en-GB"/>
          <w14:ligatures w14:val="none"/>
        </w:rPr>
        <w:t>The proposal accords with the guidance set out in Appendix D of the Wiltshire Design Guide, which supports appropriately scaled and subordinate rear extensions that are not visually prominent from the public realm.</w:t>
      </w:r>
      <w:r w:rsidR="00841C42">
        <w:rPr>
          <w:rFonts w:ascii="Arial" w:eastAsia="Times New Roman" w:hAnsi="Arial" w:cs="Arial"/>
          <w:kern w:val="0"/>
          <w:sz w:val="22"/>
          <w:szCs w:val="22"/>
          <w:lang w:eastAsia="en-GB"/>
          <w14:ligatures w14:val="none"/>
        </w:rPr>
        <w:t xml:space="preserve"> </w:t>
      </w:r>
      <w:r w:rsidR="00841C42" w:rsidRPr="00841C42">
        <w:rPr>
          <w:rFonts w:ascii="Arial" w:eastAsia="Times New Roman" w:hAnsi="Arial" w:cs="Arial"/>
          <w:kern w:val="0"/>
          <w:sz w:val="22"/>
          <w:szCs w:val="22"/>
          <w:lang w:eastAsia="en-GB"/>
          <w14:ligatures w14:val="none"/>
        </w:rPr>
        <w:t>By virtue of its modest scale, subordinate form, matching materials and limited visibility from public vantage points, the development would preserve the character and appearance of both the host dwelling and the surrounding area.</w:t>
      </w:r>
    </w:p>
    <w:p w14:paraId="7F6957BB" w14:textId="77777777" w:rsidR="00965FBC" w:rsidRDefault="00965FBC" w:rsidP="00852CAC">
      <w:pPr>
        <w:spacing w:after="0" w:line="276" w:lineRule="auto"/>
        <w:jc w:val="both"/>
        <w:rPr>
          <w:rFonts w:ascii="Arial" w:eastAsia="Times New Roman" w:hAnsi="Arial" w:cs="Arial"/>
          <w:kern w:val="0"/>
          <w:sz w:val="22"/>
          <w:szCs w:val="22"/>
          <w:lang w:eastAsia="en-GB"/>
          <w14:ligatures w14:val="none"/>
        </w:rPr>
      </w:pPr>
    </w:p>
    <w:p w14:paraId="0E443FD0" w14:textId="5E93ADD3" w:rsidR="00965FBC" w:rsidRPr="00A050F1" w:rsidRDefault="00CD186A" w:rsidP="00965FB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w:t>
      </w:r>
      <w:r w:rsidR="00965FBC">
        <w:rPr>
          <w:rFonts w:ascii="Arial" w:hAnsi="Arial" w:cs="Arial"/>
          <w:color w:val="000000" w:themeColor="text1"/>
          <w:sz w:val="22"/>
          <w:szCs w:val="22"/>
        </w:rPr>
        <w:t>aving regard to the above, t</w:t>
      </w:r>
      <w:r w:rsidR="00965FBC" w:rsidRPr="00A050F1">
        <w:rPr>
          <w:rFonts w:ascii="Arial" w:hAnsi="Arial" w:cs="Arial"/>
          <w:color w:val="000000" w:themeColor="text1"/>
          <w:sz w:val="22"/>
          <w:szCs w:val="22"/>
        </w:rPr>
        <w:t>he proposal complies with the design principles set out in Core Policy 57</w:t>
      </w:r>
      <w:r w:rsidR="00965FBC">
        <w:rPr>
          <w:rFonts w:ascii="Arial" w:hAnsi="Arial" w:cs="Arial"/>
          <w:color w:val="000000" w:themeColor="text1"/>
          <w:sz w:val="22"/>
          <w:szCs w:val="22"/>
        </w:rPr>
        <w:t xml:space="preserve"> of the Wiltshire Core Strategy</w:t>
      </w:r>
      <w:r w:rsidR="003A6042">
        <w:rPr>
          <w:rFonts w:ascii="Arial" w:hAnsi="Arial" w:cs="Arial"/>
          <w:color w:val="000000" w:themeColor="text1"/>
          <w:sz w:val="22"/>
          <w:szCs w:val="22"/>
        </w:rPr>
        <w:t xml:space="preserve">, </w:t>
      </w:r>
      <w:r w:rsidR="00965FBC">
        <w:rPr>
          <w:rFonts w:ascii="Arial" w:hAnsi="Arial" w:cs="Arial"/>
          <w:color w:val="000000" w:themeColor="text1"/>
          <w:sz w:val="22"/>
          <w:szCs w:val="22"/>
        </w:rPr>
        <w:t>Appendix D of the Wiltshire Design Guide</w:t>
      </w:r>
      <w:r w:rsidR="003A6042">
        <w:rPr>
          <w:rFonts w:ascii="Arial" w:hAnsi="Arial" w:cs="Arial"/>
          <w:color w:val="000000" w:themeColor="text1"/>
          <w:sz w:val="22"/>
          <w:szCs w:val="22"/>
        </w:rPr>
        <w:t xml:space="preserve"> and the NPPF</w:t>
      </w:r>
      <w:r w:rsidR="00965FBC" w:rsidRPr="00A050F1">
        <w:rPr>
          <w:rFonts w:ascii="Arial" w:hAnsi="Arial" w:cs="Arial"/>
          <w:color w:val="000000" w:themeColor="text1"/>
          <w:sz w:val="22"/>
          <w:szCs w:val="22"/>
        </w:rPr>
        <w:t>.</w:t>
      </w:r>
    </w:p>
    <w:p w14:paraId="6B50BBBE" w14:textId="77777777" w:rsidR="00A050F1" w:rsidRDefault="00A050F1" w:rsidP="00A050F1">
      <w:pPr>
        <w:spacing w:after="0" w:line="276" w:lineRule="auto"/>
        <w:jc w:val="both"/>
        <w:rPr>
          <w:rFonts w:ascii="Arial" w:hAnsi="Arial" w:cs="Arial"/>
          <w:b/>
          <w:bCs/>
          <w:i/>
          <w:iCs/>
          <w:color w:val="FF0000"/>
          <w:sz w:val="22"/>
          <w:szCs w:val="22"/>
        </w:rPr>
      </w:pPr>
    </w:p>
    <w:p w14:paraId="133F562C"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7FD98A0E"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57924481"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15AE7CD" w14:textId="77777777" w:rsidR="00393433" w:rsidRDefault="00393433" w:rsidP="00A050F1">
      <w:pPr>
        <w:spacing w:after="0" w:line="276" w:lineRule="auto"/>
        <w:jc w:val="both"/>
        <w:rPr>
          <w:rFonts w:ascii="Arial" w:hAnsi="Arial" w:cs="Arial"/>
          <w:color w:val="000000" w:themeColor="text1"/>
          <w:sz w:val="22"/>
          <w:szCs w:val="22"/>
        </w:rPr>
      </w:pPr>
    </w:p>
    <w:p w14:paraId="377B5C45"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 xml:space="preserve">Policy P3 of the National Planning Policy Framework requires development to be appropriate for its location, taking account of its likely effects on health, living conditions and the environment. </w:t>
      </w:r>
      <w:proofErr w:type="gramStart"/>
      <w:r w:rsidRPr="00430927">
        <w:rPr>
          <w:rFonts w:ascii="Arial" w:eastAsia="Times New Roman" w:hAnsi="Arial" w:cs="Arial"/>
          <w:kern w:val="0"/>
          <w:sz w:val="22"/>
          <w:szCs w:val="22"/>
          <w:lang w:eastAsia="en-GB"/>
          <w14:ligatures w14:val="none"/>
        </w:rPr>
        <w:t>In particular, Policy</w:t>
      </w:r>
      <w:proofErr w:type="gramEnd"/>
      <w:r w:rsidRPr="00430927">
        <w:rPr>
          <w:rFonts w:ascii="Arial" w:eastAsia="Times New Roman" w:hAnsi="Arial" w:cs="Arial"/>
          <w:kern w:val="0"/>
          <w:sz w:val="22"/>
          <w:szCs w:val="22"/>
          <w:lang w:eastAsia="en-GB"/>
          <w14:ligatures w14:val="none"/>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128F90C5" w14:textId="77777777" w:rsidR="00400FB2" w:rsidRDefault="00400FB2" w:rsidP="00A050F1">
      <w:pPr>
        <w:spacing w:after="0" w:line="276" w:lineRule="auto"/>
        <w:jc w:val="both"/>
        <w:rPr>
          <w:rFonts w:ascii="Arial" w:hAnsi="Arial" w:cs="Arial"/>
          <w:color w:val="000000" w:themeColor="text1"/>
          <w:sz w:val="22"/>
          <w:szCs w:val="22"/>
        </w:rPr>
      </w:pPr>
    </w:p>
    <w:p w14:paraId="28B196E8" w14:textId="77777777" w:rsidR="00DB13C3" w:rsidRPr="00612767" w:rsidRDefault="00DB13C3" w:rsidP="00DB13C3">
      <w:pPr>
        <w:spacing w:after="0" w:line="276" w:lineRule="auto"/>
        <w:jc w:val="both"/>
        <w:rPr>
          <w:rFonts w:ascii="Arial" w:hAnsi="Arial" w:cs="Arial"/>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4FE941FB" w14:textId="77777777" w:rsidR="00CC2226" w:rsidRDefault="00CC2226" w:rsidP="00DB13C3">
      <w:pPr>
        <w:spacing w:after="0" w:line="276" w:lineRule="auto"/>
        <w:jc w:val="both"/>
        <w:rPr>
          <w:rFonts w:ascii="Arial" w:hAnsi="Arial" w:cs="Arial"/>
          <w:i/>
          <w:iCs/>
          <w:color w:val="000000" w:themeColor="text1"/>
          <w:sz w:val="22"/>
          <w:szCs w:val="22"/>
        </w:rPr>
      </w:pPr>
    </w:p>
    <w:p w14:paraId="6AD7EB3D" w14:textId="3F49DB75" w:rsidR="00CC2226" w:rsidRDefault="00CA64AC"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proposed connecting structure between the outbuilding and main dwellinghouse abuts the shared boundary </w:t>
      </w:r>
      <w:r w:rsidR="007F55FE">
        <w:rPr>
          <w:rFonts w:ascii="Arial" w:hAnsi="Arial" w:cs="Arial"/>
          <w:color w:val="000000" w:themeColor="text1"/>
          <w:sz w:val="22"/>
          <w:szCs w:val="22"/>
        </w:rPr>
        <w:t xml:space="preserve">with the neighbouring property to the north. This </w:t>
      </w:r>
      <w:r w:rsidR="00CB2356">
        <w:rPr>
          <w:rFonts w:ascii="Arial" w:hAnsi="Arial" w:cs="Arial"/>
          <w:color w:val="000000" w:themeColor="text1"/>
          <w:sz w:val="22"/>
          <w:szCs w:val="22"/>
        </w:rPr>
        <w:t>property (No.64 West View Crescent)</w:t>
      </w:r>
      <w:r w:rsidR="002C34B6">
        <w:rPr>
          <w:rFonts w:ascii="Arial" w:hAnsi="Arial" w:cs="Arial"/>
          <w:color w:val="000000" w:themeColor="text1"/>
          <w:sz w:val="22"/>
          <w:szCs w:val="22"/>
        </w:rPr>
        <w:t xml:space="preserve"> has an existing single-storey flat-roofed link structure </w:t>
      </w:r>
      <w:r w:rsidR="000175D4">
        <w:rPr>
          <w:rFonts w:ascii="Arial" w:hAnsi="Arial" w:cs="Arial"/>
          <w:color w:val="000000" w:themeColor="text1"/>
          <w:sz w:val="22"/>
          <w:szCs w:val="22"/>
        </w:rPr>
        <w:t>at the boundary at a similar height.</w:t>
      </w:r>
      <w:r w:rsidR="00136115">
        <w:rPr>
          <w:rFonts w:ascii="Arial" w:hAnsi="Arial" w:cs="Arial"/>
          <w:color w:val="000000" w:themeColor="text1"/>
          <w:sz w:val="22"/>
          <w:szCs w:val="22"/>
        </w:rPr>
        <w:t xml:space="preserve"> </w:t>
      </w:r>
    </w:p>
    <w:p w14:paraId="68E8586B" w14:textId="77777777" w:rsidR="00757655" w:rsidRDefault="00757655" w:rsidP="00DB13C3">
      <w:pPr>
        <w:spacing w:after="0" w:line="276" w:lineRule="auto"/>
        <w:jc w:val="both"/>
        <w:rPr>
          <w:rFonts w:ascii="Arial" w:hAnsi="Arial" w:cs="Arial"/>
          <w:color w:val="000000" w:themeColor="text1"/>
          <w:sz w:val="22"/>
          <w:szCs w:val="22"/>
        </w:rPr>
      </w:pPr>
    </w:p>
    <w:p w14:paraId="0BF616DF" w14:textId="3938A6D0" w:rsidR="00757655" w:rsidRPr="008F0FA1" w:rsidRDefault="00757655" w:rsidP="00757655">
      <w:pPr>
        <w:spacing w:after="0" w:line="276" w:lineRule="auto"/>
        <w:jc w:val="both"/>
        <w:rPr>
          <w:rFonts w:ascii="Arial" w:hAnsi="Arial" w:cs="Arial"/>
          <w:color w:val="000000" w:themeColor="text1"/>
          <w:sz w:val="22"/>
          <w:szCs w:val="22"/>
        </w:rPr>
      </w:pPr>
      <w:r w:rsidRPr="00077ACA">
        <w:rPr>
          <w:rFonts w:ascii="Arial" w:hAnsi="Arial" w:cs="Arial"/>
          <w:color w:val="000000" w:themeColor="text1"/>
          <w:sz w:val="22"/>
          <w:szCs w:val="22"/>
        </w:rPr>
        <w:t xml:space="preserve">Due to the proposals nature as </w:t>
      </w:r>
      <w:r w:rsidR="00C60AE4">
        <w:rPr>
          <w:rFonts w:ascii="Arial" w:hAnsi="Arial" w:cs="Arial"/>
          <w:color w:val="000000" w:themeColor="text1"/>
          <w:sz w:val="22"/>
          <w:szCs w:val="22"/>
        </w:rPr>
        <w:t xml:space="preserve">a conversion of a single-storey outbuilding and </w:t>
      </w:r>
      <w:r w:rsidRPr="00077ACA">
        <w:rPr>
          <w:rFonts w:ascii="Arial" w:hAnsi="Arial" w:cs="Arial"/>
          <w:color w:val="000000" w:themeColor="text1"/>
          <w:sz w:val="22"/>
          <w:szCs w:val="22"/>
        </w:rPr>
        <w:t xml:space="preserve">extension </w:t>
      </w:r>
      <w:r w:rsidR="00C60AE4">
        <w:rPr>
          <w:rFonts w:ascii="Arial" w:hAnsi="Arial" w:cs="Arial"/>
          <w:color w:val="000000" w:themeColor="text1"/>
          <w:sz w:val="22"/>
          <w:szCs w:val="22"/>
        </w:rPr>
        <w:t xml:space="preserve">mirroring the abutting </w:t>
      </w:r>
      <w:r w:rsidR="00170473">
        <w:rPr>
          <w:rFonts w:ascii="Arial" w:hAnsi="Arial" w:cs="Arial"/>
          <w:color w:val="000000" w:themeColor="text1"/>
          <w:sz w:val="22"/>
          <w:szCs w:val="22"/>
        </w:rPr>
        <w:t>structure to the north</w:t>
      </w:r>
      <w:r w:rsidRPr="00077ACA">
        <w:rPr>
          <w:rFonts w:ascii="Arial" w:hAnsi="Arial" w:cs="Arial"/>
          <w:color w:val="000000" w:themeColor="text1"/>
          <w:sz w:val="22"/>
          <w:szCs w:val="22"/>
        </w:rPr>
        <w:t xml:space="preserve">, </w:t>
      </w:r>
      <w:r w:rsidRPr="008F0FA1">
        <w:rPr>
          <w:rFonts w:ascii="Arial" w:hAnsi="Arial" w:cs="Arial"/>
          <w:color w:val="000000" w:themeColor="text1"/>
          <w:sz w:val="22"/>
          <w:szCs w:val="22"/>
        </w:rPr>
        <w:t>no material harm to residential amenity has been identified.</w:t>
      </w:r>
      <w:r>
        <w:rPr>
          <w:rFonts w:ascii="Arial" w:hAnsi="Arial" w:cs="Arial"/>
          <w:color w:val="000000" w:themeColor="text1"/>
          <w:sz w:val="22"/>
          <w:szCs w:val="22"/>
        </w:rPr>
        <w:t xml:space="preserve"> </w:t>
      </w:r>
      <w:r w:rsidRPr="00077ACA">
        <w:rPr>
          <w:rFonts w:ascii="Arial" w:hAnsi="Arial" w:cs="Arial"/>
          <w:color w:val="000000" w:themeColor="text1"/>
          <w:sz w:val="22"/>
          <w:szCs w:val="22"/>
        </w:rPr>
        <w:t xml:space="preserve">There is no risk of any adverse overlooking, overshadowing, or overbearing impact arising </w:t>
      </w:r>
      <w:proofErr w:type="gramStart"/>
      <w:r w:rsidRPr="00077ACA">
        <w:rPr>
          <w:rFonts w:ascii="Arial" w:hAnsi="Arial" w:cs="Arial"/>
          <w:color w:val="000000" w:themeColor="text1"/>
          <w:sz w:val="22"/>
          <w:szCs w:val="22"/>
        </w:rPr>
        <w:t>as a result of</w:t>
      </w:r>
      <w:proofErr w:type="gramEnd"/>
      <w:r w:rsidRPr="00077ACA">
        <w:rPr>
          <w:rFonts w:ascii="Arial" w:hAnsi="Arial" w:cs="Arial"/>
          <w:color w:val="000000" w:themeColor="text1"/>
          <w:sz w:val="22"/>
          <w:szCs w:val="22"/>
        </w:rPr>
        <w:t xml:space="preserve"> the proposed works.</w:t>
      </w:r>
    </w:p>
    <w:p w14:paraId="5268724F" w14:textId="77777777" w:rsidR="00757655" w:rsidRPr="00136115" w:rsidRDefault="00757655" w:rsidP="00DB13C3">
      <w:pPr>
        <w:spacing w:after="0" w:line="276" w:lineRule="auto"/>
        <w:jc w:val="both"/>
        <w:rPr>
          <w:rFonts w:ascii="Arial" w:hAnsi="Arial" w:cs="Arial"/>
          <w:color w:val="000000" w:themeColor="text1"/>
          <w:sz w:val="22"/>
          <w:szCs w:val="22"/>
        </w:rPr>
      </w:pPr>
    </w:p>
    <w:p w14:paraId="3FF704BE" w14:textId="77777777" w:rsidR="00DB13C3" w:rsidRDefault="00DB13C3" w:rsidP="00DB13C3">
      <w:pPr>
        <w:spacing w:after="0" w:line="276" w:lineRule="auto"/>
        <w:jc w:val="both"/>
        <w:rPr>
          <w:rFonts w:ascii="Arial" w:hAnsi="Arial" w:cs="Arial"/>
          <w:i/>
          <w:iCs/>
          <w:color w:val="000000" w:themeColor="text1"/>
          <w:sz w:val="22"/>
          <w:szCs w:val="22"/>
        </w:rPr>
      </w:pPr>
    </w:p>
    <w:p w14:paraId="60DA652E" w14:textId="77777777" w:rsidR="00DB13C3"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lastRenderedPageBreak/>
        <w:t>The proposal therefore accords with Core Policy 57 point vii in respect of safeguarding residential amenity</w:t>
      </w:r>
      <w:r w:rsidR="00A919D6">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A919D6">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16E50208" w14:textId="77777777" w:rsidR="000A5D3B" w:rsidRPr="00A050F1" w:rsidRDefault="000A5D3B" w:rsidP="00DB13C3">
      <w:pPr>
        <w:spacing w:after="0" w:line="276" w:lineRule="auto"/>
        <w:jc w:val="both"/>
        <w:rPr>
          <w:rFonts w:ascii="Arial" w:hAnsi="Arial" w:cs="Arial"/>
          <w:color w:val="000000" w:themeColor="text1"/>
          <w:sz w:val="22"/>
          <w:szCs w:val="22"/>
        </w:rPr>
      </w:pPr>
    </w:p>
    <w:p w14:paraId="356883B5"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5D769A49"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2A09C25B"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371DCBF"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522E745C"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2CC30EE1" w14:textId="77777777" w:rsid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0B9A0A00" w14:textId="77777777" w:rsidR="000A5D3B" w:rsidRPr="00284CD5" w:rsidRDefault="000A5D3B" w:rsidP="00284CD5">
      <w:pPr>
        <w:spacing w:after="0" w:line="276" w:lineRule="auto"/>
        <w:jc w:val="both"/>
        <w:rPr>
          <w:rFonts w:ascii="Arial" w:hAnsi="Arial" w:cs="Arial"/>
          <w:color w:val="000000" w:themeColor="text1"/>
          <w:sz w:val="22"/>
          <w:szCs w:val="22"/>
          <w:u w:val="single"/>
        </w:rPr>
      </w:pPr>
    </w:p>
    <w:p w14:paraId="521E89FB"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78A03D85" w14:textId="77777777" w:rsidR="00284CD5" w:rsidRPr="004B2F79" w:rsidRDefault="00284CD5" w:rsidP="00284CD5">
      <w:pPr>
        <w:spacing w:after="0" w:line="276" w:lineRule="auto"/>
        <w:jc w:val="both"/>
        <w:rPr>
          <w:rFonts w:ascii="Arial" w:hAnsi="Arial" w:cs="Arial"/>
          <w:color w:val="000000" w:themeColor="text1"/>
          <w:sz w:val="22"/>
          <w:szCs w:val="22"/>
        </w:rPr>
      </w:pPr>
    </w:p>
    <w:p w14:paraId="36650144"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5BEE618C"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63211B83"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082960C3"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3671C918" w14:textId="77777777" w:rsid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3D05E9">
        <w:rPr>
          <w:rFonts w:ascii="Arial" w:eastAsia="Times New Roman" w:hAnsi="Arial" w:cs="Arial"/>
          <w:color w:val="000000" w:themeColor="text1"/>
          <w:kern w:val="0"/>
          <w:sz w:val="22"/>
          <w:szCs w:val="22"/>
          <w:lang w:eastAsia="en-GB"/>
          <w14:ligatures w14:val="none"/>
        </w:rPr>
        <w:t>is considered to be</w:t>
      </w:r>
      <w:proofErr w:type="gramEnd"/>
      <w:r w:rsidRPr="003D05E9">
        <w:rPr>
          <w:rFonts w:ascii="Arial" w:eastAsia="Times New Roman" w:hAnsi="Arial" w:cs="Arial"/>
          <w:color w:val="000000" w:themeColor="text1"/>
          <w:kern w:val="0"/>
          <w:sz w:val="22"/>
          <w:szCs w:val="22"/>
          <w:lang w:eastAsia="en-GB"/>
          <w14:ligatures w14:val="none"/>
        </w:rPr>
        <w:t xml:space="preserve"> acceptable in terms of its design, character and appearance, and would not result in any unacceptable harm to the amenities of neighbouring occupiers.</w:t>
      </w:r>
    </w:p>
    <w:p w14:paraId="463C76A9"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18A0FC2D" w14:textId="77777777" w:rsidR="009B77AD"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146329">
        <w:rPr>
          <w:rFonts w:ascii="Arial" w:eastAsia="Times New Roman" w:hAnsi="Arial" w:cs="Arial"/>
          <w:color w:val="000000" w:themeColor="text1"/>
          <w:kern w:val="0"/>
          <w:sz w:val="22"/>
          <w:szCs w:val="22"/>
          <w:lang w:eastAsia="en-GB"/>
          <w14:ligatures w14:val="none"/>
        </w:rPr>
        <w:t>Furthermore, the proposal would not result in any unacceptable impacts in respect of any other material planning considerations.</w:t>
      </w:r>
    </w:p>
    <w:p w14:paraId="72F70876" w14:textId="77777777" w:rsidR="00146329" w:rsidRPr="003D05E9"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0A0C86F7"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1DA25B05"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88A8583"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7530E35B"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5C51B7BA"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460251A2"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4179"/>
    <w:rsid w:val="00011496"/>
    <w:rsid w:val="000143A5"/>
    <w:rsid w:val="000148E7"/>
    <w:rsid w:val="00015ADB"/>
    <w:rsid w:val="000175D4"/>
    <w:rsid w:val="000221CB"/>
    <w:rsid w:val="00033847"/>
    <w:rsid w:val="00036B7E"/>
    <w:rsid w:val="00043B9C"/>
    <w:rsid w:val="000610AC"/>
    <w:rsid w:val="00063A02"/>
    <w:rsid w:val="00063D1C"/>
    <w:rsid w:val="0006701C"/>
    <w:rsid w:val="00067A8A"/>
    <w:rsid w:val="00071E19"/>
    <w:rsid w:val="00071EC1"/>
    <w:rsid w:val="0007377C"/>
    <w:rsid w:val="0007735A"/>
    <w:rsid w:val="000815DE"/>
    <w:rsid w:val="0008454F"/>
    <w:rsid w:val="00085C56"/>
    <w:rsid w:val="0009068F"/>
    <w:rsid w:val="00091944"/>
    <w:rsid w:val="00092CC2"/>
    <w:rsid w:val="00093398"/>
    <w:rsid w:val="0009527B"/>
    <w:rsid w:val="00097010"/>
    <w:rsid w:val="000A5D3B"/>
    <w:rsid w:val="000B273F"/>
    <w:rsid w:val="000B4864"/>
    <w:rsid w:val="000B66D7"/>
    <w:rsid w:val="000B6B01"/>
    <w:rsid w:val="000C7F98"/>
    <w:rsid w:val="000D0858"/>
    <w:rsid w:val="000D092E"/>
    <w:rsid w:val="000D5836"/>
    <w:rsid w:val="000E063D"/>
    <w:rsid w:val="000E18EB"/>
    <w:rsid w:val="000E6021"/>
    <w:rsid w:val="000E7462"/>
    <w:rsid w:val="000F3916"/>
    <w:rsid w:val="000F4060"/>
    <w:rsid w:val="001044B1"/>
    <w:rsid w:val="00111D21"/>
    <w:rsid w:val="001177BA"/>
    <w:rsid w:val="00126A18"/>
    <w:rsid w:val="00134D23"/>
    <w:rsid w:val="00136115"/>
    <w:rsid w:val="00141929"/>
    <w:rsid w:val="0014198B"/>
    <w:rsid w:val="00146329"/>
    <w:rsid w:val="00152901"/>
    <w:rsid w:val="0016162B"/>
    <w:rsid w:val="00162405"/>
    <w:rsid w:val="00170473"/>
    <w:rsid w:val="0018298F"/>
    <w:rsid w:val="00185935"/>
    <w:rsid w:val="001A22B9"/>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1CF6"/>
    <w:rsid w:val="002056F3"/>
    <w:rsid w:val="002100CF"/>
    <w:rsid w:val="00211930"/>
    <w:rsid w:val="00212556"/>
    <w:rsid w:val="0021435E"/>
    <w:rsid w:val="00215395"/>
    <w:rsid w:val="002175E1"/>
    <w:rsid w:val="002215A6"/>
    <w:rsid w:val="00221D04"/>
    <w:rsid w:val="00245E7E"/>
    <w:rsid w:val="00247CD5"/>
    <w:rsid w:val="002562AA"/>
    <w:rsid w:val="00263860"/>
    <w:rsid w:val="0027170A"/>
    <w:rsid w:val="00274681"/>
    <w:rsid w:val="00276C28"/>
    <w:rsid w:val="00284692"/>
    <w:rsid w:val="00284CD5"/>
    <w:rsid w:val="00284EAF"/>
    <w:rsid w:val="00296162"/>
    <w:rsid w:val="002A0EB6"/>
    <w:rsid w:val="002B3C19"/>
    <w:rsid w:val="002B67AF"/>
    <w:rsid w:val="002B7220"/>
    <w:rsid w:val="002C34B6"/>
    <w:rsid w:val="002C39F8"/>
    <w:rsid w:val="002C5B77"/>
    <w:rsid w:val="002C64FD"/>
    <w:rsid w:val="002C7D54"/>
    <w:rsid w:val="002D20C0"/>
    <w:rsid w:val="002D290E"/>
    <w:rsid w:val="002D51AF"/>
    <w:rsid w:val="002D764D"/>
    <w:rsid w:val="002E6C51"/>
    <w:rsid w:val="0030007E"/>
    <w:rsid w:val="00302D05"/>
    <w:rsid w:val="003030A4"/>
    <w:rsid w:val="00307390"/>
    <w:rsid w:val="00312C7F"/>
    <w:rsid w:val="00315AE0"/>
    <w:rsid w:val="00320631"/>
    <w:rsid w:val="00331E7A"/>
    <w:rsid w:val="00332D09"/>
    <w:rsid w:val="003342BE"/>
    <w:rsid w:val="00335B14"/>
    <w:rsid w:val="003415BB"/>
    <w:rsid w:val="003520A6"/>
    <w:rsid w:val="00362D8F"/>
    <w:rsid w:val="00364013"/>
    <w:rsid w:val="003663AD"/>
    <w:rsid w:val="00371103"/>
    <w:rsid w:val="00371C0F"/>
    <w:rsid w:val="003727C5"/>
    <w:rsid w:val="00372E76"/>
    <w:rsid w:val="0037425B"/>
    <w:rsid w:val="003774FF"/>
    <w:rsid w:val="00381786"/>
    <w:rsid w:val="0038668B"/>
    <w:rsid w:val="0038704C"/>
    <w:rsid w:val="00391F88"/>
    <w:rsid w:val="00393433"/>
    <w:rsid w:val="00394AB3"/>
    <w:rsid w:val="003951BD"/>
    <w:rsid w:val="003A202C"/>
    <w:rsid w:val="003A2DD3"/>
    <w:rsid w:val="003A6042"/>
    <w:rsid w:val="003A7995"/>
    <w:rsid w:val="003C7574"/>
    <w:rsid w:val="003D05E9"/>
    <w:rsid w:val="003E08E2"/>
    <w:rsid w:val="003E2BA9"/>
    <w:rsid w:val="003E41D0"/>
    <w:rsid w:val="003F076A"/>
    <w:rsid w:val="003F18DA"/>
    <w:rsid w:val="003F5922"/>
    <w:rsid w:val="00400FB2"/>
    <w:rsid w:val="00402530"/>
    <w:rsid w:val="004130CC"/>
    <w:rsid w:val="004158E9"/>
    <w:rsid w:val="0042079D"/>
    <w:rsid w:val="004212F8"/>
    <w:rsid w:val="00422C35"/>
    <w:rsid w:val="004268A1"/>
    <w:rsid w:val="00430927"/>
    <w:rsid w:val="004317AC"/>
    <w:rsid w:val="00436306"/>
    <w:rsid w:val="00436D0A"/>
    <w:rsid w:val="0043769C"/>
    <w:rsid w:val="004407D1"/>
    <w:rsid w:val="004414AD"/>
    <w:rsid w:val="00445DD5"/>
    <w:rsid w:val="00450181"/>
    <w:rsid w:val="004547E7"/>
    <w:rsid w:val="00454C71"/>
    <w:rsid w:val="004649E9"/>
    <w:rsid w:val="00464AE2"/>
    <w:rsid w:val="00465C63"/>
    <w:rsid w:val="00465DD1"/>
    <w:rsid w:val="004713E6"/>
    <w:rsid w:val="00476F3E"/>
    <w:rsid w:val="004810AA"/>
    <w:rsid w:val="00482050"/>
    <w:rsid w:val="00486D8A"/>
    <w:rsid w:val="00487D26"/>
    <w:rsid w:val="004908AE"/>
    <w:rsid w:val="00491C07"/>
    <w:rsid w:val="00492385"/>
    <w:rsid w:val="00492C16"/>
    <w:rsid w:val="00496A46"/>
    <w:rsid w:val="004A4A11"/>
    <w:rsid w:val="004A6DB3"/>
    <w:rsid w:val="004B0B23"/>
    <w:rsid w:val="004B3C0C"/>
    <w:rsid w:val="004C107B"/>
    <w:rsid w:val="004C3414"/>
    <w:rsid w:val="004C4611"/>
    <w:rsid w:val="004D3798"/>
    <w:rsid w:val="004D3857"/>
    <w:rsid w:val="004D3BA9"/>
    <w:rsid w:val="004D4AA6"/>
    <w:rsid w:val="004E7970"/>
    <w:rsid w:val="004F18D5"/>
    <w:rsid w:val="004F6135"/>
    <w:rsid w:val="004F635C"/>
    <w:rsid w:val="004F65E7"/>
    <w:rsid w:val="004F6857"/>
    <w:rsid w:val="005046D3"/>
    <w:rsid w:val="00515980"/>
    <w:rsid w:val="0051645C"/>
    <w:rsid w:val="00520012"/>
    <w:rsid w:val="0052069C"/>
    <w:rsid w:val="00520E30"/>
    <w:rsid w:val="005357B4"/>
    <w:rsid w:val="0054068B"/>
    <w:rsid w:val="00540D13"/>
    <w:rsid w:val="00550749"/>
    <w:rsid w:val="00551655"/>
    <w:rsid w:val="005542CC"/>
    <w:rsid w:val="00561A9C"/>
    <w:rsid w:val="00582EB0"/>
    <w:rsid w:val="0059524B"/>
    <w:rsid w:val="00597BBB"/>
    <w:rsid w:val="005A2832"/>
    <w:rsid w:val="005A2CD7"/>
    <w:rsid w:val="005A5492"/>
    <w:rsid w:val="005A6B3A"/>
    <w:rsid w:val="005B0FD5"/>
    <w:rsid w:val="005C1D3F"/>
    <w:rsid w:val="005D04A7"/>
    <w:rsid w:val="005D13DC"/>
    <w:rsid w:val="005D24B8"/>
    <w:rsid w:val="005D30AB"/>
    <w:rsid w:val="005D7EDB"/>
    <w:rsid w:val="005E0776"/>
    <w:rsid w:val="005E0F78"/>
    <w:rsid w:val="005E18B8"/>
    <w:rsid w:val="005E2BAD"/>
    <w:rsid w:val="00612767"/>
    <w:rsid w:val="00615302"/>
    <w:rsid w:val="006157FD"/>
    <w:rsid w:val="006164A3"/>
    <w:rsid w:val="00616DC2"/>
    <w:rsid w:val="0062234B"/>
    <w:rsid w:val="006242FB"/>
    <w:rsid w:val="00631B2E"/>
    <w:rsid w:val="0063206F"/>
    <w:rsid w:val="00636852"/>
    <w:rsid w:val="00640451"/>
    <w:rsid w:val="006407C9"/>
    <w:rsid w:val="00640FEC"/>
    <w:rsid w:val="00643C57"/>
    <w:rsid w:val="00647E0D"/>
    <w:rsid w:val="00650D53"/>
    <w:rsid w:val="00653CA6"/>
    <w:rsid w:val="00656FE6"/>
    <w:rsid w:val="00660CF5"/>
    <w:rsid w:val="00662C0A"/>
    <w:rsid w:val="00663D3A"/>
    <w:rsid w:val="00664B60"/>
    <w:rsid w:val="006656F8"/>
    <w:rsid w:val="0066737B"/>
    <w:rsid w:val="006705B5"/>
    <w:rsid w:val="00673B87"/>
    <w:rsid w:val="00680DA9"/>
    <w:rsid w:val="00683C17"/>
    <w:rsid w:val="00686535"/>
    <w:rsid w:val="00696570"/>
    <w:rsid w:val="006A15F9"/>
    <w:rsid w:val="006A6EB8"/>
    <w:rsid w:val="006A735A"/>
    <w:rsid w:val="006B1193"/>
    <w:rsid w:val="006B6C79"/>
    <w:rsid w:val="006C2EF8"/>
    <w:rsid w:val="006C5A72"/>
    <w:rsid w:val="006D1073"/>
    <w:rsid w:val="006D4A80"/>
    <w:rsid w:val="006D7F77"/>
    <w:rsid w:val="006E139C"/>
    <w:rsid w:val="006E56E3"/>
    <w:rsid w:val="00711058"/>
    <w:rsid w:val="00711526"/>
    <w:rsid w:val="00714FE5"/>
    <w:rsid w:val="00715057"/>
    <w:rsid w:val="007235F5"/>
    <w:rsid w:val="00726C82"/>
    <w:rsid w:val="00740954"/>
    <w:rsid w:val="00742C35"/>
    <w:rsid w:val="00744E80"/>
    <w:rsid w:val="00750FD1"/>
    <w:rsid w:val="00755B0D"/>
    <w:rsid w:val="00757655"/>
    <w:rsid w:val="007638C3"/>
    <w:rsid w:val="00771C95"/>
    <w:rsid w:val="00774FCB"/>
    <w:rsid w:val="00790038"/>
    <w:rsid w:val="00793652"/>
    <w:rsid w:val="007A255B"/>
    <w:rsid w:val="007B6EEC"/>
    <w:rsid w:val="007B70B8"/>
    <w:rsid w:val="007C1403"/>
    <w:rsid w:val="007C28D5"/>
    <w:rsid w:val="007C6DE3"/>
    <w:rsid w:val="007D187B"/>
    <w:rsid w:val="007D390B"/>
    <w:rsid w:val="007D4B14"/>
    <w:rsid w:val="007D5706"/>
    <w:rsid w:val="007D6521"/>
    <w:rsid w:val="007E229B"/>
    <w:rsid w:val="007E4274"/>
    <w:rsid w:val="007E4322"/>
    <w:rsid w:val="007E7444"/>
    <w:rsid w:val="007F3ABA"/>
    <w:rsid w:val="007F55FE"/>
    <w:rsid w:val="00802C50"/>
    <w:rsid w:val="00810B9F"/>
    <w:rsid w:val="0081165E"/>
    <w:rsid w:val="008176BD"/>
    <w:rsid w:val="0083213E"/>
    <w:rsid w:val="0083706C"/>
    <w:rsid w:val="008376A8"/>
    <w:rsid w:val="00841C42"/>
    <w:rsid w:val="00842BB0"/>
    <w:rsid w:val="00844E80"/>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01A"/>
    <w:rsid w:val="008A4A27"/>
    <w:rsid w:val="008A588E"/>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01EA8"/>
    <w:rsid w:val="00921A38"/>
    <w:rsid w:val="0092325F"/>
    <w:rsid w:val="00924221"/>
    <w:rsid w:val="0092586B"/>
    <w:rsid w:val="00932A4E"/>
    <w:rsid w:val="009350D4"/>
    <w:rsid w:val="00940BC0"/>
    <w:rsid w:val="00961C4E"/>
    <w:rsid w:val="00965A06"/>
    <w:rsid w:val="00965FBC"/>
    <w:rsid w:val="00966571"/>
    <w:rsid w:val="00967722"/>
    <w:rsid w:val="00967DCB"/>
    <w:rsid w:val="00970A8A"/>
    <w:rsid w:val="00972DD7"/>
    <w:rsid w:val="00974EA2"/>
    <w:rsid w:val="009858F4"/>
    <w:rsid w:val="00990A8B"/>
    <w:rsid w:val="009918E6"/>
    <w:rsid w:val="00997B32"/>
    <w:rsid w:val="009A1B10"/>
    <w:rsid w:val="009A7BFF"/>
    <w:rsid w:val="009B63DB"/>
    <w:rsid w:val="009B77AD"/>
    <w:rsid w:val="009B7AD7"/>
    <w:rsid w:val="009C1702"/>
    <w:rsid w:val="009C3071"/>
    <w:rsid w:val="009C36DF"/>
    <w:rsid w:val="009C3A91"/>
    <w:rsid w:val="009D47BD"/>
    <w:rsid w:val="009D5A86"/>
    <w:rsid w:val="009D6751"/>
    <w:rsid w:val="009E1642"/>
    <w:rsid w:val="009E2521"/>
    <w:rsid w:val="009E3CDB"/>
    <w:rsid w:val="009E77F7"/>
    <w:rsid w:val="009F070B"/>
    <w:rsid w:val="009F1BA2"/>
    <w:rsid w:val="009F684B"/>
    <w:rsid w:val="00A050F1"/>
    <w:rsid w:val="00A10D10"/>
    <w:rsid w:val="00A203AF"/>
    <w:rsid w:val="00A23603"/>
    <w:rsid w:val="00A241C0"/>
    <w:rsid w:val="00A24AEC"/>
    <w:rsid w:val="00A3010D"/>
    <w:rsid w:val="00A34EB7"/>
    <w:rsid w:val="00A4593E"/>
    <w:rsid w:val="00A45EFD"/>
    <w:rsid w:val="00A46019"/>
    <w:rsid w:val="00A5148F"/>
    <w:rsid w:val="00A55952"/>
    <w:rsid w:val="00A6662C"/>
    <w:rsid w:val="00A71295"/>
    <w:rsid w:val="00A772D3"/>
    <w:rsid w:val="00A81CF7"/>
    <w:rsid w:val="00A8272D"/>
    <w:rsid w:val="00A85226"/>
    <w:rsid w:val="00A919D6"/>
    <w:rsid w:val="00AA0A25"/>
    <w:rsid w:val="00AA57D7"/>
    <w:rsid w:val="00AB52C2"/>
    <w:rsid w:val="00AC01A4"/>
    <w:rsid w:val="00AD2BC0"/>
    <w:rsid w:val="00AD39FA"/>
    <w:rsid w:val="00AE028B"/>
    <w:rsid w:val="00AE04FE"/>
    <w:rsid w:val="00AF104C"/>
    <w:rsid w:val="00AF2650"/>
    <w:rsid w:val="00AF2A03"/>
    <w:rsid w:val="00AF2AF9"/>
    <w:rsid w:val="00B01936"/>
    <w:rsid w:val="00B111D2"/>
    <w:rsid w:val="00B16D71"/>
    <w:rsid w:val="00B1710B"/>
    <w:rsid w:val="00B3075F"/>
    <w:rsid w:val="00B44C99"/>
    <w:rsid w:val="00B44EC9"/>
    <w:rsid w:val="00B54DA2"/>
    <w:rsid w:val="00B566E0"/>
    <w:rsid w:val="00B633AB"/>
    <w:rsid w:val="00B6556B"/>
    <w:rsid w:val="00B67C4B"/>
    <w:rsid w:val="00B71530"/>
    <w:rsid w:val="00B71D0E"/>
    <w:rsid w:val="00B7214D"/>
    <w:rsid w:val="00B80647"/>
    <w:rsid w:val="00B82691"/>
    <w:rsid w:val="00B915D4"/>
    <w:rsid w:val="00B91625"/>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0AE4"/>
    <w:rsid w:val="00C66E1F"/>
    <w:rsid w:val="00C73630"/>
    <w:rsid w:val="00C760C4"/>
    <w:rsid w:val="00C81A53"/>
    <w:rsid w:val="00C8654A"/>
    <w:rsid w:val="00C86A61"/>
    <w:rsid w:val="00CA3A97"/>
    <w:rsid w:val="00CA64AC"/>
    <w:rsid w:val="00CB2356"/>
    <w:rsid w:val="00CB37E4"/>
    <w:rsid w:val="00CB6B3B"/>
    <w:rsid w:val="00CC2226"/>
    <w:rsid w:val="00CC51B9"/>
    <w:rsid w:val="00CC552A"/>
    <w:rsid w:val="00CC57A0"/>
    <w:rsid w:val="00CD186A"/>
    <w:rsid w:val="00CD745F"/>
    <w:rsid w:val="00CE09E1"/>
    <w:rsid w:val="00CE7093"/>
    <w:rsid w:val="00CF4F6C"/>
    <w:rsid w:val="00CF7529"/>
    <w:rsid w:val="00D06D32"/>
    <w:rsid w:val="00D14841"/>
    <w:rsid w:val="00D15F32"/>
    <w:rsid w:val="00D20665"/>
    <w:rsid w:val="00D22F8E"/>
    <w:rsid w:val="00D30022"/>
    <w:rsid w:val="00D30109"/>
    <w:rsid w:val="00D31C28"/>
    <w:rsid w:val="00D3717E"/>
    <w:rsid w:val="00D44370"/>
    <w:rsid w:val="00D5047C"/>
    <w:rsid w:val="00D50CF6"/>
    <w:rsid w:val="00D54DCB"/>
    <w:rsid w:val="00D563A5"/>
    <w:rsid w:val="00D63E70"/>
    <w:rsid w:val="00D72A39"/>
    <w:rsid w:val="00D7435B"/>
    <w:rsid w:val="00D74850"/>
    <w:rsid w:val="00D831EE"/>
    <w:rsid w:val="00D859CC"/>
    <w:rsid w:val="00D902FA"/>
    <w:rsid w:val="00D907C3"/>
    <w:rsid w:val="00DA41A3"/>
    <w:rsid w:val="00DB13C3"/>
    <w:rsid w:val="00DB7D89"/>
    <w:rsid w:val="00DC0041"/>
    <w:rsid w:val="00DC46EC"/>
    <w:rsid w:val="00DC6E07"/>
    <w:rsid w:val="00DD0655"/>
    <w:rsid w:val="00DD2D61"/>
    <w:rsid w:val="00DD3F9C"/>
    <w:rsid w:val="00DD5DF9"/>
    <w:rsid w:val="00DD76CB"/>
    <w:rsid w:val="00DE442D"/>
    <w:rsid w:val="00DF2FE5"/>
    <w:rsid w:val="00E0076E"/>
    <w:rsid w:val="00E0301C"/>
    <w:rsid w:val="00E07438"/>
    <w:rsid w:val="00E10F53"/>
    <w:rsid w:val="00E12366"/>
    <w:rsid w:val="00E162CA"/>
    <w:rsid w:val="00E1654C"/>
    <w:rsid w:val="00E16B1D"/>
    <w:rsid w:val="00E315E0"/>
    <w:rsid w:val="00E37C6D"/>
    <w:rsid w:val="00E47FC6"/>
    <w:rsid w:val="00E51166"/>
    <w:rsid w:val="00E53A12"/>
    <w:rsid w:val="00E57D1F"/>
    <w:rsid w:val="00E61170"/>
    <w:rsid w:val="00E61ADC"/>
    <w:rsid w:val="00E70135"/>
    <w:rsid w:val="00E70D98"/>
    <w:rsid w:val="00E856AB"/>
    <w:rsid w:val="00E90A3F"/>
    <w:rsid w:val="00E95266"/>
    <w:rsid w:val="00E977C4"/>
    <w:rsid w:val="00EB421A"/>
    <w:rsid w:val="00EC2E4E"/>
    <w:rsid w:val="00EC4E9E"/>
    <w:rsid w:val="00ED5608"/>
    <w:rsid w:val="00EE47DB"/>
    <w:rsid w:val="00EE5C03"/>
    <w:rsid w:val="00EE6AA5"/>
    <w:rsid w:val="00EE7315"/>
    <w:rsid w:val="00EF0DA4"/>
    <w:rsid w:val="00F005A4"/>
    <w:rsid w:val="00F01283"/>
    <w:rsid w:val="00F07D8C"/>
    <w:rsid w:val="00F1263F"/>
    <w:rsid w:val="00F1491F"/>
    <w:rsid w:val="00F15E48"/>
    <w:rsid w:val="00F17D1C"/>
    <w:rsid w:val="00F2477F"/>
    <w:rsid w:val="00F24E24"/>
    <w:rsid w:val="00F272A5"/>
    <w:rsid w:val="00F335B4"/>
    <w:rsid w:val="00F33A0F"/>
    <w:rsid w:val="00F400B5"/>
    <w:rsid w:val="00F40F2D"/>
    <w:rsid w:val="00F50F61"/>
    <w:rsid w:val="00F5700D"/>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E699C"/>
    <w:rsid w:val="00FF21CE"/>
    <w:rsid w:val="00FF3D73"/>
    <w:rsid w:val="00FF705B"/>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932BD"/>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4</Pages>
  <Words>1178</Words>
  <Characters>6719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salesforceId:a64e933d-c47c-4a24-93d6-b49da5f27abc</dc:subject>
  <dc:creator>O'Donoghue, Ruaridh</dc:creator>
  <cp:keywords/>
  <dc:description/>
  <cp:lastModifiedBy>Paul Pardoe</cp:lastModifiedBy>
  <cp:revision>80</cp:revision>
  <dcterms:created xsi:type="dcterms:W3CDTF">2026-09-28T14:22:00Z</dcterms:created>
  <dcterms:modified xsi:type="dcterms:W3CDTF">2026-10-05T15:46:00Z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069Q300000UPFKPIA5</vt:lpwstr>
  </property>
</Properties>
</file>