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5B478" w14:textId="4565DEAF" w:rsidR="00C0706D" w:rsidRPr="00291F87" w:rsidRDefault="0053782C" w:rsidP="0053782C">
      <w:pPr>
        <w:spacing w:after="0"/>
        <w:rPr>
          <w:b/>
          <w:bCs/>
          <w:sz w:val="22"/>
          <w:szCs w:val="22"/>
        </w:rPr>
      </w:pPr>
      <w:r w:rsidRPr="00291F87">
        <w:rPr>
          <w:b/>
          <w:bCs/>
          <w:sz w:val="22"/>
          <w:szCs w:val="22"/>
        </w:rPr>
        <w:t>Public Art comments:</w:t>
      </w:r>
      <w:r w:rsidR="00C0706D" w:rsidRPr="00291F87">
        <w:rPr>
          <w:b/>
          <w:bCs/>
          <w:sz w:val="22"/>
          <w:szCs w:val="22"/>
        </w:rPr>
        <w:t xml:space="preserve"> </w:t>
      </w:r>
      <w:r w:rsidR="00C0706D" w:rsidRPr="00291F87">
        <w:rPr>
          <w:b/>
          <w:bCs/>
          <w:sz w:val="22"/>
          <w:szCs w:val="22"/>
        </w:rPr>
        <w:t>PL/2026/04685</w:t>
      </w:r>
      <w:r w:rsidR="00D64C9F" w:rsidRPr="00291F87">
        <w:rPr>
          <w:b/>
          <w:bCs/>
          <w:sz w:val="22"/>
          <w:szCs w:val="22"/>
        </w:rPr>
        <w:t xml:space="preserve"> - </w:t>
      </w:r>
      <w:r w:rsidR="00D64C9F" w:rsidRPr="00291F87">
        <w:rPr>
          <w:b/>
          <w:bCs/>
          <w:sz w:val="22"/>
          <w:szCs w:val="22"/>
        </w:rPr>
        <w:t>Hawke Ridge Business Park, Westbury, BS13 4LD</w:t>
      </w:r>
    </w:p>
    <w:p w14:paraId="0B88F9E6" w14:textId="2D4F7238" w:rsidR="0053782C" w:rsidRDefault="00D64C9F" w:rsidP="0053782C">
      <w:pPr>
        <w:spacing w:after="0"/>
        <w:rPr>
          <w:sz w:val="22"/>
          <w:szCs w:val="22"/>
        </w:rPr>
      </w:pPr>
      <w:r w:rsidRPr="00291F87">
        <w:rPr>
          <w:sz w:val="22"/>
          <w:szCs w:val="22"/>
        </w:rPr>
        <w:t>Erection of: (</w:t>
      </w:r>
      <w:proofErr w:type="spellStart"/>
      <w:r w:rsidRPr="00291F87">
        <w:rPr>
          <w:sz w:val="22"/>
          <w:szCs w:val="22"/>
        </w:rPr>
        <w:t>i</w:t>
      </w:r>
      <w:proofErr w:type="spellEnd"/>
      <w:r w:rsidRPr="00291F87">
        <w:rPr>
          <w:sz w:val="22"/>
          <w:szCs w:val="22"/>
        </w:rPr>
        <w:t>) 1 No. retail convenience store (Class E), 3 No. flexible retail units (Class E), and roadside drive through unit (sui generis); (ii) a 64-bed care home (Class C2); and (iii) 249 No. residential dwellings (Class C3) with associated access, green and blue infrastructure works.</w:t>
      </w:r>
    </w:p>
    <w:p w14:paraId="24FE586A" w14:textId="77777777" w:rsidR="00014D1E" w:rsidRDefault="00014D1E" w:rsidP="0053782C">
      <w:pPr>
        <w:spacing w:after="0"/>
        <w:rPr>
          <w:sz w:val="22"/>
          <w:szCs w:val="22"/>
        </w:rPr>
      </w:pPr>
    </w:p>
    <w:p w14:paraId="2F96F49D" w14:textId="468B7FD8" w:rsidR="00014D1E" w:rsidRPr="00291F87" w:rsidRDefault="00014D1E" w:rsidP="0053782C">
      <w:pPr>
        <w:spacing w:after="0"/>
        <w:rPr>
          <w:sz w:val="22"/>
          <w:szCs w:val="22"/>
        </w:rPr>
      </w:pPr>
      <w:r w:rsidRPr="004D0E8F">
        <w:rPr>
          <w:b/>
          <w:bCs/>
          <w:sz w:val="22"/>
          <w:szCs w:val="22"/>
        </w:rPr>
        <w:t>Applicant</w:t>
      </w:r>
      <w:r w:rsidR="004D0E8F">
        <w:rPr>
          <w:b/>
          <w:bCs/>
          <w:sz w:val="22"/>
          <w:szCs w:val="22"/>
        </w:rPr>
        <w:t>/Developer</w:t>
      </w:r>
      <w:r w:rsidRPr="004D0E8F">
        <w:rPr>
          <w:b/>
          <w:bCs/>
          <w:sz w:val="22"/>
          <w:szCs w:val="22"/>
        </w:rPr>
        <w:t>:</w:t>
      </w:r>
      <w:r>
        <w:rPr>
          <w:sz w:val="22"/>
          <w:szCs w:val="22"/>
        </w:rPr>
        <w:t xml:space="preserve"> </w:t>
      </w:r>
      <w:r w:rsidRPr="00014D1E">
        <w:rPr>
          <w:sz w:val="22"/>
          <w:szCs w:val="22"/>
        </w:rPr>
        <w:t>Hawke Ridge Business Park Ltd and Bellway Homes Ltd</w:t>
      </w:r>
    </w:p>
    <w:p w14:paraId="35F458F6" w14:textId="77777777" w:rsidR="00D64C9F" w:rsidRPr="00291F87" w:rsidRDefault="00D64C9F" w:rsidP="0053782C">
      <w:pPr>
        <w:spacing w:after="0"/>
        <w:rPr>
          <w:sz w:val="22"/>
          <w:szCs w:val="22"/>
        </w:rPr>
      </w:pPr>
    </w:p>
    <w:p w14:paraId="57C0DA21" w14:textId="00CC5463" w:rsidR="0090522F" w:rsidRPr="00291F87" w:rsidRDefault="000F3B33" w:rsidP="0053782C">
      <w:pPr>
        <w:spacing w:after="0"/>
        <w:rPr>
          <w:b/>
          <w:bCs/>
          <w:sz w:val="22"/>
          <w:szCs w:val="22"/>
        </w:rPr>
      </w:pPr>
      <w:r>
        <w:rPr>
          <w:b/>
          <w:bCs/>
          <w:sz w:val="22"/>
          <w:szCs w:val="22"/>
        </w:rPr>
        <w:t>Background and c</w:t>
      </w:r>
      <w:r w:rsidR="0053782C" w:rsidRPr="00291F87">
        <w:rPr>
          <w:b/>
          <w:bCs/>
          <w:sz w:val="22"/>
          <w:szCs w:val="22"/>
        </w:rPr>
        <w:t>ontext</w:t>
      </w:r>
    </w:p>
    <w:p w14:paraId="632C16CB" w14:textId="78CC4978" w:rsidR="009E729B" w:rsidRPr="00291F87" w:rsidRDefault="009E729B" w:rsidP="0053782C">
      <w:pPr>
        <w:spacing w:after="0"/>
        <w:rPr>
          <w:sz w:val="22"/>
          <w:szCs w:val="22"/>
        </w:rPr>
      </w:pPr>
      <w:r w:rsidRPr="00291F87">
        <w:rPr>
          <w:sz w:val="22"/>
          <w:szCs w:val="22"/>
        </w:rPr>
        <w:t xml:space="preserve">Heywood </w:t>
      </w:r>
      <w:r w:rsidR="00C62894" w:rsidRPr="00291F87">
        <w:rPr>
          <w:sz w:val="22"/>
          <w:szCs w:val="22"/>
        </w:rPr>
        <w:t xml:space="preserve">is a </w:t>
      </w:r>
      <w:r w:rsidR="00AC1EA5" w:rsidRPr="00291F87">
        <w:rPr>
          <w:sz w:val="22"/>
          <w:szCs w:val="22"/>
        </w:rPr>
        <w:t>civil</w:t>
      </w:r>
      <w:r w:rsidR="00037F5D" w:rsidRPr="00291F87">
        <w:rPr>
          <w:sz w:val="22"/>
          <w:szCs w:val="22"/>
        </w:rPr>
        <w:t xml:space="preserve"> parish </w:t>
      </w:r>
      <w:r w:rsidR="00AC1EA5" w:rsidRPr="00291F87">
        <w:rPr>
          <w:sz w:val="22"/>
          <w:szCs w:val="22"/>
        </w:rPr>
        <w:t xml:space="preserve">and small village </w:t>
      </w:r>
      <w:r w:rsidR="00F40105" w:rsidRPr="00291F87">
        <w:rPr>
          <w:sz w:val="22"/>
          <w:szCs w:val="22"/>
        </w:rPr>
        <w:t xml:space="preserve">lying </w:t>
      </w:r>
      <w:r w:rsidR="00C77B36">
        <w:rPr>
          <w:sz w:val="22"/>
          <w:szCs w:val="22"/>
        </w:rPr>
        <w:t xml:space="preserve">to the </w:t>
      </w:r>
      <w:r w:rsidR="006C149D" w:rsidRPr="00291F87">
        <w:rPr>
          <w:sz w:val="22"/>
          <w:szCs w:val="22"/>
        </w:rPr>
        <w:t>nor</w:t>
      </w:r>
      <w:r w:rsidR="00F40105" w:rsidRPr="00291F87">
        <w:rPr>
          <w:sz w:val="22"/>
          <w:szCs w:val="22"/>
        </w:rPr>
        <w:t>th</w:t>
      </w:r>
      <w:r w:rsidR="006C149D" w:rsidRPr="00291F87">
        <w:rPr>
          <w:sz w:val="22"/>
          <w:szCs w:val="22"/>
        </w:rPr>
        <w:t xml:space="preserve"> of Westbury</w:t>
      </w:r>
      <w:r w:rsidR="00FD7742" w:rsidRPr="00291F87">
        <w:rPr>
          <w:sz w:val="22"/>
          <w:szCs w:val="22"/>
        </w:rPr>
        <w:t xml:space="preserve">. </w:t>
      </w:r>
      <w:r w:rsidR="007D61DA" w:rsidRPr="00291F87">
        <w:rPr>
          <w:sz w:val="22"/>
          <w:szCs w:val="22"/>
        </w:rPr>
        <w:t xml:space="preserve">The village has approximately 200 inhabitants. </w:t>
      </w:r>
      <w:r w:rsidR="0046604F" w:rsidRPr="00291F87">
        <w:rPr>
          <w:sz w:val="22"/>
          <w:szCs w:val="22"/>
        </w:rPr>
        <w:t xml:space="preserve">The parish also includes the hamlets of </w:t>
      </w:r>
      <w:proofErr w:type="spellStart"/>
      <w:r w:rsidR="0046604F" w:rsidRPr="00291F87">
        <w:rPr>
          <w:sz w:val="22"/>
          <w:szCs w:val="22"/>
        </w:rPr>
        <w:t>Hawkeridge</w:t>
      </w:r>
      <w:proofErr w:type="spellEnd"/>
      <w:r w:rsidR="0046604F" w:rsidRPr="00291F87">
        <w:rPr>
          <w:sz w:val="22"/>
          <w:szCs w:val="22"/>
        </w:rPr>
        <w:t xml:space="preserve"> and </w:t>
      </w:r>
      <w:proofErr w:type="spellStart"/>
      <w:r w:rsidR="0046604F" w:rsidRPr="00291F87">
        <w:rPr>
          <w:sz w:val="22"/>
          <w:szCs w:val="22"/>
        </w:rPr>
        <w:t>Norleaze</w:t>
      </w:r>
      <w:proofErr w:type="spellEnd"/>
      <w:r w:rsidR="000457FB" w:rsidRPr="00291F87">
        <w:rPr>
          <w:sz w:val="22"/>
          <w:szCs w:val="22"/>
        </w:rPr>
        <w:t xml:space="preserve">. </w:t>
      </w:r>
      <w:r w:rsidR="000457FB" w:rsidRPr="00291F87">
        <w:rPr>
          <w:sz w:val="22"/>
          <w:szCs w:val="22"/>
        </w:rPr>
        <w:t>A number of historic buildings survive in the parish</w:t>
      </w:r>
      <w:r w:rsidR="00785123" w:rsidRPr="00291F87">
        <w:rPr>
          <w:sz w:val="22"/>
          <w:szCs w:val="22"/>
        </w:rPr>
        <w:t>,</w:t>
      </w:r>
      <w:r w:rsidR="007F4D6F" w:rsidRPr="00291F87">
        <w:rPr>
          <w:sz w:val="22"/>
          <w:szCs w:val="22"/>
        </w:rPr>
        <w:t xml:space="preserve"> including </w:t>
      </w:r>
      <w:r w:rsidR="007F4D6F" w:rsidRPr="00291F87">
        <w:rPr>
          <w:sz w:val="22"/>
          <w:szCs w:val="22"/>
        </w:rPr>
        <w:t>Brook Hall</w:t>
      </w:r>
      <w:r w:rsidR="00785123" w:rsidRPr="00291F87">
        <w:rPr>
          <w:sz w:val="22"/>
          <w:szCs w:val="22"/>
        </w:rPr>
        <w:t xml:space="preserve">, a </w:t>
      </w:r>
      <w:r w:rsidR="00BC2A40" w:rsidRPr="00291F87">
        <w:rPr>
          <w:sz w:val="22"/>
          <w:szCs w:val="22"/>
        </w:rPr>
        <w:t xml:space="preserve">c.1600 </w:t>
      </w:r>
      <w:r w:rsidR="00762D1A" w:rsidRPr="00291F87">
        <w:rPr>
          <w:sz w:val="22"/>
          <w:szCs w:val="22"/>
        </w:rPr>
        <w:t>f</w:t>
      </w:r>
      <w:r w:rsidR="00BC2A40" w:rsidRPr="00291F87">
        <w:rPr>
          <w:sz w:val="22"/>
          <w:szCs w:val="22"/>
        </w:rPr>
        <w:t>armhouse which incorporates a Grade I listed wing of a 15</w:t>
      </w:r>
      <w:r w:rsidR="00BC2A40" w:rsidRPr="00291F87">
        <w:rPr>
          <w:sz w:val="22"/>
          <w:szCs w:val="22"/>
          <w:vertAlign w:val="superscript"/>
        </w:rPr>
        <w:t>th</w:t>
      </w:r>
      <w:r w:rsidR="00BC2A40" w:rsidRPr="00291F87">
        <w:rPr>
          <w:sz w:val="22"/>
          <w:szCs w:val="22"/>
        </w:rPr>
        <w:t xml:space="preserve"> century manor house</w:t>
      </w:r>
      <w:r w:rsidR="00EC2514">
        <w:rPr>
          <w:sz w:val="22"/>
          <w:szCs w:val="22"/>
        </w:rPr>
        <w:t>,</w:t>
      </w:r>
      <w:r w:rsidR="00D64138" w:rsidRPr="00291F87">
        <w:rPr>
          <w:sz w:val="22"/>
          <w:szCs w:val="22"/>
        </w:rPr>
        <w:t xml:space="preserve"> and</w:t>
      </w:r>
      <w:r w:rsidR="006E1781">
        <w:rPr>
          <w:sz w:val="22"/>
          <w:szCs w:val="22"/>
        </w:rPr>
        <w:t xml:space="preserve"> the</w:t>
      </w:r>
      <w:r w:rsidR="00D64138" w:rsidRPr="00291F87">
        <w:rPr>
          <w:sz w:val="22"/>
          <w:szCs w:val="22"/>
        </w:rPr>
        <w:t xml:space="preserve"> Grade II listed </w:t>
      </w:r>
      <w:r w:rsidR="00762D1A" w:rsidRPr="00291F87">
        <w:rPr>
          <w:sz w:val="22"/>
          <w:szCs w:val="22"/>
        </w:rPr>
        <w:t xml:space="preserve">Heywood House built </w:t>
      </w:r>
      <w:r w:rsidR="00A658CC" w:rsidRPr="00291F87">
        <w:rPr>
          <w:sz w:val="22"/>
          <w:szCs w:val="22"/>
        </w:rPr>
        <w:t>in Jacobean style</w:t>
      </w:r>
      <w:r w:rsidR="00D64138" w:rsidRPr="00291F87">
        <w:rPr>
          <w:sz w:val="22"/>
          <w:szCs w:val="22"/>
        </w:rPr>
        <w:t xml:space="preserve"> </w:t>
      </w:r>
      <w:r w:rsidR="00D64138" w:rsidRPr="00291F87">
        <w:rPr>
          <w:sz w:val="22"/>
          <w:szCs w:val="22"/>
        </w:rPr>
        <w:t>in 1839</w:t>
      </w:r>
      <w:r w:rsidR="00D64138" w:rsidRPr="00291F87">
        <w:rPr>
          <w:sz w:val="22"/>
          <w:szCs w:val="22"/>
        </w:rPr>
        <w:t>.</w:t>
      </w:r>
      <w:r w:rsidR="00C60CA6" w:rsidRPr="00291F87">
        <w:rPr>
          <w:sz w:val="22"/>
          <w:szCs w:val="22"/>
        </w:rPr>
        <w:t xml:space="preserve"> </w:t>
      </w:r>
    </w:p>
    <w:p w14:paraId="7DB3F13E" w14:textId="77777777" w:rsidR="00703123" w:rsidRDefault="00703123" w:rsidP="0053782C">
      <w:pPr>
        <w:spacing w:after="0"/>
      </w:pPr>
    </w:p>
    <w:p w14:paraId="19F47D98" w14:textId="48FCF67B" w:rsidR="00703123" w:rsidRPr="00703123" w:rsidRDefault="00703123" w:rsidP="0053782C">
      <w:pPr>
        <w:spacing w:after="0"/>
        <w:rPr>
          <w:sz w:val="20"/>
          <w:szCs w:val="20"/>
        </w:rPr>
      </w:pPr>
      <w:r>
        <w:rPr>
          <w:sz w:val="20"/>
          <w:szCs w:val="20"/>
        </w:rPr>
        <w:t>Map showing outline</w:t>
      </w:r>
      <w:r w:rsidRPr="00703123">
        <w:rPr>
          <w:sz w:val="20"/>
          <w:szCs w:val="20"/>
        </w:rPr>
        <w:t xml:space="preserve"> of parish boundary</w:t>
      </w:r>
    </w:p>
    <w:p w14:paraId="055D9D2A" w14:textId="3A70A133" w:rsidR="009E729B" w:rsidRDefault="00A06448" w:rsidP="0053782C">
      <w:pPr>
        <w:spacing w:after="0"/>
        <w:rPr>
          <w:color w:val="000000" w:themeColor="text1"/>
          <w:highlight w:val="yellow"/>
        </w:rPr>
      </w:pPr>
      <w:r>
        <w:rPr>
          <w:noProof/>
          <w:color w:val="000000" w:themeColor="text1"/>
          <w:highlight w:val="yellow"/>
        </w:rPr>
        <w:drawing>
          <wp:inline distT="0" distB="0" distL="0" distR="0" wp14:anchorId="340028BF" wp14:editId="0D237F29">
            <wp:extent cx="2551743" cy="2962656"/>
            <wp:effectExtent l="0" t="0" r="1270" b="9525"/>
            <wp:docPr id="17586839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68895" cy="2982571"/>
                    </a:xfrm>
                    <a:prstGeom prst="rect">
                      <a:avLst/>
                    </a:prstGeom>
                    <a:noFill/>
                    <a:ln>
                      <a:noFill/>
                    </a:ln>
                  </pic:spPr>
                </pic:pic>
              </a:graphicData>
            </a:graphic>
          </wp:inline>
        </w:drawing>
      </w:r>
    </w:p>
    <w:p w14:paraId="463A51AB" w14:textId="0E34B6C0" w:rsidR="00100F0D" w:rsidRDefault="00100F0D" w:rsidP="0053782C">
      <w:pPr>
        <w:spacing w:after="0"/>
        <w:rPr>
          <w:color w:val="000000" w:themeColor="text1"/>
          <w:highlight w:val="yellow"/>
        </w:rPr>
      </w:pPr>
    </w:p>
    <w:p w14:paraId="116755F6" w14:textId="713223EC" w:rsidR="009239D6" w:rsidRPr="00F45E7A" w:rsidRDefault="00F45E7A" w:rsidP="0053782C">
      <w:pPr>
        <w:spacing w:after="0"/>
        <w:rPr>
          <w:sz w:val="20"/>
          <w:szCs w:val="20"/>
        </w:rPr>
      </w:pPr>
      <w:r>
        <w:rPr>
          <w:sz w:val="20"/>
          <w:szCs w:val="20"/>
        </w:rPr>
        <w:t>Outline of p</w:t>
      </w:r>
      <w:r w:rsidR="00C60CA6" w:rsidRPr="00F45E7A">
        <w:rPr>
          <w:sz w:val="20"/>
          <w:szCs w:val="20"/>
        </w:rPr>
        <w:t>ro</w:t>
      </w:r>
      <w:r w:rsidR="00C60CA6" w:rsidRPr="00F45E7A">
        <w:rPr>
          <w:sz w:val="20"/>
          <w:szCs w:val="20"/>
        </w:rPr>
        <w:t>posed site</w:t>
      </w:r>
    </w:p>
    <w:p w14:paraId="4212B3B7" w14:textId="2B5B6B6E" w:rsidR="00C60CA6" w:rsidRDefault="001715AA" w:rsidP="0053782C">
      <w:pPr>
        <w:spacing w:after="0"/>
      </w:pPr>
      <w:r>
        <w:rPr>
          <w:b/>
          <w:bCs/>
          <w:noProof/>
          <w:sz w:val="22"/>
          <w:szCs w:val="22"/>
        </w:rPr>
        <w:drawing>
          <wp:inline distT="0" distB="0" distL="0" distR="0" wp14:anchorId="1B004D2B" wp14:editId="69A3A246">
            <wp:extent cx="3793033" cy="2216506"/>
            <wp:effectExtent l="0" t="0" r="0" b="0"/>
            <wp:docPr id="10607929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6519" cy="2230230"/>
                    </a:xfrm>
                    <a:prstGeom prst="rect">
                      <a:avLst/>
                    </a:prstGeom>
                    <a:noFill/>
                    <a:ln>
                      <a:noFill/>
                    </a:ln>
                  </pic:spPr>
                </pic:pic>
              </a:graphicData>
            </a:graphic>
          </wp:inline>
        </w:drawing>
      </w:r>
    </w:p>
    <w:p w14:paraId="2AB0EDC4" w14:textId="77777777" w:rsidR="00F45E7A" w:rsidRDefault="00F45E7A" w:rsidP="0053782C">
      <w:pPr>
        <w:spacing w:after="0"/>
      </w:pPr>
    </w:p>
    <w:p w14:paraId="5D78BECC" w14:textId="122845F3" w:rsidR="00F859B2" w:rsidRPr="006E1781" w:rsidRDefault="000F3B33" w:rsidP="0082586B">
      <w:pPr>
        <w:spacing w:after="0"/>
        <w:rPr>
          <w:sz w:val="22"/>
          <w:szCs w:val="22"/>
        </w:rPr>
      </w:pPr>
      <w:r w:rsidRPr="006E1781">
        <w:rPr>
          <w:sz w:val="22"/>
          <w:szCs w:val="22"/>
        </w:rPr>
        <w:t xml:space="preserve">Within the context of </w:t>
      </w:r>
      <w:r w:rsidR="001175D6" w:rsidRPr="006E1781">
        <w:rPr>
          <w:sz w:val="22"/>
          <w:szCs w:val="22"/>
        </w:rPr>
        <w:t xml:space="preserve">the </w:t>
      </w:r>
      <w:r w:rsidR="00FD057F" w:rsidRPr="006E1781">
        <w:rPr>
          <w:sz w:val="22"/>
          <w:szCs w:val="22"/>
        </w:rPr>
        <w:t xml:space="preserve">parish of </w:t>
      </w:r>
      <w:r w:rsidR="00587D46" w:rsidRPr="006E1781">
        <w:rPr>
          <w:sz w:val="22"/>
          <w:szCs w:val="22"/>
        </w:rPr>
        <w:t>Heywood, t</w:t>
      </w:r>
      <w:r w:rsidR="00F45E7A" w:rsidRPr="006E1781">
        <w:rPr>
          <w:sz w:val="22"/>
          <w:szCs w:val="22"/>
        </w:rPr>
        <w:t>he propose</w:t>
      </w:r>
      <w:r w:rsidR="00B81C0D" w:rsidRPr="006E1781">
        <w:rPr>
          <w:sz w:val="22"/>
          <w:szCs w:val="22"/>
        </w:rPr>
        <w:t xml:space="preserve">d application </w:t>
      </w:r>
      <w:r w:rsidR="00695957" w:rsidRPr="006E1781">
        <w:rPr>
          <w:sz w:val="22"/>
          <w:szCs w:val="22"/>
        </w:rPr>
        <w:t>of</w:t>
      </w:r>
      <w:r w:rsidR="00F45E7A" w:rsidRPr="006E1781">
        <w:rPr>
          <w:sz w:val="22"/>
          <w:szCs w:val="22"/>
        </w:rPr>
        <w:t xml:space="preserve"> </w:t>
      </w:r>
      <w:r w:rsidR="0009454D" w:rsidRPr="006E1781">
        <w:rPr>
          <w:sz w:val="22"/>
          <w:szCs w:val="22"/>
        </w:rPr>
        <w:t xml:space="preserve">249 residential dwellings, </w:t>
      </w:r>
      <w:r w:rsidR="00A874D5" w:rsidRPr="006E1781">
        <w:rPr>
          <w:sz w:val="22"/>
          <w:szCs w:val="22"/>
        </w:rPr>
        <w:t>a 64-bed care home</w:t>
      </w:r>
      <w:r w:rsidR="0082586B" w:rsidRPr="006E1781">
        <w:rPr>
          <w:sz w:val="22"/>
          <w:szCs w:val="22"/>
        </w:rPr>
        <w:t>,</w:t>
      </w:r>
      <w:r w:rsidR="00A874D5" w:rsidRPr="006E1781">
        <w:rPr>
          <w:sz w:val="22"/>
          <w:szCs w:val="22"/>
        </w:rPr>
        <w:t xml:space="preserve"> </w:t>
      </w:r>
      <w:r w:rsidR="00695957" w:rsidRPr="006E1781">
        <w:rPr>
          <w:sz w:val="22"/>
          <w:szCs w:val="22"/>
        </w:rPr>
        <w:t xml:space="preserve">various retail units </w:t>
      </w:r>
      <w:r w:rsidR="0082586B" w:rsidRPr="006E1781">
        <w:rPr>
          <w:sz w:val="22"/>
          <w:szCs w:val="22"/>
        </w:rPr>
        <w:t>and</w:t>
      </w:r>
      <w:r w:rsidR="00CB2217" w:rsidRPr="006E1781">
        <w:rPr>
          <w:sz w:val="22"/>
          <w:szCs w:val="22"/>
        </w:rPr>
        <w:t xml:space="preserve"> a </w:t>
      </w:r>
      <w:r w:rsidR="00695957" w:rsidRPr="006E1781">
        <w:rPr>
          <w:sz w:val="22"/>
          <w:szCs w:val="22"/>
        </w:rPr>
        <w:t>roadside drive throug</w:t>
      </w:r>
      <w:r w:rsidR="003849E9" w:rsidRPr="006E1781">
        <w:rPr>
          <w:sz w:val="22"/>
          <w:szCs w:val="22"/>
        </w:rPr>
        <w:t xml:space="preserve">h constitutes, relatively speaking, a disproportionate amount of development. </w:t>
      </w:r>
      <w:r w:rsidR="00F859B2" w:rsidRPr="006E1781">
        <w:rPr>
          <w:sz w:val="22"/>
          <w:szCs w:val="22"/>
        </w:rPr>
        <w:t>Developments of this size can disrupt the established character, identity, and social balance of small rural settlements.</w:t>
      </w:r>
    </w:p>
    <w:p w14:paraId="2A083D09" w14:textId="77777777" w:rsidR="0082586B" w:rsidRPr="006E1781" w:rsidRDefault="0082586B" w:rsidP="0082586B">
      <w:pPr>
        <w:spacing w:after="0"/>
        <w:rPr>
          <w:sz w:val="22"/>
          <w:szCs w:val="22"/>
        </w:rPr>
      </w:pPr>
    </w:p>
    <w:p w14:paraId="3976F8D3" w14:textId="037738CF" w:rsidR="0082586B" w:rsidRPr="006E1781" w:rsidRDefault="00206013" w:rsidP="0082586B">
      <w:pPr>
        <w:rPr>
          <w:sz w:val="22"/>
          <w:szCs w:val="22"/>
        </w:rPr>
      </w:pPr>
      <w:r w:rsidRPr="006E1781">
        <w:rPr>
          <w:sz w:val="22"/>
          <w:szCs w:val="22"/>
        </w:rPr>
        <w:lastRenderedPageBreak/>
        <w:t xml:space="preserve">In the context of </w:t>
      </w:r>
      <w:r w:rsidR="0058697F">
        <w:rPr>
          <w:sz w:val="22"/>
          <w:szCs w:val="22"/>
        </w:rPr>
        <w:t xml:space="preserve">a </w:t>
      </w:r>
      <w:r w:rsidRPr="006E1781">
        <w:rPr>
          <w:sz w:val="22"/>
          <w:szCs w:val="22"/>
        </w:rPr>
        <w:t>large amount of development, the provision of public art is justified as a proportionate and necessary measure to mitigate its impact and support successful integration.</w:t>
      </w:r>
    </w:p>
    <w:p w14:paraId="1FB30757" w14:textId="5DBD9E02" w:rsidR="0082586B" w:rsidRPr="006E1781" w:rsidRDefault="0082586B" w:rsidP="0082586B">
      <w:pPr>
        <w:rPr>
          <w:sz w:val="22"/>
          <w:szCs w:val="22"/>
        </w:rPr>
      </w:pPr>
      <w:r w:rsidRPr="006E1781">
        <w:rPr>
          <w:color w:val="000000" w:themeColor="text1"/>
          <w:sz w:val="22"/>
          <w:szCs w:val="22"/>
        </w:rPr>
        <w:t>W</w:t>
      </w:r>
      <w:r w:rsidRPr="006E1781">
        <w:rPr>
          <w:color w:val="000000" w:themeColor="text1"/>
          <w:sz w:val="22"/>
          <w:szCs w:val="22"/>
        </w:rPr>
        <w:t xml:space="preserve">e would </w:t>
      </w:r>
      <w:r w:rsidR="0058697F">
        <w:rPr>
          <w:color w:val="000000" w:themeColor="text1"/>
          <w:sz w:val="22"/>
          <w:szCs w:val="22"/>
        </w:rPr>
        <w:t xml:space="preserve">therefore </w:t>
      </w:r>
      <w:r w:rsidRPr="006E1781">
        <w:rPr>
          <w:color w:val="000000" w:themeColor="text1"/>
          <w:sz w:val="22"/>
          <w:szCs w:val="22"/>
        </w:rPr>
        <w:t xml:space="preserve">seek a public art contribution to </w:t>
      </w:r>
      <w:r w:rsidR="00653424" w:rsidRPr="006E1781">
        <w:rPr>
          <w:color w:val="000000" w:themeColor="text1"/>
          <w:sz w:val="22"/>
          <w:szCs w:val="22"/>
        </w:rPr>
        <w:t xml:space="preserve">integrate the development, </w:t>
      </w:r>
      <w:r w:rsidRPr="006E1781">
        <w:rPr>
          <w:color w:val="000000" w:themeColor="text1"/>
          <w:sz w:val="22"/>
          <w:szCs w:val="22"/>
        </w:rPr>
        <w:t xml:space="preserve">create </w:t>
      </w:r>
      <w:r w:rsidR="00653424" w:rsidRPr="006E1781">
        <w:rPr>
          <w:color w:val="000000" w:themeColor="text1"/>
          <w:sz w:val="22"/>
          <w:szCs w:val="22"/>
        </w:rPr>
        <w:t xml:space="preserve">a </w:t>
      </w:r>
      <w:r w:rsidRPr="006E1781">
        <w:rPr>
          <w:color w:val="000000" w:themeColor="text1"/>
          <w:sz w:val="22"/>
          <w:szCs w:val="22"/>
        </w:rPr>
        <w:t xml:space="preserve">linking identity </w:t>
      </w:r>
      <w:r w:rsidR="00984F13" w:rsidRPr="006E1781">
        <w:rPr>
          <w:color w:val="000000" w:themeColor="text1"/>
          <w:sz w:val="22"/>
          <w:szCs w:val="22"/>
        </w:rPr>
        <w:t xml:space="preserve">with </w:t>
      </w:r>
      <w:r w:rsidR="00653424" w:rsidRPr="006E1781">
        <w:rPr>
          <w:color w:val="000000" w:themeColor="text1"/>
          <w:sz w:val="22"/>
          <w:szCs w:val="22"/>
        </w:rPr>
        <w:t>Heywood</w:t>
      </w:r>
      <w:r w:rsidR="00653424" w:rsidRPr="006E1781">
        <w:rPr>
          <w:color w:val="000000" w:themeColor="text1"/>
          <w:sz w:val="22"/>
          <w:szCs w:val="22"/>
        </w:rPr>
        <w:t xml:space="preserve"> and </w:t>
      </w:r>
      <w:r w:rsidR="00984F13" w:rsidRPr="006E1781">
        <w:rPr>
          <w:color w:val="000000" w:themeColor="text1"/>
          <w:sz w:val="22"/>
          <w:szCs w:val="22"/>
        </w:rPr>
        <w:t xml:space="preserve">the </w:t>
      </w:r>
      <w:r w:rsidR="00653424" w:rsidRPr="006E1781">
        <w:rPr>
          <w:color w:val="000000" w:themeColor="text1"/>
          <w:sz w:val="22"/>
          <w:szCs w:val="22"/>
        </w:rPr>
        <w:t xml:space="preserve">hamlets </w:t>
      </w:r>
      <w:r w:rsidR="00984F13" w:rsidRPr="006E1781">
        <w:rPr>
          <w:color w:val="000000" w:themeColor="text1"/>
          <w:sz w:val="22"/>
          <w:szCs w:val="22"/>
        </w:rPr>
        <w:t xml:space="preserve">of </w:t>
      </w:r>
      <w:proofErr w:type="spellStart"/>
      <w:r w:rsidR="00984F13" w:rsidRPr="006E1781">
        <w:rPr>
          <w:color w:val="000000" w:themeColor="text1"/>
          <w:sz w:val="22"/>
          <w:szCs w:val="22"/>
        </w:rPr>
        <w:t>Hawk</w:t>
      </w:r>
      <w:r w:rsidR="00653424" w:rsidRPr="006E1781">
        <w:rPr>
          <w:color w:val="000000" w:themeColor="text1"/>
          <w:sz w:val="22"/>
          <w:szCs w:val="22"/>
        </w:rPr>
        <w:t>e</w:t>
      </w:r>
      <w:r w:rsidR="00984F13" w:rsidRPr="006E1781">
        <w:rPr>
          <w:color w:val="000000" w:themeColor="text1"/>
          <w:sz w:val="22"/>
          <w:szCs w:val="22"/>
        </w:rPr>
        <w:t>ridge</w:t>
      </w:r>
      <w:proofErr w:type="spellEnd"/>
      <w:r w:rsidR="00653424" w:rsidRPr="006E1781">
        <w:rPr>
          <w:color w:val="000000" w:themeColor="text1"/>
          <w:sz w:val="22"/>
          <w:szCs w:val="22"/>
        </w:rPr>
        <w:t xml:space="preserve"> and</w:t>
      </w:r>
      <w:r w:rsidR="00984F13" w:rsidRPr="006E1781">
        <w:rPr>
          <w:color w:val="000000" w:themeColor="text1"/>
          <w:sz w:val="22"/>
          <w:szCs w:val="22"/>
        </w:rPr>
        <w:t xml:space="preserve"> </w:t>
      </w:r>
      <w:proofErr w:type="spellStart"/>
      <w:r w:rsidR="00984F13" w:rsidRPr="006E1781">
        <w:rPr>
          <w:color w:val="000000" w:themeColor="text1"/>
          <w:sz w:val="22"/>
          <w:szCs w:val="22"/>
        </w:rPr>
        <w:t>Norleaze</w:t>
      </w:r>
      <w:proofErr w:type="spellEnd"/>
      <w:r w:rsidR="00653424" w:rsidRPr="006E1781">
        <w:rPr>
          <w:color w:val="000000" w:themeColor="text1"/>
          <w:sz w:val="22"/>
          <w:szCs w:val="22"/>
        </w:rPr>
        <w:t>,</w:t>
      </w:r>
      <w:r w:rsidR="0047248D" w:rsidRPr="006E1781">
        <w:rPr>
          <w:color w:val="000000" w:themeColor="text1"/>
          <w:sz w:val="22"/>
          <w:szCs w:val="22"/>
        </w:rPr>
        <w:t xml:space="preserve"> and to</w:t>
      </w:r>
      <w:r w:rsidRPr="006E1781">
        <w:rPr>
          <w:color w:val="000000" w:themeColor="text1"/>
          <w:sz w:val="22"/>
          <w:szCs w:val="22"/>
        </w:rPr>
        <w:t xml:space="preserve"> address identity merge with </w:t>
      </w:r>
      <w:r w:rsidR="0047248D" w:rsidRPr="006E1781">
        <w:rPr>
          <w:color w:val="000000" w:themeColor="text1"/>
          <w:sz w:val="22"/>
          <w:szCs w:val="22"/>
        </w:rPr>
        <w:t>The Hams in Westbury.</w:t>
      </w:r>
      <w:r w:rsidR="00653424" w:rsidRPr="006E1781">
        <w:rPr>
          <w:color w:val="000000" w:themeColor="text1"/>
          <w:sz w:val="22"/>
          <w:szCs w:val="22"/>
        </w:rPr>
        <w:t xml:space="preserve">  </w:t>
      </w:r>
    </w:p>
    <w:p w14:paraId="6080F564" w14:textId="77777777" w:rsidR="0058697F" w:rsidRDefault="00FD057F" w:rsidP="0053782C">
      <w:pPr>
        <w:spacing w:after="0"/>
        <w:rPr>
          <w:sz w:val="22"/>
          <w:szCs w:val="22"/>
        </w:rPr>
      </w:pPr>
      <w:r w:rsidRPr="006E1781">
        <w:rPr>
          <w:sz w:val="22"/>
          <w:szCs w:val="22"/>
        </w:rPr>
        <w:t xml:space="preserve">I note </w:t>
      </w:r>
      <w:r w:rsidR="005659B8" w:rsidRPr="006E1781">
        <w:rPr>
          <w:sz w:val="22"/>
          <w:szCs w:val="22"/>
        </w:rPr>
        <w:t>comments from Heywood Parish Council</w:t>
      </w:r>
      <w:r w:rsidR="00054BB2" w:rsidRPr="006E1781">
        <w:rPr>
          <w:sz w:val="22"/>
          <w:szCs w:val="22"/>
        </w:rPr>
        <w:t xml:space="preserve"> on 21/09/2026</w:t>
      </w:r>
      <w:r w:rsidR="00E65F6F" w:rsidRPr="006E1781">
        <w:rPr>
          <w:sz w:val="22"/>
          <w:szCs w:val="22"/>
        </w:rPr>
        <w:t>, that state</w:t>
      </w:r>
      <w:r w:rsidR="005659B8" w:rsidRPr="006E1781">
        <w:rPr>
          <w:sz w:val="22"/>
          <w:szCs w:val="22"/>
        </w:rPr>
        <w:t xml:space="preserve"> </w:t>
      </w:r>
      <w:r w:rsidR="00B40F3F" w:rsidRPr="006E1781">
        <w:rPr>
          <w:sz w:val="22"/>
          <w:szCs w:val="22"/>
        </w:rPr>
        <w:t xml:space="preserve">the Parish Council </w:t>
      </w:r>
      <w:r w:rsidR="00E65F6F" w:rsidRPr="006E1781">
        <w:rPr>
          <w:sz w:val="22"/>
          <w:szCs w:val="22"/>
        </w:rPr>
        <w:t xml:space="preserve">resolved to </w:t>
      </w:r>
      <w:r w:rsidR="00B40F3F" w:rsidRPr="006E1781">
        <w:rPr>
          <w:sz w:val="22"/>
          <w:szCs w:val="22"/>
        </w:rPr>
        <w:t>object to the application</w:t>
      </w:r>
      <w:r w:rsidR="00617F66" w:rsidRPr="006E1781">
        <w:rPr>
          <w:sz w:val="22"/>
          <w:szCs w:val="22"/>
        </w:rPr>
        <w:t>.</w:t>
      </w:r>
      <w:r w:rsidR="00B40F3F" w:rsidRPr="006E1781">
        <w:rPr>
          <w:sz w:val="22"/>
          <w:szCs w:val="22"/>
        </w:rPr>
        <w:t xml:space="preserve"> </w:t>
      </w:r>
    </w:p>
    <w:p w14:paraId="5EE6B252" w14:textId="77777777" w:rsidR="0058697F" w:rsidRDefault="0058697F" w:rsidP="0053782C">
      <w:pPr>
        <w:spacing w:after="0"/>
        <w:rPr>
          <w:sz w:val="22"/>
          <w:szCs w:val="22"/>
        </w:rPr>
      </w:pPr>
    </w:p>
    <w:p w14:paraId="6ACD62AF" w14:textId="5CB687C3" w:rsidR="00096604" w:rsidRPr="006E1781" w:rsidRDefault="00BE7FD5" w:rsidP="0053782C">
      <w:pPr>
        <w:spacing w:after="0"/>
        <w:rPr>
          <w:sz w:val="22"/>
          <w:szCs w:val="22"/>
        </w:rPr>
      </w:pPr>
      <w:r w:rsidRPr="006E1781">
        <w:rPr>
          <w:color w:val="000000" w:themeColor="text1"/>
          <w:sz w:val="22"/>
          <w:szCs w:val="22"/>
        </w:rPr>
        <w:t xml:space="preserve">A scheme to integrate the proposed development </w:t>
      </w:r>
      <w:r w:rsidR="0082586B" w:rsidRPr="006E1781">
        <w:rPr>
          <w:color w:val="000000" w:themeColor="text1"/>
          <w:sz w:val="22"/>
          <w:szCs w:val="22"/>
        </w:rPr>
        <w:t>into the parish would</w:t>
      </w:r>
      <w:r w:rsidRPr="006E1781">
        <w:rPr>
          <w:color w:val="000000" w:themeColor="text1"/>
          <w:sz w:val="22"/>
          <w:szCs w:val="22"/>
        </w:rPr>
        <w:t xml:space="preserve"> support place-shaping, village identity, community cohesion, and enabl</w:t>
      </w:r>
      <w:r w:rsidR="0082586B" w:rsidRPr="006E1781">
        <w:rPr>
          <w:color w:val="000000" w:themeColor="text1"/>
          <w:sz w:val="22"/>
          <w:szCs w:val="22"/>
        </w:rPr>
        <w:t>e a</w:t>
      </w:r>
      <w:r w:rsidRPr="006E1781">
        <w:rPr>
          <w:color w:val="000000" w:themeColor="text1"/>
          <w:sz w:val="22"/>
          <w:szCs w:val="22"/>
        </w:rPr>
        <w:t xml:space="preserve"> scheme that is accessible to existing </w:t>
      </w:r>
      <w:r w:rsidR="0058697F">
        <w:rPr>
          <w:color w:val="000000" w:themeColor="text1"/>
          <w:sz w:val="22"/>
          <w:szCs w:val="22"/>
        </w:rPr>
        <w:t xml:space="preserve">members of the parish </w:t>
      </w:r>
      <w:r w:rsidRPr="006E1781">
        <w:rPr>
          <w:color w:val="000000" w:themeColor="text1"/>
          <w:sz w:val="22"/>
          <w:szCs w:val="22"/>
        </w:rPr>
        <w:t>a</w:t>
      </w:r>
      <w:r w:rsidR="00AD31FE">
        <w:rPr>
          <w:color w:val="000000" w:themeColor="text1"/>
          <w:sz w:val="22"/>
          <w:szCs w:val="22"/>
        </w:rPr>
        <w:t xml:space="preserve">s well as </w:t>
      </w:r>
      <w:r w:rsidRPr="006E1781">
        <w:rPr>
          <w:color w:val="000000" w:themeColor="text1"/>
          <w:sz w:val="22"/>
          <w:szCs w:val="22"/>
        </w:rPr>
        <w:t>new residents</w:t>
      </w:r>
      <w:r w:rsidR="00AD31FE">
        <w:rPr>
          <w:color w:val="000000" w:themeColor="text1"/>
          <w:sz w:val="22"/>
          <w:szCs w:val="22"/>
        </w:rPr>
        <w:t>.</w:t>
      </w:r>
    </w:p>
    <w:p w14:paraId="7035101E" w14:textId="77777777" w:rsidR="0053782C" w:rsidRPr="006E1781" w:rsidRDefault="0053782C" w:rsidP="0053782C">
      <w:pPr>
        <w:spacing w:after="0"/>
        <w:rPr>
          <w:b/>
          <w:bCs/>
          <w:sz w:val="22"/>
          <w:szCs w:val="22"/>
        </w:rPr>
      </w:pPr>
    </w:p>
    <w:p w14:paraId="220D976E" w14:textId="5D80F69A" w:rsidR="0053782C" w:rsidRPr="006E1781" w:rsidRDefault="0053782C" w:rsidP="0053782C">
      <w:pPr>
        <w:spacing w:after="0"/>
        <w:rPr>
          <w:b/>
          <w:bCs/>
          <w:sz w:val="22"/>
          <w:szCs w:val="22"/>
        </w:rPr>
      </w:pPr>
      <w:r w:rsidRPr="006E1781">
        <w:rPr>
          <w:b/>
          <w:bCs/>
          <w:sz w:val="22"/>
          <w:szCs w:val="22"/>
        </w:rPr>
        <w:t>Rationale</w:t>
      </w:r>
    </w:p>
    <w:p w14:paraId="3816A1BB" w14:textId="77777777" w:rsidR="0053782C" w:rsidRPr="006E1781" w:rsidRDefault="0053782C" w:rsidP="0053782C">
      <w:pPr>
        <w:rPr>
          <w:sz w:val="22"/>
          <w:szCs w:val="22"/>
        </w:rPr>
      </w:pPr>
      <w:r w:rsidRPr="006E1781">
        <w:rPr>
          <w:sz w:val="22"/>
          <w:szCs w:val="22"/>
        </w:rPr>
        <w:t xml:space="preserve">The provision of public art is justified as a proportionate and necessary measure to both mitigate the impact of development, and support its successful integration. </w:t>
      </w:r>
    </w:p>
    <w:p w14:paraId="57475CFF" w14:textId="77777777" w:rsidR="0053782C" w:rsidRPr="006E1781" w:rsidRDefault="0053782C" w:rsidP="0053782C">
      <w:pPr>
        <w:rPr>
          <w:sz w:val="22"/>
          <w:szCs w:val="22"/>
        </w:rPr>
      </w:pPr>
      <w:r w:rsidRPr="006E1781">
        <w:rPr>
          <w:sz w:val="22"/>
          <w:szCs w:val="22"/>
        </w:rPr>
        <w:t xml:space="preserve">Public art provides a means of embedding locally responsive elements that can reflect the area’s history, culture and environment, helping development to feel assimilated rather than imposed. </w:t>
      </w:r>
    </w:p>
    <w:p w14:paraId="67C78936" w14:textId="77777777" w:rsidR="0053782C" w:rsidRPr="006E1781" w:rsidRDefault="0053782C" w:rsidP="0053782C">
      <w:pPr>
        <w:rPr>
          <w:sz w:val="22"/>
          <w:szCs w:val="22"/>
        </w:rPr>
      </w:pPr>
      <w:r w:rsidRPr="006E1781">
        <w:rPr>
          <w:sz w:val="22"/>
          <w:szCs w:val="22"/>
        </w:rPr>
        <w:t xml:space="preserve">Our guidance on public art was adopted by Cabinet in 2024, and the Council is able to demonstrate a robust methodology benchmarked against several other authorities.  There is an identified specific site-based requirement as a result of this development, and we can point to several appeals where public art contributions have been found compliant and secured. </w:t>
      </w:r>
    </w:p>
    <w:p w14:paraId="3A565FA6" w14:textId="153C493C" w:rsidR="0053782C" w:rsidRPr="006E1781" w:rsidRDefault="0053782C" w:rsidP="0053782C">
      <w:pPr>
        <w:rPr>
          <w:sz w:val="22"/>
          <w:szCs w:val="22"/>
        </w:rPr>
      </w:pPr>
      <w:r w:rsidRPr="006E1781">
        <w:rPr>
          <w:sz w:val="22"/>
          <w:szCs w:val="22"/>
        </w:rPr>
        <w:t>You will also note the recent Secretary of State decision - dated 28 July 2026 - re: PL/2024/07097 - Land South of Snarlton Farm, Snarlton Lane, Melksham, SN12 7QP - APP/Y3940/W/25/3373278, which agrees with the submitted CIL compliance statement which makes reference to the public art contribution (as does the agreed S106):</w:t>
      </w:r>
    </w:p>
    <w:p w14:paraId="12C0B5B7" w14:textId="0D90B6F7" w:rsidR="0053782C" w:rsidRPr="006E1781" w:rsidRDefault="0053782C" w:rsidP="0053782C">
      <w:pPr>
        <w:spacing w:after="0"/>
        <w:rPr>
          <w:sz w:val="22"/>
          <w:szCs w:val="22"/>
        </w:rPr>
      </w:pPr>
      <w:r w:rsidRPr="006E1781">
        <w:rPr>
          <w:noProof/>
          <w:sz w:val="22"/>
          <w:szCs w:val="22"/>
        </w:rPr>
        <w:drawing>
          <wp:inline distT="0" distB="0" distL="0" distR="0" wp14:anchorId="03C7E41F" wp14:editId="20DF8B8D">
            <wp:extent cx="5398617" cy="1303011"/>
            <wp:effectExtent l="0" t="0" r="0" b="0"/>
            <wp:docPr id="152710767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09556" cy="1305651"/>
                    </a:xfrm>
                    <a:prstGeom prst="rect">
                      <a:avLst/>
                    </a:prstGeom>
                    <a:noFill/>
                    <a:ln>
                      <a:noFill/>
                    </a:ln>
                  </pic:spPr>
                </pic:pic>
              </a:graphicData>
            </a:graphic>
          </wp:inline>
        </w:drawing>
      </w:r>
    </w:p>
    <w:p w14:paraId="27D659C9" w14:textId="468CE38C" w:rsidR="0053782C" w:rsidRPr="006E1781" w:rsidRDefault="0053782C" w:rsidP="0053782C">
      <w:pPr>
        <w:spacing w:after="0"/>
        <w:rPr>
          <w:sz w:val="22"/>
          <w:szCs w:val="22"/>
        </w:rPr>
      </w:pPr>
      <w:r w:rsidRPr="006E1781">
        <w:rPr>
          <w:sz w:val="22"/>
          <w:szCs w:val="22"/>
        </w:rPr>
        <w:t xml:space="preserve">Public Art contributions provide a policy compliant mechanism that will help mitigate the impact of this development – </w:t>
      </w:r>
      <w:r w:rsidR="00221939">
        <w:rPr>
          <w:sz w:val="22"/>
          <w:szCs w:val="22"/>
        </w:rPr>
        <w:t>address identity merge with Westbury</w:t>
      </w:r>
      <w:r w:rsidRPr="006E1781">
        <w:rPr>
          <w:sz w:val="22"/>
          <w:szCs w:val="22"/>
        </w:rPr>
        <w:t xml:space="preserve"> – while also assisting integration with existing and incoming communities.</w:t>
      </w:r>
    </w:p>
    <w:p w14:paraId="7EF44A15" w14:textId="77777777" w:rsidR="0053782C" w:rsidRPr="006E1781" w:rsidRDefault="0053782C" w:rsidP="0053782C">
      <w:pPr>
        <w:spacing w:after="0"/>
        <w:rPr>
          <w:sz w:val="22"/>
          <w:szCs w:val="22"/>
        </w:rPr>
      </w:pPr>
    </w:p>
    <w:p w14:paraId="13A20C02" w14:textId="1D8F5CEC" w:rsidR="0053782C" w:rsidRPr="006E1781" w:rsidRDefault="0053782C" w:rsidP="0053782C">
      <w:pPr>
        <w:spacing w:after="0"/>
        <w:rPr>
          <w:sz w:val="22"/>
          <w:szCs w:val="22"/>
        </w:rPr>
      </w:pPr>
      <w:r w:rsidRPr="006E1781">
        <w:rPr>
          <w:sz w:val="22"/>
          <w:szCs w:val="22"/>
        </w:rPr>
        <w:t xml:space="preserve">This is essential in the context of </w:t>
      </w:r>
      <w:r w:rsidR="00221939">
        <w:rPr>
          <w:sz w:val="22"/>
          <w:szCs w:val="22"/>
        </w:rPr>
        <w:t xml:space="preserve">the parish of </w:t>
      </w:r>
      <w:r w:rsidR="00B80633" w:rsidRPr="006E1781">
        <w:rPr>
          <w:sz w:val="22"/>
          <w:szCs w:val="22"/>
        </w:rPr>
        <w:t xml:space="preserve">Heywood </w:t>
      </w:r>
      <w:r w:rsidRPr="006E1781">
        <w:rPr>
          <w:sz w:val="22"/>
          <w:szCs w:val="22"/>
        </w:rPr>
        <w:t xml:space="preserve">to create a sense of place and so as not to undermine community cohesion with regards to WCS </w:t>
      </w:r>
      <w:r w:rsidR="00AB3F6C" w:rsidRPr="006E1781">
        <w:rPr>
          <w:sz w:val="22"/>
          <w:szCs w:val="22"/>
        </w:rPr>
        <w:t xml:space="preserve">CP3, WCS </w:t>
      </w:r>
      <w:r w:rsidRPr="006E1781">
        <w:rPr>
          <w:sz w:val="22"/>
          <w:szCs w:val="22"/>
        </w:rPr>
        <w:t>CP57 and NPPF</w:t>
      </w:r>
      <w:r w:rsidR="00076E9A" w:rsidRPr="006E1781">
        <w:rPr>
          <w:sz w:val="22"/>
          <w:szCs w:val="22"/>
        </w:rPr>
        <w:t>.</w:t>
      </w:r>
    </w:p>
    <w:p w14:paraId="0DF2BBB7" w14:textId="77777777" w:rsidR="00AB3F6C" w:rsidRPr="006E1781" w:rsidRDefault="00AB3F6C" w:rsidP="0053782C">
      <w:pPr>
        <w:spacing w:after="0"/>
        <w:rPr>
          <w:sz w:val="22"/>
          <w:szCs w:val="22"/>
        </w:rPr>
      </w:pPr>
    </w:p>
    <w:p w14:paraId="18B0037B" w14:textId="45AED9A8" w:rsidR="00AB3F6C" w:rsidRDefault="00AB3F6C" w:rsidP="00AB3F6C">
      <w:pPr>
        <w:spacing w:after="0"/>
        <w:rPr>
          <w:b/>
          <w:bCs/>
          <w:sz w:val="22"/>
          <w:szCs w:val="22"/>
        </w:rPr>
      </w:pPr>
      <w:r w:rsidRPr="00CB4C59">
        <w:rPr>
          <w:b/>
          <w:bCs/>
          <w:sz w:val="22"/>
          <w:szCs w:val="22"/>
        </w:rPr>
        <w:t>Potential locations</w:t>
      </w:r>
    </w:p>
    <w:p w14:paraId="189963B3" w14:textId="605CA336" w:rsidR="004D16A6" w:rsidRPr="00B53E3B" w:rsidRDefault="00CF4D68" w:rsidP="008568C8">
      <w:pPr>
        <w:rPr>
          <w:noProof/>
          <w:sz w:val="22"/>
          <w:szCs w:val="22"/>
        </w:rPr>
      </w:pPr>
      <w:r w:rsidRPr="00B53E3B">
        <w:rPr>
          <w:color w:val="000000" w:themeColor="text1"/>
          <w:sz w:val="22"/>
          <w:szCs w:val="22"/>
        </w:rPr>
        <w:t xml:space="preserve">There </w:t>
      </w:r>
      <w:r w:rsidR="00B53E3B">
        <w:rPr>
          <w:color w:val="000000" w:themeColor="text1"/>
          <w:sz w:val="22"/>
          <w:szCs w:val="22"/>
        </w:rPr>
        <w:t>are</w:t>
      </w:r>
      <w:r w:rsidR="00862F2C" w:rsidRPr="00B53E3B">
        <w:rPr>
          <w:color w:val="000000" w:themeColor="text1"/>
          <w:sz w:val="22"/>
          <w:szCs w:val="22"/>
        </w:rPr>
        <w:t xml:space="preserve"> </w:t>
      </w:r>
      <w:r w:rsidRPr="00B53E3B">
        <w:rPr>
          <w:color w:val="000000" w:themeColor="text1"/>
          <w:sz w:val="22"/>
          <w:szCs w:val="22"/>
        </w:rPr>
        <w:t>s</w:t>
      </w:r>
      <w:r w:rsidR="004D16A6" w:rsidRPr="00B53E3B">
        <w:rPr>
          <w:color w:val="000000" w:themeColor="text1"/>
          <w:sz w:val="22"/>
          <w:szCs w:val="22"/>
        </w:rPr>
        <w:t xml:space="preserve">everal </w:t>
      </w:r>
      <w:r w:rsidR="00862F2C" w:rsidRPr="00B53E3B">
        <w:rPr>
          <w:color w:val="000000" w:themeColor="text1"/>
          <w:sz w:val="22"/>
          <w:szCs w:val="22"/>
        </w:rPr>
        <w:t xml:space="preserve">suitable </w:t>
      </w:r>
      <w:r w:rsidR="004D16A6" w:rsidRPr="00B53E3B">
        <w:rPr>
          <w:color w:val="000000" w:themeColor="text1"/>
          <w:sz w:val="22"/>
          <w:szCs w:val="22"/>
        </w:rPr>
        <w:t>locations for a public art scheme (TB</w:t>
      </w:r>
      <w:r w:rsidRPr="00B53E3B">
        <w:rPr>
          <w:color w:val="000000" w:themeColor="text1"/>
          <w:sz w:val="22"/>
          <w:szCs w:val="22"/>
        </w:rPr>
        <w:t>D)</w:t>
      </w:r>
      <w:r w:rsidR="00862F2C" w:rsidRPr="00B53E3B">
        <w:rPr>
          <w:color w:val="000000" w:themeColor="text1"/>
          <w:sz w:val="22"/>
          <w:szCs w:val="22"/>
        </w:rPr>
        <w:t xml:space="preserve">, </w:t>
      </w:r>
      <w:r w:rsidR="00B53E3B">
        <w:rPr>
          <w:color w:val="000000" w:themeColor="text1"/>
          <w:sz w:val="22"/>
          <w:szCs w:val="22"/>
        </w:rPr>
        <w:t xml:space="preserve">especially </w:t>
      </w:r>
      <w:r w:rsidR="00631F5E" w:rsidRPr="00B53E3B">
        <w:rPr>
          <w:noProof/>
          <w:sz w:val="22"/>
          <w:szCs w:val="22"/>
        </w:rPr>
        <w:t xml:space="preserve">at strategic points </w:t>
      </w:r>
      <w:r w:rsidR="00BB5584">
        <w:rPr>
          <w:noProof/>
          <w:sz w:val="22"/>
          <w:szCs w:val="22"/>
        </w:rPr>
        <w:t xml:space="preserve">(marked by yellow dots) </w:t>
      </w:r>
      <w:r w:rsidR="00631F5E" w:rsidRPr="00B53E3B">
        <w:rPr>
          <w:noProof/>
          <w:sz w:val="22"/>
          <w:szCs w:val="22"/>
        </w:rPr>
        <w:t>connecting to a RoW</w:t>
      </w:r>
      <w:r w:rsidR="00631F5E" w:rsidRPr="00B53E3B">
        <w:rPr>
          <w:noProof/>
          <w:sz w:val="22"/>
          <w:szCs w:val="22"/>
        </w:rPr>
        <w:t xml:space="preserve"> </w:t>
      </w:r>
      <w:r w:rsidR="00B53E3B">
        <w:rPr>
          <w:noProof/>
          <w:sz w:val="22"/>
          <w:szCs w:val="22"/>
        </w:rPr>
        <w:t xml:space="preserve">that </w:t>
      </w:r>
      <w:r w:rsidR="00631F5E" w:rsidRPr="00B53E3B">
        <w:rPr>
          <w:noProof/>
          <w:sz w:val="22"/>
          <w:szCs w:val="22"/>
        </w:rPr>
        <w:t>link</w:t>
      </w:r>
      <w:r w:rsidR="00B53E3B">
        <w:rPr>
          <w:noProof/>
          <w:sz w:val="22"/>
          <w:szCs w:val="22"/>
        </w:rPr>
        <w:t xml:space="preserve">s </w:t>
      </w:r>
      <w:r w:rsidR="00631F5E" w:rsidRPr="00B53E3B">
        <w:rPr>
          <w:noProof/>
          <w:sz w:val="22"/>
          <w:szCs w:val="22"/>
        </w:rPr>
        <w:t xml:space="preserve">to </w:t>
      </w:r>
      <w:r w:rsidR="00B53E3B">
        <w:rPr>
          <w:noProof/>
          <w:sz w:val="22"/>
          <w:szCs w:val="22"/>
        </w:rPr>
        <w:t xml:space="preserve">Heywood </w:t>
      </w:r>
      <w:r w:rsidR="00631F5E" w:rsidRPr="00B53E3B">
        <w:rPr>
          <w:noProof/>
          <w:sz w:val="22"/>
          <w:szCs w:val="22"/>
        </w:rPr>
        <w:t>village</w:t>
      </w:r>
      <w:r w:rsidR="00B53E3B">
        <w:rPr>
          <w:noProof/>
          <w:sz w:val="22"/>
          <w:szCs w:val="22"/>
        </w:rPr>
        <w:t xml:space="preserve"> (</w:t>
      </w:r>
      <w:r w:rsidR="008568C8">
        <w:rPr>
          <w:noProof/>
          <w:sz w:val="22"/>
          <w:szCs w:val="22"/>
        </w:rPr>
        <w:t xml:space="preserve">with access to </w:t>
      </w:r>
      <w:r w:rsidR="008568C8" w:rsidRPr="008568C8">
        <w:rPr>
          <w:noProof/>
          <w:sz w:val="22"/>
          <w:szCs w:val="22"/>
        </w:rPr>
        <w:t>Heywood and Hawkeridge Village Hall</w:t>
      </w:r>
      <w:r w:rsidR="008568C8">
        <w:rPr>
          <w:noProof/>
          <w:sz w:val="22"/>
          <w:szCs w:val="22"/>
        </w:rPr>
        <w:t xml:space="preserve">) and </w:t>
      </w:r>
      <w:r w:rsidR="00B53E3B">
        <w:rPr>
          <w:noProof/>
          <w:sz w:val="22"/>
          <w:szCs w:val="22"/>
        </w:rPr>
        <w:t xml:space="preserve">the </w:t>
      </w:r>
      <w:r w:rsidR="00631F5E" w:rsidRPr="00B53E3B">
        <w:rPr>
          <w:noProof/>
          <w:sz w:val="22"/>
          <w:szCs w:val="22"/>
        </w:rPr>
        <w:t>hamlets</w:t>
      </w:r>
      <w:r w:rsidR="00B53E3B">
        <w:rPr>
          <w:noProof/>
          <w:sz w:val="22"/>
          <w:szCs w:val="22"/>
        </w:rPr>
        <w:t xml:space="preserve"> of Norleaze</w:t>
      </w:r>
      <w:r w:rsidR="008568C8">
        <w:rPr>
          <w:noProof/>
          <w:sz w:val="22"/>
          <w:szCs w:val="22"/>
        </w:rPr>
        <w:t>,</w:t>
      </w:r>
      <w:r w:rsidR="00B53E3B">
        <w:rPr>
          <w:noProof/>
          <w:sz w:val="22"/>
          <w:szCs w:val="22"/>
        </w:rPr>
        <w:t xml:space="preserve"> and Hawkeridge</w:t>
      </w:r>
      <w:r w:rsidR="00631F5E" w:rsidRPr="00B53E3B">
        <w:rPr>
          <w:noProof/>
          <w:sz w:val="22"/>
          <w:szCs w:val="22"/>
        </w:rPr>
        <w:t xml:space="preserve"> (which has a public house)</w:t>
      </w:r>
      <w:r w:rsidR="00A42214" w:rsidRPr="00B53E3B">
        <w:rPr>
          <w:noProof/>
          <w:sz w:val="22"/>
          <w:szCs w:val="22"/>
        </w:rPr>
        <w:t>.</w:t>
      </w:r>
    </w:p>
    <w:p w14:paraId="455B7502" w14:textId="156F4398" w:rsidR="00A42214" w:rsidRPr="00B53E3B" w:rsidRDefault="00A42214" w:rsidP="00A42214">
      <w:pPr>
        <w:spacing w:after="0"/>
        <w:rPr>
          <w:noProof/>
          <w:sz w:val="22"/>
          <w:szCs w:val="22"/>
        </w:rPr>
      </w:pPr>
      <w:r w:rsidRPr="00B53E3B">
        <w:rPr>
          <w:noProof/>
          <w:sz w:val="22"/>
          <w:szCs w:val="22"/>
        </w:rPr>
        <w:t xml:space="preserve">Locations that connect </w:t>
      </w:r>
      <w:r w:rsidR="00CA269A">
        <w:rPr>
          <w:noProof/>
          <w:sz w:val="22"/>
          <w:szCs w:val="22"/>
        </w:rPr>
        <w:t xml:space="preserve">to </w:t>
      </w:r>
      <w:r w:rsidRPr="00B53E3B">
        <w:rPr>
          <w:noProof/>
          <w:sz w:val="22"/>
          <w:szCs w:val="22"/>
        </w:rPr>
        <w:t>- or are visible by - existing communities or other developments can further assist with intergration, cohesion and place-shaping, while enabling a scheme that is accessible to as many residents as possible.</w:t>
      </w:r>
    </w:p>
    <w:p w14:paraId="4E23B3D7" w14:textId="77777777" w:rsidR="00116D5B" w:rsidRDefault="00116D5B" w:rsidP="00AB3F6C">
      <w:pPr>
        <w:spacing w:after="0"/>
        <w:rPr>
          <w:b/>
          <w:bCs/>
          <w:sz w:val="22"/>
          <w:szCs w:val="22"/>
        </w:rPr>
      </w:pPr>
    </w:p>
    <w:p w14:paraId="6E72A001" w14:textId="1D919BB4" w:rsidR="00116D5B" w:rsidRDefault="00DF5E5B" w:rsidP="00AB3F6C">
      <w:pPr>
        <w:spacing w:after="0"/>
        <w:rPr>
          <w:b/>
          <w:bCs/>
          <w:sz w:val="22"/>
          <w:szCs w:val="22"/>
        </w:rPr>
      </w:pPr>
      <w:r>
        <w:rPr>
          <w:b/>
          <w:bCs/>
          <w:noProof/>
          <w:sz w:val="22"/>
          <w:szCs w:val="22"/>
        </w:rPr>
        <w:drawing>
          <wp:inline distT="0" distB="0" distL="0" distR="0" wp14:anchorId="1226D1B5" wp14:editId="6E205682">
            <wp:extent cx="3784842" cy="4118458"/>
            <wp:effectExtent l="0" t="0" r="6350" b="0"/>
            <wp:docPr id="1010338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01594" cy="4136686"/>
                    </a:xfrm>
                    <a:prstGeom prst="rect">
                      <a:avLst/>
                    </a:prstGeom>
                    <a:noFill/>
                    <a:ln>
                      <a:noFill/>
                    </a:ln>
                  </pic:spPr>
                </pic:pic>
              </a:graphicData>
            </a:graphic>
          </wp:inline>
        </w:drawing>
      </w:r>
    </w:p>
    <w:p w14:paraId="4BFB81A6" w14:textId="77777777" w:rsidR="00A83F75" w:rsidRPr="006E1781" w:rsidRDefault="00A83F75" w:rsidP="00A83F75">
      <w:pPr>
        <w:spacing w:after="0"/>
        <w:rPr>
          <w:color w:val="FF0000"/>
          <w:sz w:val="22"/>
          <w:szCs w:val="22"/>
        </w:rPr>
      </w:pPr>
    </w:p>
    <w:p w14:paraId="5052CAEE" w14:textId="22F49BE3" w:rsidR="00BB5584" w:rsidRPr="00B53E3B" w:rsidRDefault="00BB5584" w:rsidP="00BB5584">
      <w:pPr>
        <w:spacing w:after="0"/>
        <w:rPr>
          <w:noProof/>
          <w:sz w:val="22"/>
          <w:szCs w:val="22"/>
        </w:rPr>
      </w:pPr>
      <w:r w:rsidRPr="00B53E3B">
        <w:rPr>
          <w:sz w:val="22"/>
          <w:szCs w:val="22"/>
        </w:rPr>
        <w:t xml:space="preserve">This approach would </w:t>
      </w:r>
      <w:r>
        <w:rPr>
          <w:sz w:val="22"/>
          <w:szCs w:val="22"/>
        </w:rPr>
        <w:t xml:space="preserve">also </w:t>
      </w:r>
      <w:r w:rsidRPr="00B53E3B">
        <w:rPr>
          <w:sz w:val="22"/>
          <w:szCs w:val="22"/>
        </w:rPr>
        <w:t>align with Bellway’s internal-facing Placemaking Policy (June 2026) and the</w:t>
      </w:r>
      <w:r>
        <w:rPr>
          <w:sz w:val="22"/>
          <w:szCs w:val="22"/>
        </w:rPr>
        <w:t xml:space="preserve">ir </w:t>
      </w:r>
      <w:r w:rsidRPr="00B53E3B">
        <w:rPr>
          <w:sz w:val="22"/>
          <w:szCs w:val="22"/>
        </w:rPr>
        <w:t xml:space="preserve">objective relating to creating “…environments that foster a sense of community and belonging.” </w:t>
      </w:r>
    </w:p>
    <w:p w14:paraId="133FE0D5" w14:textId="77777777" w:rsidR="00BB5584" w:rsidRDefault="00BB5584" w:rsidP="00BB5584">
      <w:pPr>
        <w:spacing w:after="0"/>
        <w:rPr>
          <w:b/>
          <w:bCs/>
          <w:sz w:val="22"/>
          <w:szCs w:val="22"/>
        </w:rPr>
      </w:pPr>
    </w:p>
    <w:p w14:paraId="79335A4D" w14:textId="462F8C7D" w:rsidR="00AA2022" w:rsidRPr="006E1781" w:rsidRDefault="00A83F75" w:rsidP="00A83F75">
      <w:pPr>
        <w:spacing w:after="0"/>
        <w:rPr>
          <w:b/>
          <w:bCs/>
          <w:sz w:val="22"/>
          <w:szCs w:val="22"/>
        </w:rPr>
      </w:pPr>
      <w:r w:rsidRPr="006E1781">
        <w:rPr>
          <w:b/>
          <w:bCs/>
          <w:sz w:val="22"/>
          <w:szCs w:val="22"/>
        </w:rPr>
        <w:t xml:space="preserve">Contribution </w:t>
      </w:r>
      <w:r w:rsidR="00AA2022" w:rsidRPr="006E1781">
        <w:rPr>
          <w:b/>
          <w:bCs/>
          <w:sz w:val="22"/>
          <w:szCs w:val="22"/>
        </w:rPr>
        <w:t>threshold</w:t>
      </w:r>
    </w:p>
    <w:p w14:paraId="0FD30683" w14:textId="77777777" w:rsidR="00AA2022" w:rsidRPr="006E1781" w:rsidRDefault="00AA2022" w:rsidP="00AA2022">
      <w:pPr>
        <w:numPr>
          <w:ilvl w:val="0"/>
          <w:numId w:val="1"/>
        </w:numPr>
        <w:spacing w:after="0"/>
        <w:rPr>
          <w:sz w:val="22"/>
          <w:szCs w:val="22"/>
        </w:rPr>
      </w:pPr>
      <w:r w:rsidRPr="006E1781">
        <w:rPr>
          <w:sz w:val="22"/>
          <w:szCs w:val="22"/>
        </w:rPr>
        <w:t>Development of 50 dwellings and more</w:t>
      </w:r>
    </w:p>
    <w:p w14:paraId="2DAD78BA" w14:textId="77777777" w:rsidR="00AA2022" w:rsidRPr="006E1781" w:rsidRDefault="00AA2022" w:rsidP="00AA2022">
      <w:pPr>
        <w:numPr>
          <w:ilvl w:val="0"/>
          <w:numId w:val="1"/>
        </w:numPr>
        <w:spacing w:after="0"/>
        <w:rPr>
          <w:sz w:val="22"/>
          <w:szCs w:val="22"/>
        </w:rPr>
      </w:pPr>
      <w:r w:rsidRPr="006E1781">
        <w:rPr>
          <w:sz w:val="22"/>
          <w:szCs w:val="22"/>
        </w:rPr>
        <w:t xml:space="preserve">£300 per residential dwelling </w:t>
      </w:r>
    </w:p>
    <w:p w14:paraId="68793A6B" w14:textId="77777777" w:rsidR="00AA2022" w:rsidRPr="006E1781" w:rsidRDefault="00AA2022" w:rsidP="00A83F75">
      <w:pPr>
        <w:spacing w:after="0"/>
        <w:rPr>
          <w:b/>
          <w:bCs/>
          <w:color w:val="FF0000"/>
          <w:sz w:val="22"/>
          <w:szCs w:val="22"/>
        </w:rPr>
      </w:pPr>
    </w:p>
    <w:p w14:paraId="542F1747" w14:textId="2FEAA00C" w:rsidR="00BE5A4D" w:rsidRPr="006E1781" w:rsidRDefault="00BE5A4D" w:rsidP="00BE5A4D">
      <w:pPr>
        <w:spacing w:after="0"/>
        <w:rPr>
          <w:b/>
          <w:bCs/>
          <w:color w:val="000000" w:themeColor="text1"/>
          <w:sz w:val="22"/>
          <w:szCs w:val="22"/>
        </w:rPr>
      </w:pPr>
      <w:r w:rsidRPr="006E1781">
        <w:rPr>
          <w:b/>
          <w:bCs/>
          <w:color w:val="000000" w:themeColor="text1"/>
          <w:sz w:val="22"/>
          <w:szCs w:val="22"/>
        </w:rPr>
        <w:t xml:space="preserve">Indicative figure </w:t>
      </w:r>
    </w:p>
    <w:p w14:paraId="1110CC00" w14:textId="13BDA31A" w:rsidR="00652F88" w:rsidRDefault="00095578" w:rsidP="00BE5A4D">
      <w:pPr>
        <w:spacing w:after="0"/>
        <w:rPr>
          <w:sz w:val="22"/>
          <w:szCs w:val="22"/>
        </w:rPr>
      </w:pPr>
      <w:r w:rsidRPr="006E1781">
        <w:rPr>
          <w:sz w:val="22"/>
          <w:szCs w:val="22"/>
        </w:rPr>
        <w:t>Although there is more than one aspect of the application that</w:t>
      </w:r>
      <w:r w:rsidR="001D45E6">
        <w:rPr>
          <w:sz w:val="22"/>
          <w:szCs w:val="22"/>
        </w:rPr>
        <w:t xml:space="preserve"> could</w:t>
      </w:r>
      <w:r w:rsidRPr="006E1781">
        <w:rPr>
          <w:sz w:val="22"/>
          <w:szCs w:val="22"/>
        </w:rPr>
        <w:t xml:space="preserve"> trigger </w:t>
      </w:r>
      <w:r w:rsidR="00400A12">
        <w:rPr>
          <w:sz w:val="22"/>
          <w:szCs w:val="22"/>
        </w:rPr>
        <w:t>a Public Art Contribution, I see no</w:t>
      </w:r>
      <w:r w:rsidR="005578EE">
        <w:rPr>
          <w:sz w:val="22"/>
          <w:szCs w:val="22"/>
        </w:rPr>
        <w:t xml:space="preserve">thing to justify looking at them individually so </w:t>
      </w:r>
      <w:r w:rsidR="001D45E6">
        <w:rPr>
          <w:sz w:val="22"/>
          <w:szCs w:val="22"/>
        </w:rPr>
        <w:t>am using</w:t>
      </w:r>
      <w:r w:rsidR="00652F88">
        <w:rPr>
          <w:sz w:val="22"/>
          <w:szCs w:val="22"/>
        </w:rPr>
        <w:t xml:space="preserve"> the </w:t>
      </w:r>
      <w:r w:rsidR="001D45E6">
        <w:rPr>
          <w:sz w:val="22"/>
          <w:szCs w:val="22"/>
        </w:rPr>
        <w:t>greatest</w:t>
      </w:r>
      <w:r w:rsidR="00652F88">
        <w:rPr>
          <w:sz w:val="22"/>
          <w:szCs w:val="22"/>
        </w:rPr>
        <w:t xml:space="preserve"> development implication, which </w:t>
      </w:r>
      <w:r w:rsidR="001D45E6">
        <w:rPr>
          <w:sz w:val="22"/>
          <w:szCs w:val="22"/>
        </w:rPr>
        <w:t>are</w:t>
      </w:r>
      <w:r w:rsidR="00652F88">
        <w:rPr>
          <w:sz w:val="22"/>
          <w:szCs w:val="22"/>
        </w:rPr>
        <w:t xml:space="preserve"> the residential dwellings.</w:t>
      </w:r>
    </w:p>
    <w:p w14:paraId="518D7354" w14:textId="77777777" w:rsidR="00652F88" w:rsidRDefault="00652F88" w:rsidP="00BE5A4D">
      <w:pPr>
        <w:spacing w:after="0"/>
        <w:rPr>
          <w:sz w:val="22"/>
          <w:szCs w:val="22"/>
        </w:rPr>
      </w:pPr>
    </w:p>
    <w:p w14:paraId="2D9CD590" w14:textId="155D0B88" w:rsidR="00BE5A4D" w:rsidRPr="006E1781" w:rsidRDefault="00BE5A4D" w:rsidP="00BE5A4D">
      <w:pPr>
        <w:spacing w:after="0"/>
        <w:rPr>
          <w:sz w:val="22"/>
          <w:szCs w:val="22"/>
        </w:rPr>
      </w:pPr>
      <w:r w:rsidRPr="006E1781">
        <w:rPr>
          <w:sz w:val="22"/>
          <w:szCs w:val="22"/>
        </w:rPr>
        <w:t>Using planning obligations, the indicative public art contribution figure for a site of</w:t>
      </w:r>
      <w:r w:rsidR="001D45E6">
        <w:rPr>
          <w:sz w:val="22"/>
          <w:szCs w:val="22"/>
        </w:rPr>
        <w:t xml:space="preserve"> 249</w:t>
      </w:r>
      <w:r w:rsidRPr="006E1781">
        <w:rPr>
          <w:sz w:val="22"/>
          <w:szCs w:val="22"/>
        </w:rPr>
        <w:t xml:space="preserve"> dwellings would be £</w:t>
      </w:r>
      <w:r w:rsidR="00942F1F">
        <w:rPr>
          <w:sz w:val="22"/>
          <w:szCs w:val="22"/>
        </w:rPr>
        <w:t>74,700</w:t>
      </w:r>
      <w:r w:rsidRPr="006E1781">
        <w:rPr>
          <w:sz w:val="22"/>
          <w:szCs w:val="22"/>
        </w:rPr>
        <w:t xml:space="preserve"> (see: </w:t>
      </w:r>
      <w:r w:rsidR="00D6508C" w:rsidRPr="006E1781">
        <w:rPr>
          <w:sz w:val="22"/>
          <w:szCs w:val="22"/>
        </w:rPr>
        <w:t xml:space="preserve">contribution </w:t>
      </w:r>
      <w:r w:rsidRPr="006E1781">
        <w:rPr>
          <w:sz w:val="22"/>
          <w:szCs w:val="22"/>
        </w:rPr>
        <w:t>threshold and calculation) to be commuted prior to commencement to Wiltshire Council’s Arts Service to devise and manage the scheme/s.</w:t>
      </w:r>
    </w:p>
    <w:p w14:paraId="74B9B5D3" w14:textId="77777777" w:rsidR="00BE5A4D" w:rsidRPr="006E1781" w:rsidRDefault="00BE5A4D" w:rsidP="00BE5A4D">
      <w:pPr>
        <w:spacing w:after="0"/>
        <w:rPr>
          <w:sz w:val="22"/>
          <w:szCs w:val="22"/>
        </w:rPr>
      </w:pPr>
    </w:p>
    <w:p w14:paraId="35848D86" w14:textId="244AD680" w:rsidR="0053782C" w:rsidRPr="006E1781" w:rsidRDefault="00BE5A4D" w:rsidP="00D6508C">
      <w:pPr>
        <w:rPr>
          <w:sz w:val="22"/>
          <w:szCs w:val="22"/>
        </w:rPr>
      </w:pPr>
      <w:r w:rsidRPr="006E1781">
        <w:rPr>
          <w:sz w:val="22"/>
          <w:szCs w:val="22"/>
        </w:rPr>
        <w:t xml:space="preserve">The Public Art Officer </w:t>
      </w:r>
      <w:r w:rsidR="005C3CD6" w:rsidRPr="006E1781">
        <w:rPr>
          <w:sz w:val="22"/>
          <w:szCs w:val="22"/>
        </w:rPr>
        <w:t>(</w:t>
      </w:r>
      <w:hyperlink r:id="rId13" w:history="1">
        <w:r w:rsidR="005C3CD6" w:rsidRPr="006E1781">
          <w:rPr>
            <w:rStyle w:val="Hyperlink"/>
            <w:sz w:val="22"/>
            <w:szCs w:val="22"/>
          </w:rPr>
          <w:t>publicart@wiltshire.gov.uk</w:t>
        </w:r>
      </w:hyperlink>
      <w:r w:rsidR="005C3CD6" w:rsidRPr="006E1781">
        <w:rPr>
          <w:sz w:val="22"/>
          <w:szCs w:val="22"/>
        </w:rPr>
        <w:t xml:space="preserve">) </w:t>
      </w:r>
      <w:r w:rsidRPr="006E1781">
        <w:rPr>
          <w:sz w:val="22"/>
          <w:szCs w:val="22"/>
        </w:rPr>
        <w:t xml:space="preserve">encourages early engagement from Developers regarding sites/schemes that may be incorporated into the Development or the vicinity of the Development </w:t>
      </w:r>
    </w:p>
    <w:p w14:paraId="2A944481" w14:textId="048D56DD" w:rsidR="0053782C" w:rsidRPr="006E1781" w:rsidRDefault="0053782C" w:rsidP="0053782C">
      <w:pPr>
        <w:spacing w:after="0"/>
        <w:rPr>
          <w:b/>
          <w:bCs/>
          <w:sz w:val="22"/>
          <w:szCs w:val="22"/>
        </w:rPr>
      </w:pPr>
      <w:r w:rsidRPr="006E1781">
        <w:rPr>
          <w:b/>
          <w:bCs/>
          <w:sz w:val="22"/>
          <w:szCs w:val="22"/>
        </w:rPr>
        <w:t>Contribution calculation</w:t>
      </w:r>
    </w:p>
    <w:p w14:paraId="1514D0B9" w14:textId="77777777" w:rsidR="0053782C" w:rsidRPr="006E1781" w:rsidRDefault="0053782C" w:rsidP="0053782C">
      <w:pPr>
        <w:spacing w:after="0"/>
        <w:rPr>
          <w:sz w:val="22"/>
          <w:szCs w:val="22"/>
        </w:rPr>
      </w:pPr>
      <w:r w:rsidRPr="006E1781">
        <w:rPr>
          <w:sz w:val="22"/>
          <w:szCs w:val="22"/>
        </w:rPr>
        <w:t xml:space="preserve">To provide a consistent, sustainable and transparent approach for our Public Art programme, our communities and Developers, Wiltshire Council has held its ‘fixed per dwelling’ figure since its implementation in 2009. </w:t>
      </w:r>
    </w:p>
    <w:p w14:paraId="5A980419" w14:textId="77777777" w:rsidR="0053782C" w:rsidRPr="006E1781" w:rsidRDefault="0053782C" w:rsidP="0053782C">
      <w:pPr>
        <w:spacing w:after="0"/>
        <w:rPr>
          <w:sz w:val="22"/>
          <w:szCs w:val="22"/>
        </w:rPr>
      </w:pPr>
    </w:p>
    <w:p w14:paraId="14E22A72" w14:textId="77777777" w:rsidR="0053782C" w:rsidRPr="006E1781" w:rsidRDefault="0053782C" w:rsidP="0053782C">
      <w:pPr>
        <w:spacing w:after="0"/>
        <w:rPr>
          <w:sz w:val="22"/>
          <w:szCs w:val="22"/>
        </w:rPr>
      </w:pPr>
      <w:r w:rsidRPr="006E1781">
        <w:rPr>
          <w:sz w:val="22"/>
          <w:szCs w:val="22"/>
        </w:rPr>
        <w:t>The 2009 figure was calculated* using the internationally established Public Art funding mechanism, Percent for Art** i.e. up to 1% of capital costs derived from an average build cost per residential dwelling in England. In this case, taking a conservative approach of 0.5% and the lower end of a typical standard newbuild.</w:t>
      </w:r>
    </w:p>
    <w:p w14:paraId="43831874" w14:textId="77777777" w:rsidR="0053782C" w:rsidRPr="006E1781" w:rsidRDefault="0053782C" w:rsidP="0053782C">
      <w:pPr>
        <w:spacing w:after="0"/>
        <w:rPr>
          <w:sz w:val="22"/>
          <w:szCs w:val="22"/>
        </w:rPr>
      </w:pPr>
    </w:p>
    <w:p w14:paraId="174DE718" w14:textId="77777777" w:rsidR="0053782C" w:rsidRPr="00B369F3" w:rsidRDefault="0053782C" w:rsidP="0053782C">
      <w:pPr>
        <w:spacing w:after="0"/>
        <w:rPr>
          <w:i/>
          <w:iCs/>
          <w:sz w:val="20"/>
          <w:szCs w:val="20"/>
        </w:rPr>
      </w:pPr>
      <w:r w:rsidRPr="00B369F3">
        <w:rPr>
          <w:i/>
          <w:iCs/>
          <w:sz w:val="20"/>
          <w:szCs w:val="20"/>
        </w:rPr>
        <w:lastRenderedPageBreak/>
        <w:t>[*build cost per dwelling (RICS) x average floor space per dwelling (English Housing Survey) = lower end of average cost per dwelling (c£60,000 in 2009) x 0.5%</w:t>
      </w:r>
    </w:p>
    <w:p w14:paraId="29EC1554" w14:textId="0CE4896F" w:rsidR="00D6508C" w:rsidRPr="00B369F3" w:rsidRDefault="0053782C" w:rsidP="00B369F3">
      <w:pPr>
        <w:rPr>
          <w:i/>
          <w:iCs/>
          <w:sz w:val="20"/>
          <w:szCs w:val="20"/>
        </w:rPr>
      </w:pPr>
      <w:r w:rsidRPr="00B369F3">
        <w:rPr>
          <w:i/>
          <w:iCs/>
          <w:sz w:val="20"/>
          <w:szCs w:val="20"/>
        </w:rPr>
        <w:t>**Percent for Art is an internationally established funding mechanism implemented by authorities, development corporations and housing associations for the commissioning of public art. Normal practice is for up to 1% of capital costs to be allocated for public art]</w:t>
      </w:r>
    </w:p>
    <w:p w14:paraId="3EE2BD63" w14:textId="09735E0F" w:rsidR="0090522F" w:rsidRPr="006E1781" w:rsidRDefault="0090522F" w:rsidP="0090522F">
      <w:pPr>
        <w:spacing w:after="0"/>
        <w:rPr>
          <w:b/>
          <w:bCs/>
          <w:sz w:val="22"/>
          <w:szCs w:val="22"/>
        </w:rPr>
      </w:pPr>
      <w:r w:rsidRPr="006E1781">
        <w:rPr>
          <w:b/>
          <w:bCs/>
          <w:sz w:val="22"/>
          <w:szCs w:val="22"/>
        </w:rPr>
        <w:t xml:space="preserve">Summary </w:t>
      </w:r>
    </w:p>
    <w:p w14:paraId="1B884374" w14:textId="77777777" w:rsidR="0090522F" w:rsidRPr="006E1781" w:rsidRDefault="0090522F" w:rsidP="0090522F">
      <w:pPr>
        <w:spacing w:after="0"/>
        <w:rPr>
          <w:sz w:val="22"/>
          <w:szCs w:val="22"/>
        </w:rPr>
      </w:pPr>
      <w:r w:rsidRPr="006E1781">
        <w:rPr>
          <w:sz w:val="22"/>
          <w:szCs w:val="22"/>
        </w:rPr>
        <w:t xml:space="preserve">Public art is widely recognised within the planning system as a key component of place-making, contributing to distinctive, higher quality environments that go beyond purely functional design and instead create places that reflect local identity and aspirations.  </w:t>
      </w:r>
    </w:p>
    <w:p w14:paraId="55906D5D" w14:textId="77777777" w:rsidR="0090522F" w:rsidRPr="006E1781" w:rsidRDefault="0090522F" w:rsidP="0090522F">
      <w:pPr>
        <w:spacing w:after="0"/>
        <w:rPr>
          <w:sz w:val="22"/>
          <w:szCs w:val="22"/>
        </w:rPr>
      </w:pPr>
    </w:p>
    <w:p w14:paraId="20C079C7" w14:textId="77777777" w:rsidR="0090522F" w:rsidRPr="006E1781" w:rsidRDefault="0090522F" w:rsidP="0090522F">
      <w:pPr>
        <w:spacing w:after="0"/>
        <w:rPr>
          <w:sz w:val="22"/>
          <w:szCs w:val="22"/>
        </w:rPr>
      </w:pPr>
      <w:r w:rsidRPr="006E1781">
        <w:rPr>
          <w:sz w:val="22"/>
          <w:szCs w:val="22"/>
        </w:rPr>
        <w:t xml:space="preserve">Public art also plays an important role in supporting community cohesion and well-being by creating shared spaces and experiences that bring together existing and new residents, acting as a bridge between communities and helping to foster a sense of belonging.  </w:t>
      </w:r>
    </w:p>
    <w:p w14:paraId="130C9DD7" w14:textId="77777777" w:rsidR="0090522F" w:rsidRPr="006E1781" w:rsidRDefault="0090522F" w:rsidP="0090522F">
      <w:pPr>
        <w:spacing w:after="0"/>
        <w:rPr>
          <w:sz w:val="22"/>
          <w:szCs w:val="22"/>
        </w:rPr>
      </w:pPr>
    </w:p>
    <w:p w14:paraId="660FECB6" w14:textId="77777777" w:rsidR="0090522F" w:rsidRPr="006E1781" w:rsidRDefault="0090522F" w:rsidP="0090522F">
      <w:pPr>
        <w:spacing w:after="0"/>
        <w:rPr>
          <w:sz w:val="22"/>
          <w:szCs w:val="22"/>
        </w:rPr>
      </w:pPr>
      <w:r w:rsidRPr="006E1781">
        <w:rPr>
          <w:sz w:val="22"/>
          <w:szCs w:val="22"/>
        </w:rPr>
        <w:t>Community involvement in the delivery of public art schemes encourages participation and dialogue, strengthening social connections, and helping communities adapt to change. </w:t>
      </w:r>
    </w:p>
    <w:p w14:paraId="0BF8F762" w14:textId="77777777" w:rsidR="0090522F" w:rsidRPr="006E1781" w:rsidRDefault="0090522F" w:rsidP="0090522F">
      <w:pPr>
        <w:spacing w:after="0"/>
        <w:rPr>
          <w:sz w:val="22"/>
          <w:szCs w:val="22"/>
        </w:rPr>
      </w:pPr>
    </w:p>
    <w:p w14:paraId="69372857" w14:textId="77777777" w:rsidR="0090522F" w:rsidRPr="006E1781" w:rsidRDefault="0090522F" w:rsidP="0090522F">
      <w:pPr>
        <w:spacing w:after="0"/>
        <w:rPr>
          <w:sz w:val="22"/>
          <w:szCs w:val="22"/>
        </w:rPr>
      </w:pPr>
      <w:r w:rsidRPr="006E1781">
        <w:rPr>
          <w:sz w:val="22"/>
          <w:szCs w:val="22"/>
        </w:rPr>
        <w:t xml:space="preserve">More broadly, it supports and contributes to civic pride, legibility and the usability of public spaces, while reinforcing a shared identity and delivering long-term social value.  </w:t>
      </w:r>
    </w:p>
    <w:p w14:paraId="04138539" w14:textId="77777777" w:rsidR="0090522F" w:rsidRPr="006E1781" w:rsidRDefault="0090522F" w:rsidP="0090522F">
      <w:pPr>
        <w:spacing w:after="0"/>
        <w:rPr>
          <w:sz w:val="22"/>
          <w:szCs w:val="22"/>
        </w:rPr>
      </w:pPr>
    </w:p>
    <w:p w14:paraId="7BEA9998" w14:textId="77777777" w:rsidR="0090522F" w:rsidRPr="006E1781" w:rsidRDefault="0090522F" w:rsidP="0090522F">
      <w:pPr>
        <w:spacing w:after="0"/>
        <w:rPr>
          <w:sz w:val="22"/>
          <w:szCs w:val="22"/>
        </w:rPr>
      </w:pPr>
      <w:r w:rsidRPr="006E1781">
        <w:rPr>
          <w:sz w:val="22"/>
          <w:szCs w:val="22"/>
        </w:rPr>
        <w:t>As such, public art should not be viewed as decorative but as a legitimate planning tool that supports the assimilation of new development, and the creation of cohesive, inclusive communities.</w:t>
      </w:r>
    </w:p>
    <w:p w14:paraId="66F29F71" w14:textId="77777777" w:rsidR="0090522F" w:rsidRPr="006E1781" w:rsidRDefault="0090522F" w:rsidP="0090522F">
      <w:pPr>
        <w:spacing w:after="0"/>
        <w:rPr>
          <w:sz w:val="22"/>
          <w:szCs w:val="22"/>
        </w:rPr>
      </w:pPr>
    </w:p>
    <w:p w14:paraId="72135DC4" w14:textId="1A1407C0" w:rsidR="0090522F" w:rsidRPr="006E1781" w:rsidRDefault="0090522F" w:rsidP="0090522F">
      <w:pPr>
        <w:spacing w:after="0"/>
        <w:rPr>
          <w:sz w:val="22"/>
          <w:szCs w:val="22"/>
        </w:rPr>
      </w:pPr>
      <w:r w:rsidRPr="006E1781">
        <w:rPr>
          <w:sz w:val="22"/>
          <w:szCs w:val="22"/>
        </w:rPr>
        <w:t xml:space="preserve">As per our public art guidance and process, by locating a public art scheme/s </w:t>
      </w:r>
      <w:r w:rsidR="0065177E">
        <w:rPr>
          <w:sz w:val="22"/>
          <w:szCs w:val="22"/>
        </w:rPr>
        <w:t xml:space="preserve">around the boundary of the development – with particular interest regarding the </w:t>
      </w:r>
      <w:proofErr w:type="spellStart"/>
      <w:r w:rsidR="0065177E">
        <w:rPr>
          <w:sz w:val="22"/>
          <w:szCs w:val="22"/>
        </w:rPr>
        <w:t>RoW</w:t>
      </w:r>
      <w:proofErr w:type="spellEnd"/>
      <w:r w:rsidR="0065177E">
        <w:rPr>
          <w:sz w:val="22"/>
          <w:szCs w:val="22"/>
        </w:rPr>
        <w:t xml:space="preserve"> connections with the village and hamlets of the parish - </w:t>
      </w:r>
      <w:r w:rsidRPr="006E1781">
        <w:rPr>
          <w:sz w:val="22"/>
          <w:szCs w:val="22"/>
        </w:rPr>
        <w:t>it is possible to adopt a more effective and strategic approach to aid place-shaping, integration and support cohesion in accordance with the WCS CP3, WCS CP57, WDG 4.3 Expectation: Destinations, Landmarks and Focal Points, and the NPPF (Aug 2026).</w:t>
      </w:r>
    </w:p>
    <w:p w14:paraId="1CFF688C" w14:textId="77777777" w:rsidR="0090522F" w:rsidRPr="006E1781" w:rsidRDefault="0090522F" w:rsidP="0090522F">
      <w:pPr>
        <w:spacing w:after="0"/>
        <w:rPr>
          <w:sz w:val="22"/>
          <w:szCs w:val="22"/>
        </w:rPr>
      </w:pPr>
    </w:p>
    <w:p w14:paraId="6C012AA7" w14:textId="2E981F8E" w:rsidR="0090522F" w:rsidRPr="006E1781" w:rsidRDefault="0090522F" w:rsidP="0090522F">
      <w:pPr>
        <w:spacing w:after="0"/>
        <w:rPr>
          <w:b/>
          <w:bCs/>
          <w:sz w:val="22"/>
          <w:szCs w:val="22"/>
        </w:rPr>
      </w:pPr>
      <w:r w:rsidRPr="006E1781">
        <w:rPr>
          <w:b/>
          <w:bCs/>
          <w:sz w:val="22"/>
          <w:szCs w:val="22"/>
        </w:rPr>
        <w:t>Policy and guidance</w:t>
      </w:r>
    </w:p>
    <w:p w14:paraId="03CE2BA7" w14:textId="77777777" w:rsidR="0090522F" w:rsidRPr="006E1781" w:rsidRDefault="0090522F" w:rsidP="0090522F">
      <w:pPr>
        <w:numPr>
          <w:ilvl w:val="0"/>
          <w:numId w:val="3"/>
        </w:numPr>
        <w:spacing w:after="0"/>
        <w:rPr>
          <w:i/>
          <w:iCs/>
          <w:sz w:val="22"/>
          <w:szCs w:val="22"/>
        </w:rPr>
      </w:pPr>
      <w:r w:rsidRPr="006E1781">
        <w:rPr>
          <w:i/>
          <w:iCs/>
          <w:sz w:val="22"/>
          <w:szCs w:val="22"/>
        </w:rPr>
        <w:t>WCS CP3: Infrastructure Requirements [pg. 58, para 4.42]. This promotes and defines public art as a type of place-shaping infrastructure and states that the cost of providing infrastructure may be met through the use of planning obligations.</w:t>
      </w:r>
    </w:p>
    <w:p w14:paraId="176D5733" w14:textId="77777777" w:rsidR="0090522F" w:rsidRPr="006E1781" w:rsidRDefault="0090522F" w:rsidP="0090522F">
      <w:pPr>
        <w:numPr>
          <w:ilvl w:val="0"/>
          <w:numId w:val="3"/>
        </w:numPr>
        <w:spacing w:after="0"/>
        <w:rPr>
          <w:i/>
          <w:iCs/>
          <w:sz w:val="22"/>
          <w:szCs w:val="22"/>
        </w:rPr>
      </w:pPr>
      <w:r w:rsidRPr="006E1781">
        <w:rPr>
          <w:i/>
          <w:iCs/>
          <w:sz w:val="22"/>
          <w:szCs w:val="22"/>
        </w:rPr>
        <w:t>WCS CP 57: Ensuring high quality design and place-shaping [page 287, paragraph xii] which promotes “…the integration of art and design in the public realm”</w:t>
      </w:r>
    </w:p>
    <w:p w14:paraId="58B6F579" w14:textId="77777777" w:rsidR="0090522F" w:rsidRPr="006E1781" w:rsidRDefault="0090522F" w:rsidP="0090522F">
      <w:pPr>
        <w:numPr>
          <w:ilvl w:val="0"/>
          <w:numId w:val="3"/>
        </w:numPr>
        <w:spacing w:after="0"/>
        <w:rPr>
          <w:i/>
          <w:iCs/>
          <w:sz w:val="22"/>
          <w:szCs w:val="22"/>
        </w:rPr>
      </w:pPr>
      <w:r w:rsidRPr="006E1781">
        <w:rPr>
          <w:i/>
          <w:iCs/>
          <w:sz w:val="22"/>
          <w:szCs w:val="22"/>
        </w:rPr>
        <w:t>WDG SPD 4.3.4: “Consider utilising public art to reinforce the landmark status of a place. Public art used for this purpose should have permanence and relevance to the local or wider context of the place. (See also Wiltshire’s Policy and guidance on Public Art and Design)”</w:t>
      </w:r>
    </w:p>
    <w:p w14:paraId="7DF41AC4" w14:textId="77777777" w:rsidR="0090522F" w:rsidRPr="006E1781" w:rsidRDefault="0090522F" w:rsidP="0090522F">
      <w:pPr>
        <w:numPr>
          <w:ilvl w:val="0"/>
          <w:numId w:val="3"/>
        </w:numPr>
        <w:spacing w:after="0"/>
        <w:rPr>
          <w:i/>
          <w:iCs/>
          <w:sz w:val="22"/>
          <w:szCs w:val="22"/>
        </w:rPr>
      </w:pPr>
      <w:r w:rsidRPr="006E1781">
        <w:rPr>
          <w:i/>
          <w:iCs/>
          <w:sz w:val="22"/>
          <w:szCs w:val="22"/>
        </w:rPr>
        <w:t xml:space="preserve">Planning Obligations Supplementary Planning Document (2016) refers to the 2011 guidance note for art and design in the public realm [pg. 31, para 10]. This is superseded by </w:t>
      </w:r>
      <w:hyperlink r:id="rId14" w:history="1">
        <w:r w:rsidRPr="006E1781">
          <w:rPr>
            <w:rStyle w:val="Hyperlink"/>
            <w:i/>
            <w:iCs/>
            <w:sz w:val="22"/>
            <w:szCs w:val="22"/>
          </w:rPr>
          <w:t>Art and design in the public realm in Wiltshire – 2024 Guidance</w:t>
        </w:r>
      </w:hyperlink>
      <w:r w:rsidRPr="006E1781">
        <w:rPr>
          <w:i/>
          <w:iCs/>
          <w:sz w:val="22"/>
          <w:szCs w:val="22"/>
        </w:rPr>
        <w:t xml:space="preserve"> which is also referenced in the aforementioned Wiltshire Design Guide Supplementary Planning Document (v9, 2024)</w:t>
      </w:r>
    </w:p>
    <w:p w14:paraId="18B3BC0E" w14:textId="77777777" w:rsidR="0090522F" w:rsidRPr="006E1781" w:rsidRDefault="0090522F" w:rsidP="0090522F">
      <w:pPr>
        <w:spacing w:after="0"/>
        <w:rPr>
          <w:i/>
          <w:iCs/>
          <w:sz w:val="22"/>
          <w:szCs w:val="22"/>
        </w:rPr>
      </w:pPr>
    </w:p>
    <w:p w14:paraId="42421976" w14:textId="73FC31F3" w:rsidR="0090522F" w:rsidRPr="006E1781" w:rsidRDefault="0090522F" w:rsidP="0090522F">
      <w:pPr>
        <w:spacing w:after="0"/>
        <w:rPr>
          <w:i/>
          <w:iCs/>
          <w:sz w:val="22"/>
          <w:szCs w:val="22"/>
        </w:rPr>
      </w:pPr>
      <w:r w:rsidRPr="006E1781">
        <w:rPr>
          <w:i/>
          <w:iCs/>
          <w:sz w:val="22"/>
          <w:szCs w:val="22"/>
        </w:rPr>
        <w:t>In addition</w:t>
      </w:r>
      <w:r w:rsidR="00437D2C">
        <w:rPr>
          <w:i/>
          <w:iCs/>
          <w:sz w:val="22"/>
          <w:szCs w:val="22"/>
        </w:rPr>
        <w:t>,</w:t>
      </w:r>
      <w:r w:rsidRPr="006E1781">
        <w:rPr>
          <w:i/>
          <w:iCs/>
          <w:sz w:val="22"/>
          <w:szCs w:val="22"/>
        </w:rPr>
        <w:t xml:space="preserve"> to support strong, vibrant and healthy communities, the NPPF (17.b) recognises “cultural wellbeing” as a ‘social objective’ - one of the three overarching objectives in achieving sustainable development.</w:t>
      </w:r>
    </w:p>
    <w:p w14:paraId="7CD79C6E" w14:textId="77777777" w:rsidR="0090522F" w:rsidRPr="006E1781" w:rsidRDefault="0090522F" w:rsidP="0090522F">
      <w:pPr>
        <w:spacing w:after="0"/>
        <w:rPr>
          <w:i/>
          <w:iCs/>
          <w:sz w:val="22"/>
          <w:szCs w:val="22"/>
        </w:rPr>
      </w:pPr>
    </w:p>
    <w:p w14:paraId="76421933" w14:textId="2658FCB0" w:rsidR="0088712B" w:rsidRPr="006E1781" w:rsidRDefault="0088712B" w:rsidP="0090522F">
      <w:pPr>
        <w:spacing w:after="0"/>
        <w:rPr>
          <w:sz w:val="22"/>
          <w:szCs w:val="22"/>
        </w:rPr>
      </w:pPr>
    </w:p>
    <w:p w14:paraId="40257CC0" w14:textId="77777777" w:rsidR="006C1D1A" w:rsidRPr="006E1781" w:rsidRDefault="006C1D1A" w:rsidP="0090522F">
      <w:pPr>
        <w:spacing w:after="0"/>
        <w:rPr>
          <w:sz w:val="22"/>
          <w:szCs w:val="22"/>
        </w:rPr>
      </w:pPr>
    </w:p>
    <w:sectPr w:rsidR="006C1D1A" w:rsidRPr="006E1781" w:rsidSect="0053782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77346"/>
    <w:multiLevelType w:val="hybridMultilevel"/>
    <w:tmpl w:val="800CEC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59F9606A"/>
    <w:multiLevelType w:val="hybridMultilevel"/>
    <w:tmpl w:val="490E2AE0"/>
    <w:lvl w:ilvl="0" w:tplc="0E5E70E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853104">
    <w:abstractNumId w:val="0"/>
  </w:num>
  <w:num w:numId="2" w16cid:durableId="1287856140">
    <w:abstractNumId w:val="0"/>
  </w:num>
  <w:num w:numId="3" w16cid:durableId="465857595">
    <w:abstractNumId w:val="0"/>
  </w:num>
  <w:num w:numId="4" w16cid:durableId="9670494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82C"/>
    <w:rsid w:val="00014D1E"/>
    <w:rsid w:val="00037F5D"/>
    <w:rsid w:val="000457FB"/>
    <w:rsid w:val="000459BA"/>
    <w:rsid w:val="00054BB2"/>
    <w:rsid w:val="00061353"/>
    <w:rsid w:val="00076E9A"/>
    <w:rsid w:val="00094510"/>
    <w:rsid w:val="0009454D"/>
    <w:rsid w:val="00095578"/>
    <w:rsid w:val="00096604"/>
    <w:rsid w:val="000B6E09"/>
    <w:rsid w:val="000C4B0C"/>
    <w:rsid w:val="000D1265"/>
    <w:rsid w:val="000F3B33"/>
    <w:rsid w:val="00100F0D"/>
    <w:rsid w:val="00116D5B"/>
    <w:rsid w:val="001175D6"/>
    <w:rsid w:val="00133E1C"/>
    <w:rsid w:val="0014606D"/>
    <w:rsid w:val="00166C8C"/>
    <w:rsid w:val="001715AA"/>
    <w:rsid w:val="00183B5F"/>
    <w:rsid w:val="001844AC"/>
    <w:rsid w:val="00194C62"/>
    <w:rsid w:val="001D45E6"/>
    <w:rsid w:val="0020193D"/>
    <w:rsid w:val="002036B7"/>
    <w:rsid w:val="00205F9B"/>
    <w:rsid w:val="00206013"/>
    <w:rsid w:val="00212AA8"/>
    <w:rsid w:val="002152C7"/>
    <w:rsid w:val="00221939"/>
    <w:rsid w:val="00291F87"/>
    <w:rsid w:val="002F0C9F"/>
    <w:rsid w:val="002F6714"/>
    <w:rsid w:val="0030287F"/>
    <w:rsid w:val="00303590"/>
    <w:rsid w:val="003077DB"/>
    <w:rsid w:val="00314A9F"/>
    <w:rsid w:val="00363E19"/>
    <w:rsid w:val="00366FE5"/>
    <w:rsid w:val="003849E9"/>
    <w:rsid w:val="00386909"/>
    <w:rsid w:val="00400A12"/>
    <w:rsid w:val="00416257"/>
    <w:rsid w:val="00437D2C"/>
    <w:rsid w:val="00461E1D"/>
    <w:rsid w:val="0046604F"/>
    <w:rsid w:val="0047248D"/>
    <w:rsid w:val="004D0E8F"/>
    <w:rsid w:val="004D16A6"/>
    <w:rsid w:val="004F6E97"/>
    <w:rsid w:val="00537753"/>
    <w:rsid w:val="0053782C"/>
    <w:rsid w:val="00546F7E"/>
    <w:rsid w:val="005578EE"/>
    <w:rsid w:val="005659B8"/>
    <w:rsid w:val="00574F64"/>
    <w:rsid w:val="0058697F"/>
    <w:rsid w:val="00587D46"/>
    <w:rsid w:val="005A58CB"/>
    <w:rsid w:val="005A5F62"/>
    <w:rsid w:val="005B1103"/>
    <w:rsid w:val="005B4A40"/>
    <w:rsid w:val="005B502D"/>
    <w:rsid w:val="005C3CD6"/>
    <w:rsid w:val="005C67C0"/>
    <w:rsid w:val="005D3A95"/>
    <w:rsid w:val="005F6F51"/>
    <w:rsid w:val="00617F66"/>
    <w:rsid w:val="00631F5E"/>
    <w:rsid w:val="00634692"/>
    <w:rsid w:val="0065177E"/>
    <w:rsid w:val="00652F88"/>
    <w:rsid w:val="00653424"/>
    <w:rsid w:val="0066073B"/>
    <w:rsid w:val="00672B08"/>
    <w:rsid w:val="006829C1"/>
    <w:rsid w:val="00695957"/>
    <w:rsid w:val="006A4C3A"/>
    <w:rsid w:val="006B7FA1"/>
    <w:rsid w:val="006C149D"/>
    <w:rsid w:val="006C1D1A"/>
    <w:rsid w:val="006E1781"/>
    <w:rsid w:val="00703123"/>
    <w:rsid w:val="007301EC"/>
    <w:rsid w:val="0075345F"/>
    <w:rsid w:val="00762D1A"/>
    <w:rsid w:val="007821F0"/>
    <w:rsid w:val="00785123"/>
    <w:rsid w:val="007A20BD"/>
    <w:rsid w:val="007D61DA"/>
    <w:rsid w:val="007E104D"/>
    <w:rsid w:val="007F4D6F"/>
    <w:rsid w:val="0082586B"/>
    <w:rsid w:val="00833C4D"/>
    <w:rsid w:val="008347BE"/>
    <w:rsid w:val="008477AF"/>
    <w:rsid w:val="0085120F"/>
    <w:rsid w:val="008568C8"/>
    <w:rsid w:val="00862F2C"/>
    <w:rsid w:val="0088712B"/>
    <w:rsid w:val="008A6BF4"/>
    <w:rsid w:val="008B3076"/>
    <w:rsid w:val="008C55F6"/>
    <w:rsid w:val="008C662F"/>
    <w:rsid w:val="008E11BD"/>
    <w:rsid w:val="008E5338"/>
    <w:rsid w:val="0090522F"/>
    <w:rsid w:val="009239D6"/>
    <w:rsid w:val="00942F1F"/>
    <w:rsid w:val="009609E9"/>
    <w:rsid w:val="00984F13"/>
    <w:rsid w:val="00997E2F"/>
    <w:rsid w:val="009A5322"/>
    <w:rsid w:val="009C0251"/>
    <w:rsid w:val="009D09B0"/>
    <w:rsid w:val="009E729B"/>
    <w:rsid w:val="00A01255"/>
    <w:rsid w:val="00A06448"/>
    <w:rsid w:val="00A21144"/>
    <w:rsid w:val="00A42214"/>
    <w:rsid w:val="00A658CC"/>
    <w:rsid w:val="00A705DA"/>
    <w:rsid w:val="00A769A9"/>
    <w:rsid w:val="00A83F75"/>
    <w:rsid w:val="00A874D5"/>
    <w:rsid w:val="00A97A88"/>
    <w:rsid w:val="00AA2022"/>
    <w:rsid w:val="00AA539C"/>
    <w:rsid w:val="00AB3F6C"/>
    <w:rsid w:val="00AC168F"/>
    <w:rsid w:val="00AC1C9D"/>
    <w:rsid w:val="00AC1EA5"/>
    <w:rsid w:val="00AD31FE"/>
    <w:rsid w:val="00AD45DF"/>
    <w:rsid w:val="00AE4FFE"/>
    <w:rsid w:val="00B0588F"/>
    <w:rsid w:val="00B14C52"/>
    <w:rsid w:val="00B22FAF"/>
    <w:rsid w:val="00B233FF"/>
    <w:rsid w:val="00B34E32"/>
    <w:rsid w:val="00B369F3"/>
    <w:rsid w:val="00B36F47"/>
    <w:rsid w:val="00B40F3F"/>
    <w:rsid w:val="00B44F1B"/>
    <w:rsid w:val="00B53E3B"/>
    <w:rsid w:val="00B80633"/>
    <w:rsid w:val="00B81C0D"/>
    <w:rsid w:val="00B94C1B"/>
    <w:rsid w:val="00BA0FB4"/>
    <w:rsid w:val="00BB5584"/>
    <w:rsid w:val="00BC2A40"/>
    <w:rsid w:val="00BC346D"/>
    <w:rsid w:val="00BE0DB3"/>
    <w:rsid w:val="00BE4027"/>
    <w:rsid w:val="00BE5A4D"/>
    <w:rsid w:val="00BE7281"/>
    <w:rsid w:val="00BE7FD5"/>
    <w:rsid w:val="00C0706D"/>
    <w:rsid w:val="00C157BA"/>
    <w:rsid w:val="00C60CA6"/>
    <w:rsid w:val="00C62894"/>
    <w:rsid w:val="00C65232"/>
    <w:rsid w:val="00C7035B"/>
    <w:rsid w:val="00C77B36"/>
    <w:rsid w:val="00C815F7"/>
    <w:rsid w:val="00C870E2"/>
    <w:rsid w:val="00C87725"/>
    <w:rsid w:val="00C95ACF"/>
    <w:rsid w:val="00CA269A"/>
    <w:rsid w:val="00CB2217"/>
    <w:rsid w:val="00CB4C59"/>
    <w:rsid w:val="00CC09E0"/>
    <w:rsid w:val="00CC26AF"/>
    <w:rsid w:val="00CC4CE4"/>
    <w:rsid w:val="00CD6CC2"/>
    <w:rsid w:val="00CE19E1"/>
    <w:rsid w:val="00CF4D68"/>
    <w:rsid w:val="00D16AA0"/>
    <w:rsid w:val="00D17D48"/>
    <w:rsid w:val="00D307AF"/>
    <w:rsid w:val="00D56109"/>
    <w:rsid w:val="00D64138"/>
    <w:rsid w:val="00D64C9F"/>
    <w:rsid w:val="00D6508C"/>
    <w:rsid w:val="00D70790"/>
    <w:rsid w:val="00D8236F"/>
    <w:rsid w:val="00D85762"/>
    <w:rsid w:val="00D85CC9"/>
    <w:rsid w:val="00D911E3"/>
    <w:rsid w:val="00DA2461"/>
    <w:rsid w:val="00DC2DE8"/>
    <w:rsid w:val="00DC2FEF"/>
    <w:rsid w:val="00DF21AC"/>
    <w:rsid w:val="00DF5E5B"/>
    <w:rsid w:val="00E47AC5"/>
    <w:rsid w:val="00E544DF"/>
    <w:rsid w:val="00E65426"/>
    <w:rsid w:val="00E65F6F"/>
    <w:rsid w:val="00EB43B1"/>
    <w:rsid w:val="00EC2514"/>
    <w:rsid w:val="00ED2C8A"/>
    <w:rsid w:val="00EE2B68"/>
    <w:rsid w:val="00EE3548"/>
    <w:rsid w:val="00F2667E"/>
    <w:rsid w:val="00F40105"/>
    <w:rsid w:val="00F45E7A"/>
    <w:rsid w:val="00F700CD"/>
    <w:rsid w:val="00F80BF1"/>
    <w:rsid w:val="00F859B2"/>
    <w:rsid w:val="00FA5697"/>
    <w:rsid w:val="00FB1650"/>
    <w:rsid w:val="00FD057F"/>
    <w:rsid w:val="00FD77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B09D2"/>
  <w15:chartTrackingRefBased/>
  <w15:docId w15:val="{735FF4B0-0017-44CE-821A-B8B0D5117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782C"/>
  </w:style>
  <w:style w:type="paragraph" w:styleId="Heading1">
    <w:name w:val="heading 1"/>
    <w:basedOn w:val="Normal"/>
    <w:next w:val="Normal"/>
    <w:link w:val="Heading1Char"/>
    <w:uiPriority w:val="9"/>
    <w:qFormat/>
    <w:rsid w:val="005378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78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78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78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78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78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78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78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78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78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78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78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78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78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78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78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78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782C"/>
    <w:rPr>
      <w:rFonts w:eastAsiaTheme="majorEastAsia" w:cstheme="majorBidi"/>
      <w:color w:val="272727" w:themeColor="text1" w:themeTint="D8"/>
    </w:rPr>
  </w:style>
  <w:style w:type="paragraph" w:styleId="Title">
    <w:name w:val="Title"/>
    <w:basedOn w:val="Normal"/>
    <w:next w:val="Normal"/>
    <w:link w:val="TitleChar"/>
    <w:uiPriority w:val="10"/>
    <w:qFormat/>
    <w:rsid w:val="005378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78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78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78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782C"/>
    <w:pPr>
      <w:spacing w:before="160"/>
      <w:jc w:val="center"/>
    </w:pPr>
    <w:rPr>
      <w:i/>
      <w:iCs/>
      <w:color w:val="404040" w:themeColor="text1" w:themeTint="BF"/>
    </w:rPr>
  </w:style>
  <w:style w:type="character" w:customStyle="1" w:styleId="QuoteChar">
    <w:name w:val="Quote Char"/>
    <w:basedOn w:val="DefaultParagraphFont"/>
    <w:link w:val="Quote"/>
    <w:uiPriority w:val="29"/>
    <w:rsid w:val="0053782C"/>
    <w:rPr>
      <w:i/>
      <w:iCs/>
      <w:color w:val="404040" w:themeColor="text1" w:themeTint="BF"/>
    </w:rPr>
  </w:style>
  <w:style w:type="paragraph" w:styleId="ListParagraph">
    <w:name w:val="List Paragraph"/>
    <w:basedOn w:val="Normal"/>
    <w:uiPriority w:val="34"/>
    <w:qFormat/>
    <w:rsid w:val="0053782C"/>
    <w:pPr>
      <w:ind w:left="720"/>
      <w:contextualSpacing/>
    </w:pPr>
  </w:style>
  <w:style w:type="character" w:styleId="IntenseEmphasis">
    <w:name w:val="Intense Emphasis"/>
    <w:basedOn w:val="DefaultParagraphFont"/>
    <w:uiPriority w:val="21"/>
    <w:qFormat/>
    <w:rsid w:val="0053782C"/>
    <w:rPr>
      <w:i/>
      <w:iCs/>
      <w:color w:val="0F4761" w:themeColor="accent1" w:themeShade="BF"/>
    </w:rPr>
  </w:style>
  <w:style w:type="paragraph" w:styleId="IntenseQuote">
    <w:name w:val="Intense Quote"/>
    <w:basedOn w:val="Normal"/>
    <w:next w:val="Normal"/>
    <w:link w:val="IntenseQuoteChar"/>
    <w:uiPriority w:val="30"/>
    <w:qFormat/>
    <w:rsid w:val="005378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782C"/>
    <w:rPr>
      <w:i/>
      <w:iCs/>
      <w:color w:val="0F4761" w:themeColor="accent1" w:themeShade="BF"/>
    </w:rPr>
  </w:style>
  <w:style w:type="character" w:styleId="IntenseReference">
    <w:name w:val="Intense Reference"/>
    <w:basedOn w:val="DefaultParagraphFont"/>
    <w:uiPriority w:val="32"/>
    <w:qFormat/>
    <w:rsid w:val="0053782C"/>
    <w:rPr>
      <w:b/>
      <w:bCs/>
      <w:smallCaps/>
      <w:color w:val="0F4761" w:themeColor="accent1" w:themeShade="BF"/>
      <w:spacing w:val="5"/>
    </w:rPr>
  </w:style>
  <w:style w:type="character" w:styleId="Hyperlink">
    <w:name w:val="Hyperlink"/>
    <w:basedOn w:val="DefaultParagraphFont"/>
    <w:uiPriority w:val="99"/>
    <w:unhideWhenUsed/>
    <w:rsid w:val="00BE5A4D"/>
    <w:rPr>
      <w:color w:val="467886" w:themeColor="hyperlink"/>
      <w:u w:val="single"/>
    </w:rPr>
  </w:style>
  <w:style w:type="character" w:styleId="UnresolvedMention">
    <w:name w:val="Unresolved Mention"/>
    <w:basedOn w:val="DefaultParagraphFont"/>
    <w:uiPriority w:val="99"/>
    <w:semiHidden/>
    <w:unhideWhenUsed/>
    <w:rsid w:val="00AC1C9D"/>
    <w:rPr>
      <w:color w:val="605E5C"/>
      <w:shd w:val="clear" w:color="auto" w:fill="E1DFDD"/>
    </w:rPr>
  </w:style>
  <w:style w:type="character" w:styleId="FollowedHyperlink">
    <w:name w:val="FollowedHyperlink"/>
    <w:basedOn w:val="DefaultParagraphFont"/>
    <w:uiPriority w:val="99"/>
    <w:semiHidden/>
    <w:unhideWhenUsed/>
    <w:rsid w:val="00366FE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ublicart@wiltshire.gov.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hyperlink" Target="https://www.wiltshire.gov.uk/media/156/Arts-and-Design-in-the-Public-Realm-in-Wiltshire-2024-Guidance-adopted/pdf/Art_and_design_in_the_public_realm_in_Wiltshire_-_2024_guidance_6.pdf?m=17678674644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68576AFACB134394C04BB2FD0CBD32" ma:contentTypeVersion="16" ma:contentTypeDescription="Create a new document." ma:contentTypeScope="" ma:versionID="98421cab98a05cc4f997587321fbea2d">
  <xsd:schema xmlns:xsd="http://www.w3.org/2001/XMLSchema" xmlns:xs="http://www.w3.org/2001/XMLSchema" xmlns:p="http://schemas.microsoft.com/office/2006/metadata/properties" xmlns:ns2="f2d88dbd-3a56-453d-950d-d163e49d3cc7" xmlns:ns3="e7510d9a-faa6-436f-b543-d8da5abf3b47" xmlns:ns4="e0f9e225-0762-47db-a700-d28ac4b3e40d" targetNamespace="http://schemas.microsoft.com/office/2006/metadata/properties" ma:root="true" ma:fieldsID="eda711a2c7e94d3c34905fd5a15185cb" ns2:_="" ns3:_="" ns4:_="">
    <xsd:import namespace="f2d88dbd-3a56-453d-950d-d163e49d3cc7"/>
    <xsd:import namespace="e7510d9a-faa6-436f-b543-d8da5abf3b47"/>
    <xsd:import namespace="e0f9e225-0762-47db-a700-d28ac4b3e40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2:SharedWithUsers" minOccurs="0"/>
                <xsd:element ref="ns2:SharedWithDetails"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d88dbd-3a56-453d-950d-d163e49d3cc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7510d9a-faa6-436f-b543-d8da5abf3b4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descriptio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3fcf045-894f-4b63-8723-befc9e94fcb9}" ma:internalName="TaxCatchAll" ma:showField="CatchAllData" ma:web="f2d88dbd-3a56-453d-950d-d163e49d3c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7510d9a-faa6-436f-b543-d8da5abf3b4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Props1.xml><?xml version="1.0" encoding="utf-8"?>
<ds:datastoreItem xmlns:ds="http://schemas.openxmlformats.org/officeDocument/2006/customXml" ds:itemID="{4B9D067E-A3A9-4DB5-8FB4-AECCF5B372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d88dbd-3a56-453d-950d-d163e49d3cc7"/>
    <ds:schemaRef ds:uri="e7510d9a-faa6-436f-b543-d8da5abf3b47"/>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4D0E4F-4DEF-41BA-83E5-A51573831A44}">
  <ds:schemaRefs>
    <ds:schemaRef ds:uri="http://schemas.microsoft.com/office/2006/metadata/properties"/>
    <ds:schemaRef ds:uri="http://schemas.microsoft.com/office/infopath/2007/PartnerControls"/>
    <ds:schemaRef ds:uri="e0f9e225-0762-47db-a700-d28ac4b3e40d"/>
    <ds:schemaRef ds:uri="e7510d9a-faa6-436f-b543-d8da5abf3b47"/>
  </ds:schemaRefs>
</ds:datastoreItem>
</file>

<file path=customXml/itemProps3.xml><?xml version="1.0" encoding="utf-8"?>
<ds:datastoreItem xmlns:ds="http://schemas.openxmlformats.org/officeDocument/2006/customXml" ds:itemID="{AC6E5070-EF45-4466-903F-416206091231}">
  <ds:schemaRefs>
    <ds:schemaRef ds:uri="http://schemas.microsoft.com/sharepoint/v3/contenttype/forms"/>
  </ds:schemaRefs>
</ds:datastoreItem>
</file>

<file path=customXml/itemProps4.xml><?xml version="1.0" encoding="utf-8"?>
<ds:datastoreItem xmlns:ds="http://schemas.openxmlformats.org/officeDocument/2006/customXml" ds:itemID="{2BF20941-14A5-4BE0-84B8-D7B899AEE682}">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4</Pages>
  <Words>1381</Words>
  <Characters>7873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Robey, Ella-Mai</dc:creator>
  <cp:keywords/>
  <dc:description/>
  <cp:lastModifiedBy>Robey, Ella-Mai</cp:lastModifiedBy>
  <cp:revision>104</cp:revision>
  <dcterms:created xsi:type="dcterms:W3CDTF">2026-10-06T12:00:00Z</dcterms:created>
  <dcterms:modified xsi:type="dcterms:W3CDTF">2026-10-06T15:10:00Z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0x0101000C68576AFACB134394C04BB2FD0CBD32</vt:lpwstr>
  </property>
  <property fmtid="{D5CDD505-2E9C-101B-9397-08002B2CF9AE}" pid="3" name="MediaServiceImageTags">
    <vt:lpwstr/>
  </property>
</Properties>
</file>