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006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8C5F60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D7BAA5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66E900A0" w14:textId="77777777" w:rsidTr="00683C17">
        <w:tc>
          <w:tcPr>
            <w:tcW w:w="3681" w:type="dxa"/>
          </w:tcPr>
          <w:p w14:paraId="1C423F2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47E289E"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PL/2026/04400</w:t>
            </w:r>
          </w:p>
        </w:tc>
      </w:tr>
      <w:tr w:rsidR="003951BD" w14:paraId="54C81840" w14:textId="77777777" w:rsidTr="00683C17">
        <w:tc>
          <w:tcPr>
            <w:tcW w:w="3681" w:type="dxa"/>
          </w:tcPr>
          <w:p w14:paraId="13C9E20E"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2F1E41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AD9B715" w14:textId="77777777" w:rsidTr="00683C17">
        <w:tc>
          <w:tcPr>
            <w:tcW w:w="3681" w:type="dxa"/>
          </w:tcPr>
          <w:p w14:paraId="1B573D8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CE0E5B8"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Drove House, Manningford Abbots, Pewsey, SN9 6HT</w:t>
            </w:r>
          </w:p>
        </w:tc>
      </w:tr>
      <w:tr w:rsidR="003951BD" w14:paraId="057610B1" w14:textId="77777777" w:rsidTr="00683C17">
        <w:tc>
          <w:tcPr>
            <w:tcW w:w="3681" w:type="dxa"/>
          </w:tcPr>
          <w:p w14:paraId="6D51888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BF086F3"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Erection of a two-storey side extension to existing dwelling, extension to existing garden room, alterations and extension to existing porch, installation of external oak weatherboarding to garden room elevations, replacement windows and associated alterations.</w:t>
            </w:r>
          </w:p>
        </w:tc>
      </w:tr>
      <w:tr w:rsidR="003951BD" w14:paraId="3D42A2CE" w14:textId="77777777" w:rsidTr="00683C17">
        <w:tc>
          <w:tcPr>
            <w:tcW w:w="3681" w:type="dxa"/>
          </w:tcPr>
          <w:p w14:paraId="1D6B05E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DCD6FB1"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06C99F1"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057BA1F"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208C1E2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A6D0D9D"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4926463" w14:textId="514B5325" w:rsidR="005B0FD5" w:rsidRDefault="007829D0" w:rsidP="009C1702">
      <w:pPr>
        <w:spacing w:after="0" w:line="276" w:lineRule="auto"/>
        <w:jc w:val="both"/>
        <w:outlineLvl w:val="2"/>
        <w:rPr>
          <w:rFonts w:ascii="Arial" w:eastAsia="Times New Roman" w:hAnsi="Arial" w:cs="Arial"/>
          <w:b/>
          <w:bCs/>
          <w:kern w:val="0"/>
          <w:sz w:val="22"/>
          <w:szCs w:val="22"/>
          <w:lang w:eastAsia="en-GB"/>
          <w14:ligatures w14:val="none"/>
        </w:rPr>
      </w:pPr>
      <w:r w:rsidRPr="007829D0">
        <w:rPr>
          <w:rFonts w:ascii="Arial" w:eastAsia="Times New Roman" w:hAnsi="Arial" w:cs="Arial"/>
          <w:color w:val="000000" w:themeColor="text1"/>
          <w:kern w:val="0"/>
          <w:sz w:val="22"/>
          <w:szCs w:val="22"/>
          <w:lang w:eastAsia="en-GB"/>
          <w14:ligatures w14:val="none"/>
        </w:rPr>
        <w:t>The application seeks planning permission for the erection of a two-storey side extension, extension to the existing garden room, alterations and extension to the existing porch, installation of oak weatherboarding to the garden room elevations, replacement windows and associated alterations at the dwelling known as Drove House. The proposals include the remodelling of the existing dwelling and the extension of the building to provide additional residential accommodation.</w:t>
      </w:r>
    </w:p>
    <w:p w14:paraId="2F221D2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AC45BD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A054E87"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5300DF1" w14:textId="77777777" w:rsidR="007829D0" w:rsidRPr="007829D0" w:rsidRDefault="007829D0" w:rsidP="007829D0">
      <w:pPr>
        <w:spacing w:after="0" w:line="276" w:lineRule="auto"/>
        <w:jc w:val="both"/>
        <w:outlineLvl w:val="2"/>
        <w:rPr>
          <w:rFonts w:ascii="Arial" w:eastAsia="Times New Roman" w:hAnsi="Arial" w:cs="Arial"/>
          <w:kern w:val="0"/>
          <w:sz w:val="22"/>
          <w:szCs w:val="22"/>
          <w:lang w:eastAsia="en-GB"/>
          <w14:ligatures w14:val="none"/>
        </w:rPr>
      </w:pPr>
      <w:r w:rsidRPr="007829D0">
        <w:rPr>
          <w:rFonts w:ascii="Arial" w:eastAsia="Times New Roman" w:hAnsi="Arial" w:cs="Arial"/>
          <w:kern w:val="0"/>
          <w:sz w:val="22"/>
          <w:szCs w:val="22"/>
          <w:lang w:eastAsia="en-GB"/>
          <w14:ligatures w14:val="none"/>
        </w:rPr>
        <w:t xml:space="preserve">Drove House is a detached dwelling situated within the rural settlement of </w:t>
      </w:r>
      <w:proofErr w:type="spellStart"/>
      <w:r w:rsidRPr="007829D0">
        <w:rPr>
          <w:rFonts w:ascii="Arial" w:eastAsia="Times New Roman" w:hAnsi="Arial" w:cs="Arial"/>
          <w:kern w:val="0"/>
          <w:sz w:val="22"/>
          <w:szCs w:val="22"/>
          <w:lang w:eastAsia="en-GB"/>
          <w14:ligatures w14:val="none"/>
        </w:rPr>
        <w:t>Manningford</w:t>
      </w:r>
      <w:proofErr w:type="spellEnd"/>
      <w:r w:rsidRPr="007829D0">
        <w:rPr>
          <w:rFonts w:ascii="Arial" w:eastAsia="Times New Roman" w:hAnsi="Arial" w:cs="Arial"/>
          <w:kern w:val="0"/>
          <w:sz w:val="22"/>
          <w:szCs w:val="22"/>
          <w:lang w:eastAsia="en-GB"/>
          <w14:ligatures w14:val="none"/>
        </w:rPr>
        <w:t xml:space="preserve"> Abbots. The property occupies a substantial residential plot comprising the dwelling, extensive rear garden and a detached garage/carport building located to the south-east of the dwelling. The adjoining property known as The Willows lies to the north-west. Access is taken from the highway along the north-eastern boundary of the site, where Public Bridleway MANN28 runs adjacent to the frontage. The site lies within the North Wessex Downs National Landscape, the Hampshire Avon Catchment and the Salisbury Plain 6.4km recreation buffer.</w:t>
      </w:r>
    </w:p>
    <w:p w14:paraId="4012067A" w14:textId="77777777" w:rsidR="007829D0" w:rsidRDefault="007829D0" w:rsidP="007829D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FFA0D9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6E75EC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52AB4F4"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15E357B5" w14:textId="77777777" w:rsidTr="008F7D98">
        <w:trPr>
          <w:trHeight w:hRule="exact" w:val="20"/>
        </w:trPr>
        <w:tc>
          <w:tcPr>
            <w:tcW w:w="8921" w:type="dxa"/>
            <w:tcBorders>
              <w:bottom w:val="single" w:sz="6" w:space="0" w:color="auto"/>
            </w:tcBorders>
            <w:vAlign w:val="center"/>
            <w:hideMark/>
          </w:tcPr>
          <w:p w14:paraId="326CE03D"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54A49C0F"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DA88289"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0CFF61B5" w14:textId="77777777" w:rsidTr="008F7D98">
        <w:tc>
          <w:tcPr>
            <w:tcW w:w="8921" w:type="dxa"/>
            <w:tcBorders>
              <w:left w:val="single" w:sz="12" w:space="0" w:color="auto"/>
              <w:bottom w:val="single" w:sz="12" w:space="0" w:color="auto"/>
              <w:right w:val="single" w:sz="12" w:space="0" w:color="auto"/>
            </w:tcBorders>
            <w:vAlign w:val="center"/>
          </w:tcPr>
          <w:p w14:paraId="4A03C091"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E/10/1174/FUL - Full planning permission Decision - Refused Date: 8/10/2010 – Two storey extension and alterations</w:t>
            </w:r>
          </w:p>
        </w:tc>
      </w:tr>
      <w:tr w:rsidR="003951BD" w:rsidRPr="003E74F7" w14:paraId="7E982945" w14:textId="77777777" w:rsidTr="008F7D98">
        <w:tc>
          <w:tcPr>
            <w:tcW w:w="8921" w:type="dxa"/>
            <w:tcBorders>
              <w:left w:val="single" w:sz="12" w:space="0" w:color="auto"/>
              <w:bottom w:val="single" w:sz="12" w:space="0" w:color="auto"/>
              <w:right w:val="single" w:sz="12" w:space="0" w:color="auto"/>
            </w:tcBorders>
            <w:vAlign w:val="center"/>
          </w:tcPr>
          <w:p w14:paraId="3C5406DD"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E/10/1242/FUL - Full planning permission Decision - Approve with Conditions Date: 2/11/2010 – Replacement stables (private) and domestic garages/carports</w:t>
            </w:r>
          </w:p>
        </w:tc>
      </w:tr>
      <w:tr w:rsidR="003951BD" w:rsidRPr="003E74F7" w14:paraId="38DD7B68" w14:textId="77777777" w:rsidTr="008F7D98">
        <w:tc>
          <w:tcPr>
            <w:tcW w:w="8921" w:type="dxa"/>
            <w:tcBorders>
              <w:left w:val="single" w:sz="12" w:space="0" w:color="auto"/>
              <w:bottom w:val="single" w:sz="12" w:space="0" w:color="auto"/>
              <w:right w:val="single" w:sz="12" w:space="0" w:color="auto"/>
            </w:tcBorders>
            <w:vAlign w:val="center"/>
          </w:tcPr>
          <w:p w14:paraId="2E7425DE"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E/11/0064/FUL - Full planning permission Decision - Approve with Conditions Date: 16/2/2011 – Two-storey extensions &amp; alterations (resubmission of E/10/1174/FUL)</w:t>
            </w:r>
          </w:p>
        </w:tc>
      </w:tr>
      <w:tr w:rsidR="003951BD" w:rsidRPr="003E74F7" w14:paraId="1C45A453" w14:textId="77777777" w:rsidTr="008F7D98">
        <w:tc>
          <w:tcPr>
            <w:tcW w:w="8921" w:type="dxa"/>
            <w:tcBorders>
              <w:left w:val="single" w:sz="12" w:space="0" w:color="auto"/>
              <w:bottom w:val="single" w:sz="12" w:space="0" w:color="auto"/>
              <w:right w:val="single" w:sz="12" w:space="0" w:color="auto"/>
            </w:tcBorders>
            <w:vAlign w:val="center"/>
          </w:tcPr>
          <w:p w14:paraId="23D422BE"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lastRenderedPageBreak/>
              <w:t>E/11/0538/FUL - Full planning permission Decision - Approve with Conditions Date: 20/6/2011 – Proposed replacement dwelling and garage</w:t>
            </w:r>
          </w:p>
        </w:tc>
      </w:tr>
      <w:tr w:rsidR="003951BD" w:rsidRPr="003E74F7" w14:paraId="27B047DC" w14:textId="77777777" w:rsidTr="008F7D98">
        <w:tc>
          <w:tcPr>
            <w:tcW w:w="8921" w:type="dxa"/>
            <w:tcBorders>
              <w:left w:val="single" w:sz="12" w:space="0" w:color="auto"/>
              <w:bottom w:val="single" w:sz="12" w:space="0" w:color="auto"/>
              <w:right w:val="single" w:sz="12" w:space="0" w:color="auto"/>
            </w:tcBorders>
            <w:vAlign w:val="center"/>
          </w:tcPr>
          <w:p w14:paraId="36BDBAB3"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E/11/0657/FUL - Full planning permission Decision - Approve with Conditions Date: 28/6/2011 – Replacement stables (amended design to previously consented scheme under E/10/1242/FUL)</w:t>
            </w:r>
          </w:p>
        </w:tc>
      </w:tr>
      <w:tr w:rsidR="003951BD" w:rsidRPr="003E74F7" w14:paraId="0C437210" w14:textId="77777777" w:rsidTr="008F7D98">
        <w:tc>
          <w:tcPr>
            <w:tcW w:w="8921" w:type="dxa"/>
            <w:tcBorders>
              <w:left w:val="single" w:sz="12" w:space="0" w:color="auto"/>
              <w:bottom w:val="single" w:sz="12" w:space="0" w:color="auto"/>
              <w:right w:val="single" w:sz="12" w:space="0" w:color="auto"/>
            </w:tcBorders>
            <w:vAlign w:val="center"/>
          </w:tcPr>
          <w:p w14:paraId="30C18CCD"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K/81/0889 - Full planning permission Decision - Approved Date: 27/10/1981 – Extensions to dwelling</w:t>
            </w:r>
          </w:p>
        </w:tc>
      </w:tr>
      <w:bookmarkEnd w:id="0"/>
    </w:tbl>
    <w:p w14:paraId="7098404F"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DEC678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14CA4F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461B2C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3138F3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0695F62"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7D13DC"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57 Ensuring </w:t>
      </w:r>
      <w:proofErr w:type="gramStart"/>
      <w:r w:rsidRPr="009C1702">
        <w:rPr>
          <w:rFonts w:ascii="Arial" w:eastAsia="Times New Roman" w:hAnsi="Arial" w:cs="Arial"/>
          <w:kern w:val="0"/>
          <w:sz w:val="22"/>
          <w:szCs w:val="22"/>
          <w:lang w:eastAsia="en-GB"/>
          <w14:ligatures w14:val="none"/>
        </w:rPr>
        <w:t>High Quality</w:t>
      </w:r>
      <w:proofErr w:type="gramEnd"/>
      <w:r w:rsidRPr="009C1702">
        <w:rPr>
          <w:rFonts w:ascii="Arial" w:eastAsia="Times New Roman" w:hAnsi="Arial" w:cs="Arial"/>
          <w:kern w:val="0"/>
          <w:sz w:val="22"/>
          <w:szCs w:val="22"/>
          <w:lang w:eastAsia="en-GB"/>
          <w14:ligatures w14:val="none"/>
        </w:rPr>
        <w:t xml:space="preserve"> Design and Place Shaping</w:t>
      </w:r>
    </w:p>
    <w:p w14:paraId="6A6FAFEB" w14:textId="77777777" w:rsidR="00315AE0" w:rsidRPr="008C3A43"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C3A43">
        <w:rPr>
          <w:rFonts w:ascii="Arial" w:eastAsia="Times New Roman" w:hAnsi="Arial" w:cs="Arial"/>
          <w:kern w:val="0"/>
          <w:sz w:val="22"/>
          <w:szCs w:val="22"/>
          <w:lang w:eastAsia="en-GB"/>
          <w14:ligatures w14:val="none"/>
        </w:rPr>
        <w:t>Core Policy 50</w:t>
      </w:r>
      <w:r w:rsidR="006A735A" w:rsidRPr="008C3A43">
        <w:rPr>
          <w:rFonts w:ascii="Arial" w:eastAsia="Times New Roman" w:hAnsi="Arial" w:cs="Arial"/>
          <w:kern w:val="0"/>
          <w:sz w:val="22"/>
          <w:szCs w:val="22"/>
          <w:lang w:eastAsia="en-GB"/>
          <w14:ligatures w14:val="none"/>
        </w:rPr>
        <w:t>:</w:t>
      </w:r>
      <w:r w:rsidRPr="008C3A43">
        <w:rPr>
          <w:rFonts w:ascii="Arial" w:eastAsia="Times New Roman" w:hAnsi="Arial" w:cs="Arial"/>
          <w:kern w:val="0"/>
          <w:sz w:val="22"/>
          <w:szCs w:val="22"/>
          <w:lang w:eastAsia="en-GB"/>
          <w14:ligatures w14:val="none"/>
        </w:rPr>
        <w:t xml:space="preserve"> Biodiversity and Geodiversity </w:t>
      </w:r>
    </w:p>
    <w:p w14:paraId="59BCB1C5" w14:textId="77777777" w:rsidR="00315AE0" w:rsidRPr="008C3A43"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C3A43">
        <w:rPr>
          <w:rFonts w:ascii="Arial" w:eastAsia="Times New Roman" w:hAnsi="Arial" w:cs="Arial"/>
          <w:kern w:val="0"/>
          <w:sz w:val="22"/>
          <w:szCs w:val="22"/>
          <w:lang w:eastAsia="en-GB"/>
          <w14:ligatures w14:val="none"/>
        </w:rPr>
        <w:t>Core Policy 51</w:t>
      </w:r>
      <w:r w:rsidR="006A735A" w:rsidRPr="008C3A43">
        <w:rPr>
          <w:rFonts w:ascii="Arial" w:eastAsia="Times New Roman" w:hAnsi="Arial" w:cs="Arial"/>
          <w:kern w:val="0"/>
          <w:sz w:val="22"/>
          <w:szCs w:val="22"/>
          <w:lang w:eastAsia="en-GB"/>
          <w14:ligatures w14:val="none"/>
        </w:rPr>
        <w:t xml:space="preserve">: </w:t>
      </w:r>
      <w:r w:rsidRPr="008C3A43">
        <w:rPr>
          <w:rFonts w:ascii="Arial" w:eastAsia="Times New Roman" w:hAnsi="Arial" w:cs="Arial"/>
          <w:kern w:val="0"/>
          <w:sz w:val="22"/>
          <w:szCs w:val="22"/>
          <w:lang w:eastAsia="en-GB"/>
          <w14:ligatures w14:val="none"/>
        </w:rPr>
        <w:t xml:space="preserve">Landscape </w:t>
      </w:r>
    </w:p>
    <w:p w14:paraId="1A40377C" w14:textId="77777777" w:rsidR="009F684B" w:rsidRPr="008C3A43"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C3A43">
        <w:rPr>
          <w:rFonts w:ascii="Arial" w:eastAsia="Times New Roman" w:hAnsi="Arial" w:cs="Arial"/>
          <w:kern w:val="0"/>
          <w:sz w:val="22"/>
          <w:szCs w:val="22"/>
          <w:lang w:eastAsia="en-GB"/>
          <w14:ligatures w14:val="none"/>
        </w:rPr>
        <w:t>Core Policy 61</w:t>
      </w:r>
      <w:r w:rsidR="006A735A" w:rsidRPr="008C3A43">
        <w:rPr>
          <w:rFonts w:ascii="Arial" w:eastAsia="Times New Roman" w:hAnsi="Arial" w:cs="Arial"/>
          <w:kern w:val="0"/>
          <w:sz w:val="22"/>
          <w:szCs w:val="22"/>
          <w:lang w:eastAsia="en-GB"/>
          <w14:ligatures w14:val="none"/>
        </w:rPr>
        <w:t>:</w:t>
      </w:r>
      <w:r w:rsidRPr="008C3A43">
        <w:rPr>
          <w:rFonts w:ascii="Arial" w:eastAsia="Times New Roman" w:hAnsi="Arial" w:cs="Arial"/>
          <w:kern w:val="0"/>
          <w:sz w:val="22"/>
          <w:szCs w:val="22"/>
          <w:lang w:eastAsia="en-GB"/>
          <w14:ligatures w14:val="none"/>
        </w:rPr>
        <w:t xml:space="preserve"> Transport and New Development</w:t>
      </w:r>
    </w:p>
    <w:p w14:paraId="2C9D555B" w14:textId="77777777" w:rsidR="009F684B" w:rsidRPr="008C3A43"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C3A43">
        <w:rPr>
          <w:rFonts w:ascii="Arial" w:eastAsia="Times New Roman" w:hAnsi="Arial" w:cs="Arial"/>
          <w:kern w:val="0"/>
          <w:sz w:val="22"/>
          <w:szCs w:val="22"/>
          <w:lang w:eastAsia="en-GB"/>
          <w14:ligatures w14:val="none"/>
        </w:rPr>
        <w:t>Core Policy 64</w:t>
      </w:r>
      <w:r w:rsidR="006A735A" w:rsidRPr="008C3A43">
        <w:rPr>
          <w:rFonts w:ascii="Arial" w:eastAsia="Times New Roman" w:hAnsi="Arial" w:cs="Arial"/>
          <w:kern w:val="0"/>
          <w:sz w:val="22"/>
          <w:szCs w:val="22"/>
          <w:lang w:eastAsia="en-GB"/>
          <w14:ligatures w14:val="none"/>
        </w:rPr>
        <w:t>:</w:t>
      </w:r>
      <w:r w:rsidRPr="008C3A43">
        <w:rPr>
          <w:rFonts w:ascii="Arial" w:eastAsia="Times New Roman" w:hAnsi="Arial" w:cs="Arial"/>
          <w:kern w:val="0"/>
          <w:sz w:val="22"/>
          <w:szCs w:val="22"/>
          <w:lang w:eastAsia="en-GB"/>
          <w14:ligatures w14:val="none"/>
        </w:rPr>
        <w:t xml:space="preserve"> Demand Management</w:t>
      </w:r>
    </w:p>
    <w:p w14:paraId="2AE05E93" w14:textId="77777777" w:rsidR="00DC0041" w:rsidRPr="008C3A43"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C3A43">
        <w:rPr>
          <w:rFonts w:ascii="Arial" w:eastAsia="Times New Roman" w:hAnsi="Arial" w:cs="Arial"/>
          <w:kern w:val="0"/>
          <w:sz w:val="22"/>
          <w:szCs w:val="22"/>
          <w:lang w:eastAsia="en-GB"/>
          <w14:ligatures w14:val="none"/>
        </w:rPr>
        <w:t>Core Policy 67</w:t>
      </w:r>
      <w:r w:rsidR="006A735A" w:rsidRPr="008C3A43">
        <w:rPr>
          <w:rFonts w:ascii="Arial" w:eastAsia="Times New Roman" w:hAnsi="Arial" w:cs="Arial"/>
          <w:kern w:val="0"/>
          <w:sz w:val="22"/>
          <w:szCs w:val="22"/>
          <w:lang w:eastAsia="en-GB"/>
          <w14:ligatures w14:val="none"/>
        </w:rPr>
        <w:t>:</w:t>
      </w:r>
      <w:r w:rsidRPr="008C3A43">
        <w:rPr>
          <w:rFonts w:ascii="Arial" w:eastAsia="Times New Roman" w:hAnsi="Arial" w:cs="Arial"/>
          <w:kern w:val="0"/>
          <w:sz w:val="22"/>
          <w:szCs w:val="22"/>
          <w:lang w:eastAsia="en-GB"/>
          <w14:ligatures w14:val="none"/>
        </w:rPr>
        <w:t xml:space="preserve"> Flood Risk </w:t>
      </w:r>
    </w:p>
    <w:p w14:paraId="7480F8DF"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2D87581"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5209E5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F667C1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9B26E9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D489B1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571FF0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1522C5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87C4CF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1A3D160" w14:textId="0DC4B831" w:rsidR="008C3A43" w:rsidRDefault="008C3A43" w:rsidP="0016162B">
      <w:pPr>
        <w:spacing w:after="0" w:line="276" w:lineRule="auto"/>
        <w:jc w:val="both"/>
        <w:rPr>
          <w:rFonts w:ascii="Arial" w:eastAsia="Times New Roman" w:hAnsi="Arial" w:cs="Arial"/>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Manningford</w:t>
      </w:r>
      <w:proofErr w:type="spellEnd"/>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 xml:space="preserve">, the following comments were received: </w:t>
      </w:r>
    </w:p>
    <w:p w14:paraId="42D6A8BB" w14:textId="77777777" w:rsidR="008C3A43" w:rsidRDefault="008C3A43" w:rsidP="0016162B">
      <w:pPr>
        <w:spacing w:after="0" w:line="276" w:lineRule="auto"/>
        <w:jc w:val="both"/>
        <w:rPr>
          <w:rFonts w:ascii="Arial" w:eastAsia="Times New Roman" w:hAnsi="Arial" w:cs="Arial"/>
          <w:kern w:val="0"/>
          <w:sz w:val="22"/>
          <w:szCs w:val="22"/>
          <w:lang w:eastAsia="en-GB"/>
          <w14:ligatures w14:val="none"/>
        </w:rPr>
      </w:pPr>
    </w:p>
    <w:p w14:paraId="40FFCD6D" w14:textId="37808134" w:rsidR="008C3A43" w:rsidRPr="008C3A43" w:rsidRDefault="008C3A43" w:rsidP="0016162B">
      <w:pPr>
        <w:spacing w:after="0" w:line="276" w:lineRule="auto"/>
        <w:jc w:val="both"/>
        <w:rPr>
          <w:rFonts w:ascii="Arial" w:eastAsia="Times New Roman" w:hAnsi="Arial" w:cs="Arial"/>
          <w:i/>
          <w:iCs/>
          <w:kern w:val="0"/>
          <w:sz w:val="22"/>
          <w:szCs w:val="22"/>
          <w:lang w:eastAsia="en-GB"/>
          <w14:ligatures w14:val="none"/>
        </w:rPr>
      </w:pPr>
      <w:r w:rsidRPr="008C3A43">
        <w:rPr>
          <w:rFonts w:ascii="Arial" w:eastAsia="Times New Roman" w:hAnsi="Arial" w:cs="Arial"/>
          <w:i/>
          <w:iCs/>
          <w:kern w:val="0"/>
          <w:sz w:val="22"/>
          <w:szCs w:val="22"/>
          <w:lang w:eastAsia="en-GB"/>
          <w14:ligatures w14:val="none"/>
        </w:rPr>
        <w:t>“</w:t>
      </w:r>
      <w:proofErr w:type="spellStart"/>
      <w:r w:rsidRPr="008C3A43">
        <w:rPr>
          <w:rFonts w:ascii="Arial" w:eastAsia="Times New Roman" w:hAnsi="Arial" w:cs="Arial"/>
          <w:i/>
          <w:iCs/>
          <w:kern w:val="0"/>
          <w:sz w:val="22"/>
          <w:szCs w:val="22"/>
          <w:lang w:eastAsia="en-GB"/>
          <w14:ligatures w14:val="none"/>
        </w:rPr>
        <w:t>Manningford</w:t>
      </w:r>
      <w:proofErr w:type="spellEnd"/>
      <w:r w:rsidRPr="008C3A43">
        <w:rPr>
          <w:rFonts w:ascii="Arial" w:eastAsia="Times New Roman" w:hAnsi="Arial" w:cs="Arial"/>
          <w:i/>
          <w:iCs/>
          <w:kern w:val="0"/>
          <w:sz w:val="22"/>
          <w:szCs w:val="22"/>
          <w:lang w:eastAsia="en-GB"/>
          <w14:ligatures w14:val="none"/>
        </w:rPr>
        <w:t xml:space="preserve"> Parish council support the various elements of the planning application at Drove House. The house is in a very poor state of </w:t>
      </w:r>
      <w:proofErr w:type="gramStart"/>
      <w:r w:rsidRPr="008C3A43">
        <w:rPr>
          <w:rFonts w:ascii="Arial" w:eastAsia="Times New Roman" w:hAnsi="Arial" w:cs="Arial"/>
          <w:i/>
          <w:iCs/>
          <w:kern w:val="0"/>
          <w:sz w:val="22"/>
          <w:szCs w:val="22"/>
          <w:lang w:eastAsia="en-GB"/>
          <w14:ligatures w14:val="none"/>
        </w:rPr>
        <w:t>repair</w:t>
      </w:r>
      <w:proofErr w:type="gramEnd"/>
      <w:r w:rsidRPr="008C3A43">
        <w:rPr>
          <w:rFonts w:ascii="Arial" w:eastAsia="Times New Roman" w:hAnsi="Arial" w:cs="Arial"/>
          <w:i/>
          <w:iCs/>
          <w:kern w:val="0"/>
          <w:sz w:val="22"/>
          <w:szCs w:val="22"/>
          <w:lang w:eastAsia="en-GB"/>
          <w14:ligatures w14:val="none"/>
        </w:rPr>
        <w:t xml:space="preserve"> and the parish council consider that the changes will improve the house. The side extension is at the opposite end of the house from the only neighbour, and the garden room extension will also not affect anybody and is not out of place with the rest of the house. There aren't any issues with overlooking with the new windows or the extensions. The Porch is an improvement and will also not affect anybody.”</w:t>
      </w:r>
    </w:p>
    <w:bookmarkEnd w:id="1"/>
    <w:p w14:paraId="193FC37B" w14:textId="77777777" w:rsidR="000815DE" w:rsidRPr="008C3A43"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71E622A0" w14:textId="77777777" w:rsidR="008C3A43" w:rsidRPr="008C3A43" w:rsidRDefault="008C3A43" w:rsidP="009C1702">
      <w:pPr>
        <w:spacing w:after="0" w:line="276" w:lineRule="auto"/>
        <w:jc w:val="both"/>
        <w:rPr>
          <w:rFonts w:ascii="Arial" w:eastAsia="Times New Roman" w:hAnsi="Arial" w:cs="Arial"/>
          <w:kern w:val="0"/>
          <w:sz w:val="22"/>
          <w:szCs w:val="22"/>
          <w:lang w:eastAsia="en-GB"/>
          <w14:ligatures w14:val="none"/>
        </w:rPr>
      </w:pPr>
      <w:r w:rsidRPr="008C3A43">
        <w:rPr>
          <w:rFonts w:ascii="Arial" w:eastAsia="Times New Roman" w:hAnsi="Arial" w:cs="Arial"/>
          <w:kern w:val="0"/>
          <w:sz w:val="22"/>
          <w:szCs w:val="22"/>
          <w:u w:val="single"/>
          <w:lang w:eastAsia="en-GB"/>
          <w14:ligatures w14:val="none"/>
        </w:rPr>
        <w:t>Highways:</w:t>
      </w:r>
      <w:r w:rsidR="000815DE" w:rsidRPr="008C3A43">
        <w:rPr>
          <w:rFonts w:ascii="Arial" w:eastAsia="Times New Roman" w:hAnsi="Arial" w:cs="Arial"/>
          <w:kern w:val="0"/>
          <w:sz w:val="22"/>
          <w:szCs w:val="22"/>
          <w:lang w:eastAsia="en-GB"/>
          <w14:ligatures w14:val="none"/>
        </w:rPr>
        <w:t xml:space="preserve"> </w:t>
      </w:r>
      <w:r w:rsidRPr="008C3A43">
        <w:rPr>
          <w:rFonts w:ascii="Arial" w:eastAsia="Times New Roman" w:hAnsi="Arial" w:cs="Arial"/>
          <w:kern w:val="0"/>
          <w:sz w:val="22"/>
          <w:szCs w:val="22"/>
          <w:lang w:eastAsia="en-GB"/>
          <w14:ligatures w14:val="none"/>
        </w:rPr>
        <w:t>No objection.</w:t>
      </w:r>
    </w:p>
    <w:p w14:paraId="27972A74" w14:textId="77777777" w:rsidR="008C3A43" w:rsidRPr="008C3A43" w:rsidRDefault="008C3A43" w:rsidP="009C1702">
      <w:pPr>
        <w:spacing w:after="0" w:line="276" w:lineRule="auto"/>
        <w:jc w:val="both"/>
        <w:rPr>
          <w:rFonts w:ascii="Arial" w:eastAsia="Times New Roman" w:hAnsi="Arial" w:cs="Arial"/>
          <w:kern w:val="0"/>
          <w:sz w:val="22"/>
          <w:szCs w:val="22"/>
          <w:lang w:eastAsia="en-GB"/>
          <w14:ligatures w14:val="none"/>
        </w:rPr>
      </w:pPr>
    </w:p>
    <w:p w14:paraId="3E3AFB08" w14:textId="62E922AE" w:rsidR="00A55952" w:rsidRPr="008C3A43" w:rsidRDefault="008C3A43" w:rsidP="009C1702">
      <w:pPr>
        <w:spacing w:after="0" w:line="276" w:lineRule="auto"/>
        <w:jc w:val="both"/>
        <w:rPr>
          <w:rFonts w:ascii="Arial" w:eastAsia="Times New Roman" w:hAnsi="Arial" w:cs="Arial"/>
          <w:kern w:val="0"/>
          <w:sz w:val="22"/>
          <w:szCs w:val="22"/>
          <w:lang w:eastAsia="en-GB"/>
          <w14:ligatures w14:val="none"/>
        </w:rPr>
      </w:pPr>
      <w:r w:rsidRPr="008C3A43">
        <w:rPr>
          <w:rFonts w:ascii="Arial" w:eastAsia="Times New Roman" w:hAnsi="Arial" w:cs="Arial"/>
          <w:kern w:val="0"/>
          <w:sz w:val="22"/>
          <w:szCs w:val="22"/>
          <w:u w:val="single"/>
          <w:lang w:eastAsia="en-GB"/>
          <w14:ligatures w14:val="none"/>
        </w:rPr>
        <w:t>Public Rights of Way:</w:t>
      </w:r>
      <w:r w:rsidRPr="008C3A43">
        <w:rPr>
          <w:rFonts w:ascii="Arial" w:eastAsia="Times New Roman" w:hAnsi="Arial" w:cs="Arial"/>
          <w:kern w:val="0"/>
          <w:sz w:val="22"/>
          <w:szCs w:val="22"/>
          <w:lang w:eastAsia="en-GB"/>
          <w14:ligatures w14:val="none"/>
        </w:rPr>
        <w:t xml:space="preserve"> No comments received at the time of writing.  </w:t>
      </w:r>
    </w:p>
    <w:p w14:paraId="77BD4855"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38CCA55"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B3AF69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014002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561867"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B7C05F7"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3FFDCDE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D072A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05CB4DC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374A93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D8C3A2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79F090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B2B751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D36E73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E51F5B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94D20B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6EEBCF4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77C0B1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CC18C94"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483AD7D7"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1477374A"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181895CC"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of the policy.</w:t>
      </w:r>
    </w:p>
    <w:p w14:paraId="02376850"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w:t>
      </w:r>
    </w:p>
    <w:p w14:paraId="4CD36564" w14:textId="61B9365E" w:rsid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r w:rsidRPr="008C3A43">
        <w:rPr>
          <w:rFonts w:ascii="Arial" w:eastAsia="Times New Roman" w:hAnsi="Arial" w:cs="Arial"/>
          <w:color w:val="000000" w:themeColor="text1"/>
          <w:kern w:val="0"/>
          <w:sz w:val="22"/>
          <w:szCs w:val="22"/>
          <w:lang w:eastAsia="en-GB"/>
          <w14:ligatures w14:val="none"/>
        </w:rPr>
        <w:t>The proposal comprises a two-storey side extension together with alterations and extensions to existing ancillary elements of the dwelling. The extensions would be contained within a generous residential plot and would remain proportionate to the scale and form of the host dwelling. The two-storey side extension appear as a natural continuation of the existing dwelling. The proposed roof form, scale and proportions reflect those of the existing dwelling and would integrate satisfactorily with the host building.</w:t>
      </w:r>
    </w:p>
    <w:p w14:paraId="116B7020" w14:textId="77777777" w:rsidR="008C3A43" w:rsidRP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p>
    <w:p w14:paraId="64E57E8C" w14:textId="77777777" w:rsid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r w:rsidRPr="008C3A43">
        <w:rPr>
          <w:rFonts w:ascii="Arial" w:eastAsia="Times New Roman" w:hAnsi="Arial" w:cs="Arial"/>
          <w:color w:val="000000" w:themeColor="text1"/>
          <w:kern w:val="0"/>
          <w:sz w:val="22"/>
          <w:szCs w:val="22"/>
          <w:lang w:eastAsia="en-GB"/>
          <w14:ligatures w14:val="none"/>
        </w:rPr>
        <w:t>The proposed garden room extension would be finished with oak weatherboarding. Whilst contrasting with the brick elevations of the dwelling, this material is already present on the detached garage/carport building elsewhere within the site and is therefore considered an appropriate and complementary feature within the wider context of the property. The application form confirms that reclaimed facing brickwork and roof tiles are proposed to match the existing dwelling.</w:t>
      </w:r>
    </w:p>
    <w:p w14:paraId="3714D9AF" w14:textId="77777777" w:rsidR="008C3A43" w:rsidRP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p>
    <w:p w14:paraId="1F4C0B43" w14:textId="5334BD2A" w:rsidR="00965FBC" w:rsidRPr="00A050F1" w:rsidRDefault="008C3A43" w:rsidP="008C3A43">
      <w:pPr>
        <w:spacing w:after="0" w:line="276" w:lineRule="auto"/>
        <w:jc w:val="both"/>
        <w:rPr>
          <w:rFonts w:ascii="Arial" w:hAnsi="Arial" w:cs="Arial"/>
          <w:color w:val="000000" w:themeColor="text1"/>
          <w:sz w:val="22"/>
          <w:szCs w:val="22"/>
        </w:rPr>
      </w:pPr>
      <w:r w:rsidRPr="008C3A43">
        <w:rPr>
          <w:rFonts w:ascii="Arial" w:eastAsia="Times New Roman" w:hAnsi="Arial" w:cs="Arial"/>
          <w:color w:val="000000" w:themeColor="text1"/>
          <w:kern w:val="0"/>
          <w:sz w:val="22"/>
          <w:szCs w:val="22"/>
          <w:lang w:eastAsia="en-GB"/>
          <w14:ligatures w14:val="none"/>
        </w:rPr>
        <w:t xml:space="preserve">Having regard to the scale, siting, design and appearance of the proposed development, it is considered that the proposal would respect the character of the existing dwelling and would not result in harm to the character or appearance of the surrounding area. Subject to a condition requiring matching external materials, the proposal is considered to comply with </w:t>
      </w:r>
      <w:r w:rsidRPr="008C3A43">
        <w:rPr>
          <w:rFonts w:ascii="Arial" w:eastAsia="Times New Roman" w:hAnsi="Arial" w:cs="Arial"/>
          <w:color w:val="000000" w:themeColor="text1"/>
          <w:kern w:val="0"/>
          <w:sz w:val="22"/>
          <w:szCs w:val="22"/>
          <w:lang w:eastAsia="en-GB"/>
          <w14:ligatures w14:val="none"/>
        </w:rPr>
        <w:lastRenderedPageBreak/>
        <w:t>Core Policy 57 of the Wiltshire Core Strategy, Appendix D of the Wiltshire Design Guide and the NPPF.</w:t>
      </w:r>
    </w:p>
    <w:p w14:paraId="4358DB89" w14:textId="77777777" w:rsidR="00A050F1" w:rsidRDefault="00A050F1" w:rsidP="00A050F1">
      <w:pPr>
        <w:spacing w:after="0" w:line="276" w:lineRule="auto"/>
        <w:jc w:val="both"/>
        <w:rPr>
          <w:rFonts w:ascii="Arial" w:hAnsi="Arial" w:cs="Arial"/>
          <w:b/>
          <w:bCs/>
          <w:i/>
          <w:iCs/>
          <w:color w:val="FF0000"/>
          <w:sz w:val="22"/>
          <w:szCs w:val="22"/>
        </w:rPr>
      </w:pPr>
    </w:p>
    <w:p w14:paraId="42EAFA9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B9BB12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EE7A6D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7F7799E" w14:textId="77777777" w:rsidR="00393433" w:rsidRDefault="00393433" w:rsidP="00A050F1">
      <w:pPr>
        <w:spacing w:after="0" w:line="276" w:lineRule="auto"/>
        <w:jc w:val="both"/>
        <w:rPr>
          <w:rFonts w:ascii="Arial" w:hAnsi="Arial" w:cs="Arial"/>
          <w:color w:val="000000" w:themeColor="text1"/>
          <w:sz w:val="22"/>
          <w:szCs w:val="22"/>
        </w:rPr>
      </w:pPr>
    </w:p>
    <w:p w14:paraId="3C016622"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1CB807FC" w14:textId="77777777" w:rsidR="00400FB2" w:rsidRDefault="00400FB2" w:rsidP="00A050F1">
      <w:pPr>
        <w:spacing w:after="0" w:line="276" w:lineRule="auto"/>
        <w:jc w:val="both"/>
        <w:rPr>
          <w:rFonts w:ascii="Arial" w:hAnsi="Arial" w:cs="Arial"/>
          <w:color w:val="000000" w:themeColor="text1"/>
          <w:sz w:val="22"/>
          <w:szCs w:val="22"/>
        </w:rPr>
      </w:pPr>
    </w:p>
    <w:p w14:paraId="5B171C0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09AE4FA" w14:textId="77777777" w:rsidR="00DB13C3" w:rsidRDefault="00DB13C3" w:rsidP="00DB13C3">
      <w:pPr>
        <w:spacing w:after="0" w:line="276" w:lineRule="auto"/>
        <w:jc w:val="both"/>
        <w:rPr>
          <w:rFonts w:ascii="Arial" w:hAnsi="Arial" w:cs="Arial"/>
          <w:i/>
          <w:iCs/>
          <w:color w:val="000000" w:themeColor="text1"/>
          <w:sz w:val="22"/>
          <w:szCs w:val="22"/>
        </w:rPr>
      </w:pPr>
    </w:p>
    <w:p w14:paraId="5D95EB1C" w14:textId="32E1625A" w:rsidR="008C3A43" w:rsidRP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r w:rsidRPr="008C3A43">
        <w:rPr>
          <w:rFonts w:ascii="Arial" w:eastAsia="Times New Roman" w:hAnsi="Arial" w:cs="Arial"/>
          <w:color w:val="000000" w:themeColor="text1"/>
          <w:kern w:val="0"/>
          <w:sz w:val="22"/>
          <w:szCs w:val="22"/>
          <w:lang w:eastAsia="en-GB"/>
          <w14:ligatures w14:val="none"/>
        </w:rPr>
        <w:t xml:space="preserve">The nearest residential property is The Willows, located to the north-west of the application site. The proposed two-storey extension would be positioned on the </w:t>
      </w:r>
      <w:r w:rsidR="006055FB">
        <w:rPr>
          <w:rFonts w:ascii="Arial" w:eastAsia="Times New Roman" w:hAnsi="Arial" w:cs="Arial"/>
          <w:color w:val="000000" w:themeColor="text1"/>
          <w:kern w:val="0"/>
          <w:sz w:val="22"/>
          <w:szCs w:val="22"/>
          <w:lang w:eastAsia="en-GB"/>
          <w14:ligatures w14:val="none"/>
        </w:rPr>
        <w:t xml:space="preserve">blind </w:t>
      </w:r>
      <w:r w:rsidRPr="008C3A43">
        <w:rPr>
          <w:rFonts w:ascii="Arial" w:eastAsia="Times New Roman" w:hAnsi="Arial" w:cs="Arial"/>
          <w:color w:val="000000" w:themeColor="text1"/>
          <w:kern w:val="0"/>
          <w:sz w:val="22"/>
          <w:szCs w:val="22"/>
          <w:lang w:eastAsia="en-GB"/>
          <w14:ligatures w14:val="none"/>
        </w:rPr>
        <w:t xml:space="preserve">side </w:t>
      </w:r>
      <w:r w:rsidR="006055FB">
        <w:rPr>
          <w:rFonts w:ascii="Arial" w:eastAsia="Times New Roman" w:hAnsi="Arial" w:cs="Arial"/>
          <w:color w:val="000000" w:themeColor="text1"/>
          <w:kern w:val="0"/>
          <w:sz w:val="22"/>
          <w:szCs w:val="22"/>
          <w:lang w:eastAsia="en-GB"/>
          <w14:ligatures w14:val="none"/>
        </w:rPr>
        <w:t>to</w:t>
      </w:r>
      <w:r w:rsidRPr="008C3A43">
        <w:rPr>
          <w:rFonts w:ascii="Arial" w:eastAsia="Times New Roman" w:hAnsi="Arial" w:cs="Arial"/>
          <w:color w:val="000000" w:themeColor="text1"/>
          <w:kern w:val="0"/>
          <w:sz w:val="22"/>
          <w:szCs w:val="22"/>
          <w:lang w:eastAsia="en-GB"/>
          <w14:ligatures w14:val="none"/>
        </w:rPr>
        <w:t xml:space="preserve"> this neighbouring property</w:t>
      </w:r>
      <w:r w:rsidR="006055FB">
        <w:rPr>
          <w:rFonts w:ascii="Arial" w:eastAsia="Times New Roman" w:hAnsi="Arial" w:cs="Arial"/>
          <w:color w:val="000000" w:themeColor="text1"/>
          <w:kern w:val="0"/>
          <w:sz w:val="22"/>
          <w:szCs w:val="22"/>
          <w:lang w:eastAsia="en-GB"/>
          <w14:ligatures w14:val="none"/>
        </w:rPr>
        <w:t xml:space="preserve"> and </w:t>
      </w:r>
      <w:r w:rsidRPr="008C3A43">
        <w:rPr>
          <w:rFonts w:ascii="Arial" w:eastAsia="Times New Roman" w:hAnsi="Arial" w:cs="Arial"/>
          <w:color w:val="000000" w:themeColor="text1"/>
          <w:kern w:val="0"/>
          <w:sz w:val="22"/>
          <w:szCs w:val="22"/>
          <w:lang w:eastAsia="en-GB"/>
          <w14:ligatures w14:val="none"/>
        </w:rPr>
        <w:t>would be separated from the shared boundary by a substantial distance</w:t>
      </w:r>
      <w:r w:rsidR="006055FB">
        <w:rPr>
          <w:rFonts w:ascii="Arial" w:eastAsia="Times New Roman" w:hAnsi="Arial" w:cs="Arial"/>
          <w:color w:val="000000" w:themeColor="text1"/>
          <w:kern w:val="0"/>
          <w:sz w:val="22"/>
          <w:szCs w:val="22"/>
          <w:lang w:eastAsia="en-GB"/>
          <w14:ligatures w14:val="none"/>
        </w:rPr>
        <w:t xml:space="preserve">. </w:t>
      </w:r>
    </w:p>
    <w:p w14:paraId="4106A926" w14:textId="77777777" w:rsidR="008C3A43" w:rsidRP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p>
    <w:p w14:paraId="5B697640" w14:textId="77777777" w:rsidR="008C3A43" w:rsidRP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r w:rsidRPr="008C3A43">
        <w:rPr>
          <w:rFonts w:ascii="Arial" w:eastAsia="Times New Roman" w:hAnsi="Arial" w:cs="Arial"/>
          <w:color w:val="000000" w:themeColor="text1"/>
          <w:kern w:val="0"/>
          <w:sz w:val="22"/>
          <w:szCs w:val="22"/>
          <w:lang w:eastAsia="en-GB"/>
          <w14:ligatures w14:val="none"/>
        </w:rPr>
        <w:t>No first-floor windows are proposed within the side elevations of the extension and therefore no unacceptable overlooking or loss of privacy would arise. Given the separation distances involved, together with the scale and orientation of the development, the proposal would not result in any unacceptable loss of light, overshadowing or overbearing impact upon neighbouring occupiers.</w:t>
      </w:r>
    </w:p>
    <w:p w14:paraId="41C8B882" w14:textId="77777777" w:rsidR="008C3A43" w:rsidRP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p>
    <w:p w14:paraId="14F38D07" w14:textId="77EA505C" w:rsidR="00AF104C" w:rsidRPr="008C3A43"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r w:rsidRPr="008C3A43">
        <w:rPr>
          <w:rFonts w:ascii="Arial" w:eastAsia="Times New Roman" w:hAnsi="Arial" w:cs="Arial"/>
          <w:color w:val="000000" w:themeColor="text1"/>
          <w:kern w:val="0"/>
          <w:sz w:val="22"/>
          <w:szCs w:val="22"/>
          <w:lang w:eastAsia="en-GB"/>
          <w14:ligatures w14:val="none"/>
        </w:rPr>
        <w:t>The proposal therefore accords with Core Policy 57 point vii, Appendix D of the Wiltshire Design Guide and the NPPF.</w:t>
      </w:r>
    </w:p>
    <w:p w14:paraId="63385BB0" w14:textId="77777777" w:rsidR="008C3A43" w:rsidRPr="008C3A43" w:rsidRDefault="008C3A43" w:rsidP="008C3A43">
      <w:pPr>
        <w:spacing w:after="0" w:line="276" w:lineRule="auto"/>
        <w:jc w:val="both"/>
        <w:rPr>
          <w:rFonts w:ascii="Arial" w:eastAsia="Times New Roman" w:hAnsi="Arial" w:cs="Arial"/>
          <w:b/>
          <w:bCs/>
          <w:color w:val="000000" w:themeColor="text1"/>
          <w:kern w:val="0"/>
          <w:sz w:val="22"/>
          <w:szCs w:val="22"/>
          <w:lang w:eastAsia="en-GB"/>
          <w14:ligatures w14:val="none"/>
        </w:rPr>
      </w:pPr>
    </w:p>
    <w:p w14:paraId="5E761544" w14:textId="34C72F8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731AB5B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2BAB394"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881D4B"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13D888A3"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D874A9" w14:textId="77777777" w:rsidR="0003067A"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r w:rsidRPr="008C3A43">
        <w:rPr>
          <w:rFonts w:ascii="Arial" w:eastAsia="Times New Roman" w:hAnsi="Arial" w:cs="Arial"/>
          <w:color w:val="000000" w:themeColor="text1"/>
          <w:kern w:val="0"/>
          <w:sz w:val="22"/>
          <w:szCs w:val="22"/>
          <w:lang w:eastAsia="en-GB"/>
          <w14:ligatures w14:val="none"/>
        </w:rPr>
        <w:t xml:space="preserve">The proposal does not involve any alterations to the existing access arrangements serving the site. Access would continue to be taken via the existing route adjacent to Public Bridleway MANN28. The Highway Officer has raised no objection and confirms that the proposal would not adversely affect highway interests and that adequate parking provision exists within the site. Whilst the Highway Officer has advised that the applicant should ensure that users of the </w:t>
      </w:r>
      <w:r w:rsidRPr="008C3A43">
        <w:rPr>
          <w:rFonts w:ascii="Arial" w:eastAsia="Times New Roman" w:hAnsi="Arial" w:cs="Arial"/>
          <w:color w:val="000000" w:themeColor="text1"/>
          <w:kern w:val="0"/>
          <w:sz w:val="22"/>
          <w:szCs w:val="22"/>
          <w:lang w:eastAsia="en-GB"/>
          <w14:ligatures w14:val="none"/>
        </w:rPr>
        <w:lastRenderedPageBreak/>
        <w:t xml:space="preserve">public right of way are not obstructed during construction works, this is not considered to warrant a planning condition given that the development would not affect the route itself. The proposal is therefore considered acceptable in highway safety terms. </w:t>
      </w:r>
    </w:p>
    <w:p w14:paraId="790247E7" w14:textId="77777777" w:rsidR="0003067A" w:rsidRDefault="0003067A" w:rsidP="008C3A43">
      <w:pPr>
        <w:spacing w:after="0" w:line="276" w:lineRule="auto"/>
        <w:jc w:val="both"/>
        <w:rPr>
          <w:rFonts w:ascii="Arial" w:eastAsia="Times New Roman" w:hAnsi="Arial" w:cs="Arial"/>
          <w:color w:val="000000" w:themeColor="text1"/>
          <w:kern w:val="0"/>
          <w:sz w:val="22"/>
          <w:szCs w:val="22"/>
          <w:lang w:eastAsia="en-GB"/>
          <w14:ligatures w14:val="none"/>
        </w:rPr>
      </w:pPr>
    </w:p>
    <w:p w14:paraId="551B9A1F" w14:textId="10005D27" w:rsidR="006705B5" w:rsidRDefault="008C3A43" w:rsidP="008C3A43">
      <w:pPr>
        <w:spacing w:after="0" w:line="276" w:lineRule="auto"/>
        <w:jc w:val="both"/>
        <w:rPr>
          <w:rFonts w:ascii="Arial" w:eastAsia="Times New Roman" w:hAnsi="Arial" w:cs="Arial"/>
          <w:color w:val="000000" w:themeColor="text1"/>
          <w:kern w:val="0"/>
          <w:sz w:val="22"/>
          <w:szCs w:val="22"/>
          <w:lang w:eastAsia="en-GB"/>
          <w14:ligatures w14:val="none"/>
        </w:rPr>
      </w:pPr>
      <w:r w:rsidRPr="008C3A43">
        <w:rPr>
          <w:rFonts w:ascii="Arial" w:eastAsia="Times New Roman" w:hAnsi="Arial" w:cs="Arial"/>
          <w:color w:val="000000" w:themeColor="text1"/>
          <w:kern w:val="0"/>
          <w:sz w:val="22"/>
          <w:szCs w:val="22"/>
          <w:lang w:eastAsia="en-GB"/>
          <w14:ligatures w14:val="none"/>
        </w:rPr>
        <w:t>The proposal would not result in any adverse impact on highway safety and is therefore considered to comply with Core Policies 57, 61 and 64 of the Wiltshire Core Strategy and the NPPF.</w:t>
      </w:r>
    </w:p>
    <w:p w14:paraId="6545800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64CD339" w14:textId="367F820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C500D4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619E88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AFB7D49"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6D0209FF"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249789C" w14:textId="791ED689" w:rsidR="00515980" w:rsidRDefault="0003067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3067A">
        <w:rPr>
          <w:rFonts w:ascii="Arial" w:eastAsia="Times New Roman" w:hAnsi="Arial" w:cs="Arial"/>
          <w:color w:val="000000" w:themeColor="text1"/>
          <w:kern w:val="0"/>
          <w:sz w:val="22"/>
          <w:szCs w:val="22"/>
          <w:lang w:eastAsia="en-GB"/>
          <w14:ligatures w14:val="none"/>
        </w:rPr>
        <w:t>The application site lies within the Hampshire Avon Catchment and Salisbury Plain 6.4km recreation buffer. However, the proposal relates to extensions and alterations to an existing dwelling within an established residential curtilage and would not result in the creation of additional residential units. As such, the proposal would not give rise to additional recreational pressure on Salisbury Plain SPA nor increase nutrient loading within the Hampshire Avon Catchment. The proposal is therefore not considered to result in harm to protected habitats or ecological interests and complies with Core Policy 50 of the Wiltshire Core Strategy and the NPPF.</w:t>
      </w:r>
    </w:p>
    <w:p w14:paraId="4D06C7E8"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82FE58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0852225"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E7B9E77" w14:textId="6A2B9BC1"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77AF77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0374C3C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1883B62"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438634A0" w14:textId="77777777" w:rsidR="0003067A" w:rsidRDefault="0003067A"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D7DFE6B" w14:textId="7ADE76F3" w:rsidR="00E10F53" w:rsidRPr="00F40F2D" w:rsidRDefault="0003067A"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03067A">
        <w:rPr>
          <w:rFonts w:ascii="Arial" w:eastAsia="Times New Roman" w:hAnsi="Arial" w:cs="Arial"/>
          <w:color w:val="000000" w:themeColor="text1"/>
          <w:kern w:val="0"/>
          <w:sz w:val="22"/>
          <w:szCs w:val="22"/>
          <w:lang w:eastAsia="en-GB"/>
          <w14:ligatures w14:val="none"/>
        </w:rPr>
        <w:t>The application site lies within the North Wessex Downs National Landscape. The proposal comprises domestic-scale extensions and alterations to an existing dwelling and would be viewed largely in the context of the existing built form and residential curtilage. Given the scale, siting and design of the proposed development, it is considered that the proposal would conserve the character and scenic qualities of the National Landscape and would not result in any material landscape harm.</w:t>
      </w:r>
    </w:p>
    <w:p w14:paraId="1596326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122D5B55"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158545" w14:textId="568F65F9"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61A6AD83" w14:textId="77777777" w:rsid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284EAF">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525B67C2" w14:textId="77777777" w:rsidR="00284EAF" w:rsidRP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3E7C508" w14:textId="6483F1E5" w:rsidR="00362D8F" w:rsidRPr="0003067A" w:rsidRDefault="0003067A" w:rsidP="00362D8F">
      <w:pPr>
        <w:spacing w:after="0" w:line="276" w:lineRule="auto"/>
        <w:jc w:val="both"/>
        <w:rPr>
          <w:rFonts w:ascii="Arial" w:eastAsia="Times New Roman" w:hAnsi="Arial" w:cs="Arial"/>
          <w:kern w:val="0"/>
          <w:sz w:val="22"/>
          <w:szCs w:val="22"/>
          <w:lang w:eastAsia="en-GB"/>
          <w14:ligatures w14:val="none"/>
        </w:rPr>
      </w:pPr>
      <w:r w:rsidRPr="0003067A">
        <w:rPr>
          <w:rFonts w:ascii="Arial" w:eastAsia="Times New Roman" w:hAnsi="Arial" w:cs="Arial"/>
          <w:kern w:val="0"/>
          <w:sz w:val="22"/>
          <w:szCs w:val="22"/>
          <w:lang w:eastAsia="en-GB"/>
          <w14:ligatures w14:val="none"/>
        </w:rPr>
        <w:t xml:space="preserve">The application site lies within Flood Zone 1 and therefore within the area of lowest probability of fluvial flooding. Whilst Council mapping identifies potential for elevated groundwater levels in the locality, the proposal comprises extensions and alterations to an existing dwelling with no basement accommodation proposed and no alteration to existing finished floor levels. Given the scale and nature of the development, it is not considered that the proposal would be at unacceptable risk from flooding or would increase flood risk elsewhere. </w:t>
      </w:r>
    </w:p>
    <w:p w14:paraId="49C9F9E0" w14:textId="77777777" w:rsidR="0003067A" w:rsidRPr="00362D8F" w:rsidRDefault="0003067A"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5D7EA610"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5EB58BB4"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6297A93"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050381D"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60857ACA" w14:textId="77777777" w:rsidR="009C3A91" w:rsidRPr="0003067A" w:rsidRDefault="009C3A91" w:rsidP="009C1702">
      <w:pPr>
        <w:spacing w:after="0" w:line="276" w:lineRule="auto"/>
        <w:jc w:val="both"/>
        <w:rPr>
          <w:rFonts w:ascii="Arial" w:eastAsia="Times New Roman" w:hAnsi="Arial" w:cs="Arial"/>
          <w:kern w:val="0"/>
          <w:sz w:val="22"/>
          <w:szCs w:val="22"/>
          <w:lang w:eastAsia="en-GB"/>
          <w14:ligatures w14:val="none"/>
        </w:rPr>
      </w:pPr>
    </w:p>
    <w:p w14:paraId="3A4108FE" w14:textId="76CB880D" w:rsidR="00200044" w:rsidRPr="0003067A" w:rsidRDefault="0003067A" w:rsidP="009C1702">
      <w:pPr>
        <w:spacing w:after="0" w:line="276" w:lineRule="auto"/>
        <w:jc w:val="both"/>
        <w:rPr>
          <w:rFonts w:ascii="Arial" w:eastAsia="Times New Roman" w:hAnsi="Arial" w:cs="Arial"/>
          <w:kern w:val="0"/>
          <w:sz w:val="22"/>
          <w:szCs w:val="22"/>
          <w:lang w:eastAsia="en-GB"/>
          <w14:ligatures w14:val="none"/>
        </w:rPr>
      </w:pPr>
      <w:r w:rsidRPr="0003067A">
        <w:rPr>
          <w:rFonts w:ascii="Arial" w:eastAsia="Times New Roman" w:hAnsi="Arial" w:cs="Arial"/>
          <w:kern w:val="0"/>
          <w:sz w:val="22"/>
          <w:szCs w:val="22"/>
          <w:lang w:eastAsia="en-GB"/>
          <w14:ligatures w14:val="none"/>
        </w:rPr>
        <w:t>The Public Right of Way known as Bridleway MANN28 runs along the frontage of the site. The proposal does not involve any alteration to the existing access arrangements or any obstruction, diversion or impact upon the route of the public right of way. Accordingly, no concerns arise in this regard.</w:t>
      </w:r>
    </w:p>
    <w:p w14:paraId="27E2B1E1" w14:textId="77777777" w:rsidR="0003067A" w:rsidRPr="00394AB3" w:rsidRDefault="0003067A" w:rsidP="009C1702">
      <w:pPr>
        <w:spacing w:after="0" w:line="276" w:lineRule="auto"/>
        <w:jc w:val="both"/>
        <w:rPr>
          <w:rFonts w:ascii="Arial" w:eastAsia="Times New Roman" w:hAnsi="Arial" w:cs="Arial"/>
          <w:i/>
          <w:iCs/>
          <w:color w:val="FF0000"/>
          <w:kern w:val="0"/>
          <w:sz w:val="22"/>
          <w:szCs w:val="22"/>
          <w:lang w:eastAsia="en-GB"/>
          <w14:ligatures w14:val="none"/>
        </w:rPr>
      </w:pPr>
    </w:p>
    <w:p w14:paraId="6C02C55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15ACA3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30B9D3B"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E5FF1BF"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21CA173D"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60EA3362"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3C22799" w14:textId="77777777" w:rsidR="00284CD5" w:rsidRPr="004B2F79" w:rsidRDefault="00284CD5" w:rsidP="00284CD5">
      <w:pPr>
        <w:spacing w:after="0" w:line="276" w:lineRule="auto"/>
        <w:jc w:val="both"/>
        <w:rPr>
          <w:rFonts w:ascii="Arial" w:hAnsi="Arial" w:cs="Arial"/>
          <w:color w:val="000000" w:themeColor="text1"/>
          <w:sz w:val="22"/>
          <w:szCs w:val="22"/>
        </w:rPr>
      </w:pPr>
    </w:p>
    <w:p w14:paraId="1A75C8C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3A3B2D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A0FA47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52526F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D54EBB5"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6DE36301"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75A1F10"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lastRenderedPageBreak/>
        <w:t>Furthermore, the proposal would not result in any unacceptable impacts in respect of any other material planning considerations.</w:t>
      </w:r>
    </w:p>
    <w:p w14:paraId="676692D5"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51BF667"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7CC8C560"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D48ECA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D429BEA"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F64557E"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067A"/>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34D23"/>
    <w:rsid w:val="00141929"/>
    <w:rsid w:val="0014198B"/>
    <w:rsid w:val="00146329"/>
    <w:rsid w:val="00152901"/>
    <w:rsid w:val="0016162B"/>
    <w:rsid w:val="00162405"/>
    <w:rsid w:val="0018298F"/>
    <w:rsid w:val="00185935"/>
    <w:rsid w:val="001A22B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055FB"/>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4B10"/>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42C35"/>
    <w:rsid w:val="00744E80"/>
    <w:rsid w:val="00750FD1"/>
    <w:rsid w:val="00755B0D"/>
    <w:rsid w:val="007638C3"/>
    <w:rsid w:val="00771C95"/>
    <w:rsid w:val="007829D0"/>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A43"/>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919D6"/>
    <w:rsid w:val="00AB52C2"/>
    <w:rsid w:val="00AC01A4"/>
    <w:rsid w:val="00AD2BC0"/>
    <w:rsid w:val="00AD39FA"/>
    <w:rsid w:val="00AE028B"/>
    <w:rsid w:val="00AE04FE"/>
    <w:rsid w:val="00AF104C"/>
    <w:rsid w:val="00AF2650"/>
    <w:rsid w:val="00AF2AF9"/>
    <w:rsid w:val="00B01936"/>
    <w:rsid w:val="00B111D2"/>
    <w:rsid w:val="00B16D71"/>
    <w:rsid w:val="00B1710B"/>
    <w:rsid w:val="00B3075F"/>
    <w:rsid w:val="00B44C99"/>
    <w:rsid w:val="00B44EC9"/>
    <w:rsid w:val="00B54DA2"/>
    <w:rsid w:val="00B633AB"/>
    <w:rsid w:val="00B6556B"/>
    <w:rsid w:val="00B67C4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77182"/>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E47DB"/>
    <w:rsid w:val="00EE5C03"/>
    <w:rsid w:val="00EE6AA5"/>
    <w:rsid w:val="00EE7315"/>
    <w:rsid w:val="00EF0DA4"/>
    <w:rsid w:val="00F005A4"/>
    <w:rsid w:val="00F01283"/>
    <w:rsid w:val="00F05A00"/>
    <w:rsid w:val="00F07D8C"/>
    <w:rsid w:val="00F1263F"/>
    <w:rsid w:val="00F1491F"/>
    <w:rsid w:val="00F15E48"/>
    <w:rsid w:val="00F17D1C"/>
    <w:rsid w:val="00F2477F"/>
    <w:rsid w:val="00F24E24"/>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F76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2319</Words>
  <Characters>13336</Characters>
  <Application>Microsoft Office Word</Application>
  <DocSecurity>0</DocSecurity>
  <Lines>303</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salesforceId:658c7ded-3631-4ff2-9894-344636a93a6e</dc:subject>
  <dc:creator>O'Donoghue, Ruaridh</dc:creator>
  <cp:keywords/>
  <dc:description/>
  <cp:lastModifiedBy>Lucy Rutter-Dowd</cp:lastModifiedBy>
  <cp:revision>2</cp:revision>
  <dcterms:created xsi:type="dcterms:W3CDTF">2026-10-05T08:38:00Z</dcterms:created>
  <dcterms:modified xsi:type="dcterms:W3CDTF">2026-10-05T08:38:00Z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069Q300000Ub9pbIAB</vt:lpwstr>
  </property>
</Properties>
</file>