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4D53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0E4B8E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195936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4DE6BCB5" w14:textId="77777777" w:rsidTr="00683C17">
        <w:tc>
          <w:tcPr>
            <w:tcW w:w="3681" w:type="dxa"/>
          </w:tcPr>
          <w:p w14:paraId="72441C4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9FD8511"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PL/2026/05121</w:t>
            </w:r>
          </w:p>
        </w:tc>
      </w:tr>
      <w:tr w:rsidR="003951BD" w14:paraId="1D9DBE17" w14:textId="77777777" w:rsidTr="00683C17">
        <w:tc>
          <w:tcPr>
            <w:tcW w:w="3681" w:type="dxa"/>
          </w:tcPr>
          <w:p w14:paraId="27E25C4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1FBA2B5"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0B4B3361" w14:textId="77777777" w:rsidTr="00683C17">
        <w:tc>
          <w:tcPr>
            <w:tcW w:w="3681" w:type="dxa"/>
          </w:tcPr>
          <w:p w14:paraId="4792450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16E309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Dry Hill House, 32 Dry Hill, Crockerton, Warminster, BA12 8AT</w:t>
            </w:r>
          </w:p>
        </w:tc>
      </w:tr>
      <w:tr w:rsidR="003951BD" w14:paraId="5DDCC5C2" w14:textId="77777777" w:rsidTr="00683C17">
        <w:tc>
          <w:tcPr>
            <w:tcW w:w="3681" w:type="dxa"/>
          </w:tcPr>
          <w:p w14:paraId="5EFEC2E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E877693"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entrance porch</w:t>
            </w:r>
          </w:p>
        </w:tc>
      </w:tr>
      <w:tr w:rsidR="003951BD" w14:paraId="247B7D63" w14:textId="77777777" w:rsidTr="00683C17">
        <w:tc>
          <w:tcPr>
            <w:tcW w:w="3681" w:type="dxa"/>
          </w:tcPr>
          <w:p w14:paraId="799B941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08D36C8"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4CFC798"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6229118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C920C8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9F7A8DA" w14:textId="0DF61467"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A83800">
        <w:rPr>
          <w:rFonts w:ascii="Arial" w:eastAsia="Times New Roman" w:hAnsi="Arial" w:cs="Arial"/>
          <w:kern w:val="0"/>
          <w:sz w:val="22"/>
          <w:szCs w:val="22"/>
          <w:lang w:eastAsia="en-GB"/>
          <w14:ligatures w14:val="none"/>
        </w:rPr>
        <w:t xml:space="preserve">for </w:t>
      </w:r>
      <w:r w:rsidR="00AE0FB6" w:rsidRPr="00A83800">
        <w:rPr>
          <w:rFonts w:ascii="Arial" w:eastAsia="Times New Roman" w:hAnsi="Arial" w:cs="Arial"/>
          <w:i/>
          <w:iCs/>
          <w:kern w:val="0"/>
          <w:sz w:val="22"/>
          <w:szCs w:val="22"/>
          <w:lang w:eastAsia="en-GB"/>
          <w14:ligatures w14:val="none"/>
        </w:rPr>
        <w:t>Proposed entrance porch</w:t>
      </w:r>
      <w:r w:rsidR="00AE0FB6" w:rsidRPr="00A83800">
        <w:rPr>
          <w:rFonts w:ascii="Arial" w:eastAsia="Times New Roman" w:hAnsi="Arial" w:cs="Arial"/>
          <w:kern w:val="0"/>
          <w:sz w:val="22"/>
          <w:szCs w:val="22"/>
          <w:lang w:eastAsia="en-GB"/>
          <w14:ligatures w14:val="none"/>
        </w:rPr>
        <w:t xml:space="preserve"> at</w:t>
      </w:r>
      <w:r w:rsidR="00AE0FB6" w:rsidRPr="00A83800">
        <w:rPr>
          <w:rFonts w:ascii="Arial" w:eastAsia="Times New Roman" w:hAnsi="Arial" w:cs="Arial"/>
          <w:i/>
          <w:iCs/>
          <w:kern w:val="0"/>
          <w:sz w:val="22"/>
          <w:szCs w:val="22"/>
          <w:lang w:eastAsia="en-GB"/>
          <w14:ligatures w14:val="none"/>
        </w:rPr>
        <w:t xml:space="preserve"> </w:t>
      </w:r>
      <w:r w:rsidR="00AE0FB6" w:rsidRPr="00A83800">
        <w:rPr>
          <w:rFonts w:ascii="Arial" w:eastAsia="Times New Roman" w:hAnsi="Arial" w:cs="Arial"/>
          <w:kern w:val="0"/>
          <w:sz w:val="22"/>
          <w:szCs w:val="22"/>
          <w:lang w:eastAsia="en-GB"/>
          <w14:ligatures w14:val="none"/>
        </w:rPr>
        <w:t>Dry Hill House, 32 Dry Hill, Crockerton, Warminster, BA12 8AT</w:t>
      </w:r>
      <w:r w:rsidR="00AE0FB6" w:rsidRPr="00A83800">
        <w:rPr>
          <w:rFonts w:ascii="Arial" w:eastAsia="Times New Roman" w:hAnsi="Arial" w:cs="Arial"/>
          <w:kern w:val="0"/>
          <w:sz w:val="22"/>
          <w:szCs w:val="22"/>
          <w:lang w:eastAsia="en-GB"/>
          <w14:ligatures w14:val="none"/>
        </w:rPr>
        <w:t xml:space="preserve">. </w:t>
      </w:r>
    </w:p>
    <w:p w14:paraId="5D159F2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5359774" w14:textId="157C4964" w:rsidR="00C626D0" w:rsidRDefault="00C626D0" w:rsidP="00962F0A">
      <w:pPr>
        <w:spacing w:after="0" w:line="276" w:lineRule="auto"/>
        <w:jc w:val="center"/>
        <w:outlineLvl w:val="2"/>
        <w:rPr>
          <w:rFonts w:ascii="Arial" w:eastAsia="Times New Roman" w:hAnsi="Arial" w:cs="Arial"/>
          <w:b/>
          <w:bCs/>
          <w:kern w:val="0"/>
          <w:sz w:val="22"/>
          <w:szCs w:val="22"/>
          <w:lang w:eastAsia="en-GB"/>
          <w14:ligatures w14:val="none"/>
        </w:rPr>
      </w:pPr>
      <w:r w:rsidRPr="00C626D0">
        <w:rPr>
          <w:rFonts w:ascii="Arial" w:eastAsia="Times New Roman" w:hAnsi="Arial" w:cs="Arial"/>
          <w:b/>
          <w:bCs/>
          <w:kern w:val="0"/>
          <w:sz w:val="22"/>
          <w:szCs w:val="22"/>
          <w:lang w:eastAsia="en-GB"/>
          <w14:ligatures w14:val="none"/>
        </w:rPr>
        <w:drawing>
          <wp:inline distT="0" distB="0" distL="0" distR="0" wp14:anchorId="5C1840CA" wp14:editId="3024B684">
            <wp:extent cx="2247900" cy="1930498"/>
            <wp:effectExtent l="0" t="0" r="0" b="0"/>
            <wp:docPr id="60956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60166" name=""/>
                    <pic:cNvPicPr/>
                  </pic:nvPicPr>
                  <pic:blipFill>
                    <a:blip r:embed="rId8"/>
                    <a:stretch>
                      <a:fillRect/>
                    </a:stretch>
                  </pic:blipFill>
                  <pic:spPr>
                    <a:xfrm>
                      <a:off x="0" y="0"/>
                      <a:ext cx="2275195" cy="1953939"/>
                    </a:xfrm>
                    <a:prstGeom prst="rect">
                      <a:avLst/>
                    </a:prstGeom>
                  </pic:spPr>
                </pic:pic>
              </a:graphicData>
            </a:graphic>
          </wp:inline>
        </w:drawing>
      </w:r>
    </w:p>
    <w:p w14:paraId="7726E2C9" w14:textId="77777777" w:rsidR="00962F0A" w:rsidRDefault="00962F0A" w:rsidP="00962F0A">
      <w:pPr>
        <w:spacing w:after="0" w:line="276" w:lineRule="auto"/>
        <w:jc w:val="center"/>
        <w:outlineLvl w:val="2"/>
        <w:rPr>
          <w:rFonts w:ascii="Arial" w:eastAsia="Times New Roman" w:hAnsi="Arial" w:cs="Arial"/>
          <w:b/>
          <w:bCs/>
          <w:kern w:val="0"/>
          <w:sz w:val="22"/>
          <w:szCs w:val="22"/>
          <w:lang w:eastAsia="en-GB"/>
          <w14:ligatures w14:val="none"/>
        </w:rPr>
      </w:pPr>
    </w:p>
    <w:p w14:paraId="5879F0BF" w14:textId="071E9518" w:rsidR="00C626D0" w:rsidRDefault="00C626D0" w:rsidP="00962F0A">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Block Plan</w:t>
      </w:r>
    </w:p>
    <w:p w14:paraId="218804A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EA3A6E0" w14:textId="0BD70FC9" w:rsidR="00962F0A" w:rsidRPr="00A83800" w:rsidRDefault="00962F0A" w:rsidP="009C1702">
      <w:pPr>
        <w:spacing w:after="0" w:line="276" w:lineRule="auto"/>
        <w:jc w:val="both"/>
        <w:outlineLvl w:val="2"/>
        <w:rPr>
          <w:rFonts w:ascii="Arial" w:eastAsia="Times New Roman" w:hAnsi="Arial" w:cs="Arial"/>
          <w:kern w:val="0"/>
          <w:sz w:val="22"/>
          <w:szCs w:val="22"/>
          <w:lang w:eastAsia="en-GB"/>
          <w14:ligatures w14:val="none"/>
        </w:rPr>
      </w:pPr>
      <w:r w:rsidRPr="00A83800">
        <w:rPr>
          <w:rFonts w:ascii="Arial" w:eastAsia="Times New Roman" w:hAnsi="Arial" w:cs="Arial"/>
          <w:kern w:val="0"/>
          <w:sz w:val="22"/>
          <w:szCs w:val="22"/>
          <w:lang w:eastAsia="en-GB"/>
          <w14:ligatures w14:val="none"/>
        </w:rPr>
        <w:t>The p</w:t>
      </w:r>
      <w:r w:rsidR="007274B3" w:rsidRPr="00A83800">
        <w:rPr>
          <w:rFonts w:ascii="Arial" w:eastAsia="Times New Roman" w:hAnsi="Arial" w:cs="Arial"/>
          <w:kern w:val="0"/>
          <w:sz w:val="22"/>
          <w:szCs w:val="22"/>
          <w:lang w:eastAsia="en-GB"/>
          <w14:ligatures w14:val="none"/>
        </w:rPr>
        <w:t xml:space="preserve">orch would have a timber frame support and would have </w:t>
      </w:r>
      <w:r w:rsidR="00A83800" w:rsidRPr="00A83800">
        <w:rPr>
          <w:rFonts w:ascii="Arial" w:eastAsia="Times New Roman" w:hAnsi="Arial" w:cs="Arial"/>
          <w:kern w:val="0"/>
          <w:sz w:val="22"/>
          <w:szCs w:val="22"/>
          <w:lang w:eastAsia="en-GB"/>
          <w14:ligatures w14:val="none"/>
        </w:rPr>
        <w:t>double roman roof tiles to match those on the existing dwelling.</w:t>
      </w:r>
    </w:p>
    <w:p w14:paraId="3A607353" w14:textId="77777777" w:rsidR="00962F0A" w:rsidRDefault="00962F0A" w:rsidP="009C1702">
      <w:pPr>
        <w:spacing w:after="0" w:line="276" w:lineRule="auto"/>
        <w:jc w:val="both"/>
        <w:outlineLvl w:val="2"/>
        <w:rPr>
          <w:rFonts w:ascii="Arial" w:eastAsia="Times New Roman" w:hAnsi="Arial" w:cs="Arial"/>
          <w:b/>
          <w:bCs/>
          <w:kern w:val="0"/>
          <w:sz w:val="22"/>
          <w:szCs w:val="22"/>
          <w:lang w:eastAsia="en-GB"/>
          <w14:ligatures w14:val="none"/>
        </w:rPr>
      </w:pPr>
    </w:p>
    <w:p w14:paraId="63D02D1C" w14:textId="686CCFE4" w:rsidR="00A83800" w:rsidRDefault="00A36D5E" w:rsidP="00A36D5E">
      <w:pPr>
        <w:spacing w:after="0" w:line="276" w:lineRule="auto"/>
        <w:jc w:val="center"/>
        <w:outlineLvl w:val="2"/>
        <w:rPr>
          <w:rFonts w:ascii="Arial" w:eastAsia="Times New Roman" w:hAnsi="Arial" w:cs="Arial"/>
          <w:b/>
          <w:bCs/>
          <w:kern w:val="0"/>
          <w:sz w:val="22"/>
          <w:szCs w:val="22"/>
          <w:lang w:eastAsia="en-GB"/>
          <w14:ligatures w14:val="none"/>
        </w:rPr>
      </w:pPr>
      <w:r w:rsidRPr="00A36D5E">
        <w:rPr>
          <w:rFonts w:ascii="Arial" w:eastAsia="Times New Roman" w:hAnsi="Arial" w:cs="Arial"/>
          <w:b/>
          <w:bCs/>
          <w:kern w:val="0"/>
          <w:sz w:val="22"/>
          <w:szCs w:val="22"/>
          <w:lang w:eastAsia="en-GB"/>
          <w14:ligatures w14:val="none"/>
        </w:rPr>
        <w:drawing>
          <wp:inline distT="0" distB="0" distL="0" distR="0" wp14:anchorId="12F9D5BF" wp14:editId="58285BD3">
            <wp:extent cx="2693362" cy="1466521"/>
            <wp:effectExtent l="0" t="0" r="0" b="635"/>
            <wp:docPr id="1585991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91314" name=""/>
                    <pic:cNvPicPr/>
                  </pic:nvPicPr>
                  <pic:blipFill>
                    <a:blip r:embed="rId9"/>
                    <a:stretch>
                      <a:fillRect/>
                    </a:stretch>
                  </pic:blipFill>
                  <pic:spPr>
                    <a:xfrm>
                      <a:off x="0" y="0"/>
                      <a:ext cx="2701423" cy="1470910"/>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Pr="00A36D5E">
        <w:rPr>
          <w:rFonts w:ascii="Arial" w:eastAsia="Times New Roman" w:hAnsi="Arial" w:cs="Arial"/>
          <w:b/>
          <w:bCs/>
          <w:kern w:val="0"/>
          <w:sz w:val="22"/>
          <w:szCs w:val="22"/>
          <w:lang w:eastAsia="en-GB"/>
          <w14:ligatures w14:val="none"/>
        </w:rPr>
        <w:drawing>
          <wp:inline distT="0" distB="0" distL="0" distR="0" wp14:anchorId="3DD63A61" wp14:editId="5E3ACB98">
            <wp:extent cx="2688960" cy="1426210"/>
            <wp:effectExtent l="0" t="0" r="0" b="2540"/>
            <wp:docPr id="143723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38318" name=""/>
                    <pic:cNvPicPr/>
                  </pic:nvPicPr>
                  <pic:blipFill>
                    <a:blip r:embed="rId10"/>
                    <a:stretch>
                      <a:fillRect/>
                    </a:stretch>
                  </pic:blipFill>
                  <pic:spPr>
                    <a:xfrm>
                      <a:off x="0" y="0"/>
                      <a:ext cx="2705341" cy="1434899"/>
                    </a:xfrm>
                    <a:prstGeom prst="rect">
                      <a:avLst/>
                    </a:prstGeom>
                  </pic:spPr>
                </pic:pic>
              </a:graphicData>
            </a:graphic>
          </wp:inline>
        </w:drawing>
      </w:r>
    </w:p>
    <w:p w14:paraId="5618AAE2" w14:textId="77777777" w:rsidR="00A36D5E" w:rsidRDefault="00A36D5E" w:rsidP="00A36D5E">
      <w:pPr>
        <w:spacing w:after="0" w:line="276" w:lineRule="auto"/>
        <w:jc w:val="center"/>
        <w:outlineLvl w:val="2"/>
        <w:rPr>
          <w:rFonts w:ascii="Arial" w:eastAsia="Times New Roman" w:hAnsi="Arial" w:cs="Arial"/>
          <w:b/>
          <w:bCs/>
          <w:kern w:val="0"/>
          <w:sz w:val="22"/>
          <w:szCs w:val="22"/>
          <w:lang w:eastAsia="en-GB"/>
          <w14:ligatures w14:val="none"/>
        </w:rPr>
      </w:pPr>
    </w:p>
    <w:p w14:paraId="3D307D76" w14:textId="5E590252" w:rsidR="00A36D5E" w:rsidRDefault="00A36D5E" w:rsidP="00A36D5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 and Proposed Elevation</w:t>
      </w:r>
    </w:p>
    <w:p w14:paraId="46642732" w14:textId="77777777" w:rsidR="00F46A05" w:rsidRDefault="00F46A05" w:rsidP="00A36D5E">
      <w:pPr>
        <w:spacing w:after="0" w:line="276" w:lineRule="auto"/>
        <w:jc w:val="center"/>
        <w:outlineLvl w:val="2"/>
        <w:rPr>
          <w:rFonts w:ascii="Arial" w:eastAsia="Times New Roman" w:hAnsi="Arial" w:cs="Arial"/>
          <w:b/>
          <w:bCs/>
          <w:kern w:val="0"/>
          <w:sz w:val="22"/>
          <w:szCs w:val="22"/>
          <w:lang w:eastAsia="en-GB"/>
          <w14:ligatures w14:val="none"/>
        </w:rPr>
      </w:pPr>
    </w:p>
    <w:p w14:paraId="7A27077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656D5D8"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7438D45" w14:textId="5D12B3A6" w:rsidR="00103922" w:rsidRPr="001C23DB" w:rsidRDefault="001C23DB" w:rsidP="009C1702">
      <w:pPr>
        <w:spacing w:after="0" w:line="276" w:lineRule="auto"/>
        <w:jc w:val="both"/>
        <w:rPr>
          <w:rFonts w:ascii="Arial" w:eastAsia="Times New Roman" w:hAnsi="Arial" w:cs="Arial"/>
          <w:kern w:val="0"/>
          <w:sz w:val="22"/>
          <w:szCs w:val="22"/>
          <w:lang w:eastAsia="en-GB"/>
          <w14:ligatures w14:val="none"/>
        </w:rPr>
      </w:pPr>
      <w:r w:rsidRPr="001C23DB">
        <w:rPr>
          <w:rFonts w:ascii="Arial" w:eastAsia="Times New Roman" w:hAnsi="Arial" w:cs="Arial"/>
          <w:kern w:val="0"/>
          <w:sz w:val="22"/>
          <w:szCs w:val="22"/>
          <w:lang w:eastAsia="en-GB"/>
          <w14:ligatures w14:val="none"/>
        </w:rPr>
        <w:t xml:space="preserve">Dry Hill House is a substantial detached dwelling situated on Dry Hill. Although geographically closer to Sutton End than Crockerton, it is located on the road leading into Crockerton itself. </w:t>
      </w:r>
      <w:r w:rsidRPr="001C23DB">
        <w:rPr>
          <w:rFonts w:ascii="Arial" w:eastAsia="Times New Roman" w:hAnsi="Arial" w:cs="Arial"/>
          <w:kern w:val="0"/>
          <w:sz w:val="22"/>
          <w:szCs w:val="22"/>
          <w:lang w:eastAsia="en-GB"/>
          <w14:ligatures w14:val="none"/>
        </w:rPr>
        <w:lastRenderedPageBreak/>
        <w:t>The property occupies an elevated position above the highway, as illustrated in the photograph below. The dwelling is currently served by a modest porch canopy, which is proposed to be replaced with a slightly larger porch, as shown on the previous page.</w:t>
      </w:r>
    </w:p>
    <w:p w14:paraId="3BBAB0E6" w14:textId="77777777" w:rsidR="001C23DB" w:rsidRPr="009C1702" w:rsidRDefault="001C23DB" w:rsidP="009C1702">
      <w:pPr>
        <w:spacing w:after="0" w:line="276" w:lineRule="auto"/>
        <w:jc w:val="both"/>
        <w:rPr>
          <w:rFonts w:ascii="Arial" w:eastAsia="Times New Roman" w:hAnsi="Arial" w:cs="Arial"/>
          <w:color w:val="FF0000"/>
          <w:kern w:val="0"/>
          <w:sz w:val="22"/>
          <w:szCs w:val="22"/>
          <w:lang w:eastAsia="en-GB"/>
          <w14:ligatures w14:val="none"/>
        </w:rPr>
      </w:pPr>
    </w:p>
    <w:p w14:paraId="73B1216F" w14:textId="0B0E9C3B" w:rsidR="00FE250F" w:rsidRDefault="00103922" w:rsidP="00D75A62">
      <w:pPr>
        <w:spacing w:after="0" w:line="276" w:lineRule="auto"/>
        <w:jc w:val="center"/>
        <w:outlineLvl w:val="2"/>
        <w:rPr>
          <w:rFonts w:ascii="Arial" w:eastAsia="Times New Roman" w:hAnsi="Arial" w:cs="Arial"/>
          <w:i/>
          <w:iCs/>
          <w:color w:val="ED0000"/>
          <w:kern w:val="0"/>
          <w:sz w:val="22"/>
          <w:szCs w:val="22"/>
          <w:lang w:eastAsia="en-GB"/>
          <w14:ligatures w14:val="none"/>
        </w:rPr>
      </w:pPr>
      <w:r w:rsidRPr="00103922">
        <w:rPr>
          <w:rFonts w:ascii="Arial" w:eastAsia="Times New Roman" w:hAnsi="Arial" w:cs="Arial"/>
          <w:i/>
          <w:iCs/>
          <w:color w:val="ED0000"/>
          <w:kern w:val="0"/>
          <w:sz w:val="22"/>
          <w:szCs w:val="22"/>
          <w:lang w:eastAsia="en-GB"/>
          <w14:ligatures w14:val="none"/>
        </w:rPr>
        <w:drawing>
          <wp:inline distT="0" distB="0" distL="0" distR="0" wp14:anchorId="4A8C4153" wp14:editId="1437FC1A">
            <wp:extent cx="4086225" cy="2520276"/>
            <wp:effectExtent l="0" t="0" r="0" b="0"/>
            <wp:docPr id="79180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03946" name=""/>
                    <pic:cNvPicPr/>
                  </pic:nvPicPr>
                  <pic:blipFill>
                    <a:blip r:embed="rId11"/>
                    <a:stretch>
                      <a:fillRect/>
                    </a:stretch>
                  </pic:blipFill>
                  <pic:spPr>
                    <a:xfrm>
                      <a:off x="0" y="0"/>
                      <a:ext cx="4101528" cy="2529714"/>
                    </a:xfrm>
                    <a:prstGeom prst="rect">
                      <a:avLst/>
                    </a:prstGeom>
                  </pic:spPr>
                </pic:pic>
              </a:graphicData>
            </a:graphic>
          </wp:inline>
        </w:drawing>
      </w:r>
    </w:p>
    <w:p w14:paraId="37E9A815" w14:textId="77777777" w:rsidR="00103922" w:rsidRDefault="00103922"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0BECBECF" w14:textId="66467F95" w:rsidR="00103922" w:rsidRPr="00103922" w:rsidRDefault="00103922" w:rsidP="00103922">
      <w:pPr>
        <w:spacing w:after="0" w:line="276" w:lineRule="auto"/>
        <w:jc w:val="center"/>
        <w:outlineLvl w:val="2"/>
        <w:rPr>
          <w:rFonts w:ascii="Arial" w:eastAsia="Times New Roman" w:hAnsi="Arial" w:cs="Arial"/>
          <w:b/>
          <w:bCs/>
          <w:kern w:val="0"/>
          <w:sz w:val="22"/>
          <w:szCs w:val="22"/>
          <w:lang w:eastAsia="en-GB"/>
          <w14:ligatures w14:val="none"/>
        </w:rPr>
      </w:pPr>
      <w:r w:rsidRPr="00103922">
        <w:rPr>
          <w:rFonts w:ascii="Arial" w:eastAsia="Times New Roman" w:hAnsi="Arial" w:cs="Arial"/>
          <w:b/>
          <w:bCs/>
          <w:kern w:val="0"/>
          <w:sz w:val="22"/>
          <w:szCs w:val="22"/>
          <w:lang w:eastAsia="en-GB"/>
          <w14:ligatures w14:val="none"/>
        </w:rPr>
        <w:t>Site Visit Photo</w:t>
      </w:r>
    </w:p>
    <w:p w14:paraId="164DD320" w14:textId="77777777" w:rsidR="00A36D5E" w:rsidRDefault="00A36D5E"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6C31123" w14:textId="7275E024" w:rsidR="00F1295B" w:rsidRDefault="002C2DD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C2DD9">
        <w:rPr>
          <w:rFonts w:ascii="Arial" w:eastAsia="Times New Roman" w:hAnsi="Arial" w:cs="Arial"/>
          <w:color w:val="000000" w:themeColor="text1"/>
          <w:kern w:val="0"/>
          <w:sz w:val="22"/>
          <w:szCs w:val="22"/>
          <w:lang w:eastAsia="en-GB"/>
          <w14:ligatures w14:val="none"/>
        </w:rPr>
        <w:t>Dry Hill House forms part of a small group of approximately nine dwellings along Dry Hill. The closest neighbouring property, South Riding, is situated approximately 12 metres from the application site's boundary and approximately 18 metres from the host dwelling.</w:t>
      </w:r>
    </w:p>
    <w:p w14:paraId="387418B3" w14:textId="77777777" w:rsidR="002C2DD9" w:rsidRDefault="002C2DD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5C974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4249E05" w14:textId="77777777" w:rsidR="00965A06" w:rsidRPr="00D75A62"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5BCED8D7" w14:textId="06123F3D" w:rsidR="00965A06" w:rsidRPr="00D75A62" w:rsidRDefault="00884B95"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D75A62">
        <w:rPr>
          <w:rFonts w:ascii="Arial" w:eastAsia="Times New Roman" w:hAnsi="Arial" w:cs="Arial"/>
          <w:i/>
          <w:iCs/>
          <w:kern w:val="0"/>
          <w:sz w:val="22"/>
          <w:szCs w:val="22"/>
          <w:lang w:eastAsia="en-GB"/>
          <w14:ligatures w14:val="none"/>
        </w:rPr>
        <w:t>Within the 6.4km buffer zone of the Salisbury Plain Special Protection Area</w:t>
      </w:r>
    </w:p>
    <w:p w14:paraId="365EEA6D" w14:textId="7CA8D1FB" w:rsidR="002776D8" w:rsidRPr="00D75A62" w:rsidRDefault="002776D8"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D75A62">
        <w:rPr>
          <w:rFonts w:ascii="Arial" w:eastAsia="Times New Roman" w:hAnsi="Arial" w:cs="Arial"/>
          <w:i/>
          <w:iCs/>
          <w:kern w:val="0"/>
          <w:sz w:val="22"/>
          <w:szCs w:val="22"/>
          <w:lang w:eastAsia="en-GB"/>
          <w14:ligatures w14:val="none"/>
        </w:rPr>
        <w:t>River Avon Catchment Area</w:t>
      </w:r>
    </w:p>
    <w:p w14:paraId="733557CF" w14:textId="22360079" w:rsidR="002776D8" w:rsidRPr="00D75A62" w:rsidRDefault="002776D8"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D75A62">
        <w:rPr>
          <w:rFonts w:ascii="Arial" w:eastAsia="Times New Roman" w:hAnsi="Arial" w:cs="Arial"/>
          <w:i/>
          <w:iCs/>
          <w:kern w:val="0"/>
          <w:sz w:val="22"/>
          <w:szCs w:val="22"/>
          <w:lang w:eastAsia="en-GB"/>
          <w14:ligatures w14:val="none"/>
        </w:rPr>
        <w:t>Public Rights of Way LDEV25 passes between the application site and ‘South Riding’</w:t>
      </w:r>
    </w:p>
    <w:p w14:paraId="6A1964B2" w14:textId="77777777" w:rsidR="00032CDF" w:rsidRPr="00D75A62" w:rsidRDefault="00032CDF" w:rsidP="00032CDF">
      <w:pPr>
        <w:spacing w:after="0" w:line="276" w:lineRule="auto"/>
        <w:jc w:val="both"/>
        <w:outlineLvl w:val="2"/>
        <w:rPr>
          <w:rFonts w:ascii="Arial" w:eastAsia="Times New Roman" w:hAnsi="Arial" w:cs="Arial"/>
          <w:i/>
          <w:iCs/>
          <w:kern w:val="0"/>
          <w:sz w:val="22"/>
          <w:szCs w:val="22"/>
          <w:lang w:eastAsia="en-GB"/>
          <w14:ligatures w14:val="none"/>
        </w:rPr>
      </w:pPr>
    </w:p>
    <w:p w14:paraId="2066BD62" w14:textId="2DBD80EF" w:rsidR="00032CDF" w:rsidRPr="00D75A62" w:rsidRDefault="00032CDF" w:rsidP="00032CDF">
      <w:pPr>
        <w:spacing w:after="0" w:line="276" w:lineRule="auto"/>
        <w:jc w:val="both"/>
        <w:outlineLvl w:val="2"/>
        <w:rPr>
          <w:rFonts w:ascii="Arial" w:eastAsia="Times New Roman" w:hAnsi="Arial" w:cs="Arial"/>
          <w:kern w:val="0"/>
          <w:sz w:val="22"/>
          <w:szCs w:val="22"/>
          <w:lang w:eastAsia="en-GB"/>
          <w14:ligatures w14:val="none"/>
        </w:rPr>
      </w:pPr>
      <w:r w:rsidRPr="00D75A62">
        <w:rPr>
          <w:rFonts w:ascii="Arial" w:eastAsia="Times New Roman" w:hAnsi="Arial" w:cs="Arial"/>
          <w:kern w:val="0"/>
          <w:sz w:val="22"/>
          <w:szCs w:val="22"/>
          <w:lang w:eastAsia="en-GB"/>
          <w14:ligatures w14:val="none"/>
        </w:rPr>
        <w:t>It is important to note that the site is not within the Cranborne Chase and West Wiltshire Downs National Landscape</w:t>
      </w:r>
      <w:r w:rsidR="00826769" w:rsidRPr="00D75A62">
        <w:rPr>
          <w:rFonts w:ascii="Arial" w:eastAsia="Times New Roman" w:hAnsi="Arial" w:cs="Arial"/>
          <w:kern w:val="0"/>
          <w:sz w:val="22"/>
          <w:szCs w:val="22"/>
          <w:lang w:eastAsia="en-GB"/>
          <w14:ligatures w14:val="none"/>
        </w:rPr>
        <w:t xml:space="preserve">, is within flood zone 1 </w:t>
      </w:r>
      <w:r w:rsidR="002D5364" w:rsidRPr="00D75A62">
        <w:rPr>
          <w:rFonts w:ascii="Arial" w:eastAsia="Times New Roman" w:hAnsi="Arial" w:cs="Arial"/>
          <w:kern w:val="0"/>
          <w:sz w:val="22"/>
          <w:szCs w:val="22"/>
          <w:lang w:eastAsia="en-GB"/>
          <w14:ligatures w14:val="none"/>
        </w:rPr>
        <w:t>and has no ground water or surface water flood risk</w:t>
      </w:r>
      <w:r w:rsidR="00D75A62" w:rsidRPr="00D75A62">
        <w:rPr>
          <w:rFonts w:ascii="Arial" w:eastAsia="Times New Roman" w:hAnsi="Arial" w:cs="Arial"/>
          <w:kern w:val="0"/>
          <w:sz w:val="22"/>
          <w:szCs w:val="22"/>
          <w:lang w:eastAsia="en-GB"/>
          <w14:ligatures w14:val="none"/>
        </w:rPr>
        <w:t>.</w:t>
      </w:r>
    </w:p>
    <w:p w14:paraId="2961A4B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1F80C6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40130D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4D02A200" w14:textId="77777777" w:rsidTr="008F7D98">
        <w:trPr>
          <w:trHeight w:hRule="exact" w:val="20"/>
        </w:trPr>
        <w:tc>
          <w:tcPr>
            <w:tcW w:w="8921" w:type="dxa"/>
            <w:tcBorders>
              <w:bottom w:val="single" w:sz="6" w:space="0" w:color="auto"/>
            </w:tcBorders>
            <w:vAlign w:val="center"/>
            <w:hideMark/>
          </w:tcPr>
          <w:p w14:paraId="7CBBD5B6"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1D181806"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90DAFA4"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7D7AEB2F" w14:textId="77777777" w:rsidTr="008F7D98">
        <w:tc>
          <w:tcPr>
            <w:tcW w:w="8921" w:type="dxa"/>
            <w:tcBorders>
              <w:left w:val="single" w:sz="12" w:space="0" w:color="auto"/>
              <w:bottom w:val="single" w:sz="12" w:space="0" w:color="auto"/>
              <w:right w:val="single" w:sz="12" w:space="0" w:color="auto"/>
            </w:tcBorders>
            <w:vAlign w:val="center"/>
          </w:tcPr>
          <w:p w14:paraId="405E51F5"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W/95/00371/FUL - Dry Hill House, 32 Dry Hill, Crockerton, Wiltshire, BA12 8AT - Full planning permission Decision - Approve with Conditions Date: 15/5/1995 – Convert flat garage roof into pitched roof with store room over</w:t>
            </w:r>
          </w:p>
        </w:tc>
      </w:tr>
      <w:tr w:rsidR="003951BD" w:rsidRPr="003E74F7" w14:paraId="6F1738F7" w14:textId="77777777" w:rsidTr="008F7D98">
        <w:tc>
          <w:tcPr>
            <w:tcW w:w="8921" w:type="dxa"/>
            <w:tcBorders>
              <w:left w:val="single" w:sz="12" w:space="0" w:color="auto"/>
              <w:bottom w:val="single" w:sz="12" w:space="0" w:color="auto"/>
              <w:right w:val="single" w:sz="12" w:space="0" w:color="auto"/>
            </w:tcBorders>
            <w:vAlign w:val="center"/>
          </w:tcPr>
          <w:p w14:paraId="1AD16B89"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PL/2022/09832 - SOUTH RIDING, DRY HILL, CROCKERTON, WARMINSTER, BA12 8AT - Householder planning permission Decision - Approve with Conditions Date: 8/2/2023 – Demolition of existing single storey extension and bay window and construction of single storey replacement. Replacement of windows. Re-cladding of existing dormer windows. Demolition of existing patio and construction of new patio area at a lower level.</w:t>
            </w:r>
          </w:p>
        </w:tc>
      </w:tr>
      <w:tr w:rsidR="003951BD" w:rsidRPr="003E74F7" w14:paraId="0A1F4284" w14:textId="77777777" w:rsidTr="008F7D98">
        <w:tc>
          <w:tcPr>
            <w:tcW w:w="8921" w:type="dxa"/>
            <w:tcBorders>
              <w:left w:val="single" w:sz="12" w:space="0" w:color="auto"/>
              <w:bottom w:val="single" w:sz="12" w:space="0" w:color="auto"/>
              <w:right w:val="single" w:sz="12" w:space="0" w:color="auto"/>
            </w:tcBorders>
            <w:vAlign w:val="center"/>
          </w:tcPr>
          <w:p w14:paraId="68F13F88"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lastRenderedPageBreak/>
              <w:t>PL/2025/09181 - South Riding, Dry Hill, Crockerton, Warminster, BA12 8AT - Householder planning permission Decision - Approve with Conditions Date: 20/1/2026 – Replacement Utility Room and Shower Room Extension - Single Storey Extension to Rear</w:t>
            </w:r>
          </w:p>
        </w:tc>
      </w:tr>
      <w:tr w:rsidR="003951BD" w:rsidRPr="003E74F7" w14:paraId="12B2C75C" w14:textId="77777777" w:rsidTr="008F7D98">
        <w:tc>
          <w:tcPr>
            <w:tcW w:w="8921" w:type="dxa"/>
            <w:tcBorders>
              <w:top w:val="single" w:sz="12" w:space="0" w:color="auto"/>
            </w:tcBorders>
            <w:vAlign w:val="center"/>
            <w:hideMark/>
          </w:tcPr>
          <w:p w14:paraId="73D021EF" w14:textId="77777777" w:rsidR="003951BD" w:rsidRPr="003E74F7" w:rsidRDefault="003951BD" w:rsidP="003951BD">
            <w:pPr>
              <w:spacing w:after="0"/>
              <w:rPr>
                <w:rFonts w:cs="Arial"/>
                <w:szCs w:val="22"/>
              </w:rPr>
            </w:pPr>
          </w:p>
        </w:tc>
      </w:tr>
      <w:tr w:rsidR="003951BD" w:rsidRPr="003E74F7" w14:paraId="0A176AD9" w14:textId="77777777" w:rsidTr="008F7D98">
        <w:tc>
          <w:tcPr>
            <w:tcW w:w="8921" w:type="dxa"/>
            <w:vAlign w:val="center"/>
            <w:hideMark/>
          </w:tcPr>
          <w:p w14:paraId="6F96DFDF" w14:textId="77777777" w:rsidR="003951BD" w:rsidRPr="003E74F7" w:rsidRDefault="003951BD" w:rsidP="003951BD">
            <w:pPr>
              <w:spacing w:after="0"/>
              <w:rPr>
                <w:rFonts w:cs="Arial"/>
                <w:szCs w:val="22"/>
              </w:rPr>
            </w:pPr>
          </w:p>
        </w:tc>
      </w:tr>
      <w:bookmarkEnd w:id="0"/>
    </w:tbl>
    <w:p w14:paraId="0A35155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1802F7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DAA2DB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4A9A45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B139BE4" w14:textId="77777777" w:rsidR="008B578F" w:rsidRPr="00151D8B" w:rsidRDefault="008B578F" w:rsidP="009C1702">
      <w:pPr>
        <w:spacing w:after="0" w:line="276" w:lineRule="auto"/>
        <w:jc w:val="both"/>
        <w:rPr>
          <w:rFonts w:ascii="Arial" w:eastAsia="Times New Roman" w:hAnsi="Arial" w:cs="Arial"/>
          <w:kern w:val="0"/>
          <w:sz w:val="22"/>
          <w:szCs w:val="22"/>
          <w:lang w:eastAsia="en-GB"/>
          <w14:ligatures w14:val="none"/>
        </w:rPr>
      </w:pPr>
    </w:p>
    <w:p w14:paraId="5519EAA4" w14:textId="77777777" w:rsidR="00315AE0" w:rsidRPr="00151D8B"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51D8B">
        <w:rPr>
          <w:rFonts w:ascii="Arial" w:eastAsia="Times New Roman" w:hAnsi="Arial" w:cs="Arial"/>
          <w:kern w:val="0"/>
          <w:sz w:val="22"/>
          <w:szCs w:val="22"/>
          <w:lang w:eastAsia="en-GB"/>
          <w14:ligatures w14:val="none"/>
        </w:rPr>
        <w:t>Core Policy 50</w:t>
      </w:r>
      <w:r w:rsidR="006A735A" w:rsidRPr="00151D8B">
        <w:rPr>
          <w:rFonts w:ascii="Arial" w:eastAsia="Times New Roman" w:hAnsi="Arial" w:cs="Arial"/>
          <w:kern w:val="0"/>
          <w:sz w:val="22"/>
          <w:szCs w:val="22"/>
          <w:lang w:eastAsia="en-GB"/>
          <w14:ligatures w14:val="none"/>
        </w:rPr>
        <w:t>:</w:t>
      </w:r>
      <w:r w:rsidRPr="00151D8B">
        <w:rPr>
          <w:rFonts w:ascii="Arial" w:eastAsia="Times New Roman" w:hAnsi="Arial" w:cs="Arial"/>
          <w:kern w:val="0"/>
          <w:sz w:val="22"/>
          <w:szCs w:val="22"/>
          <w:lang w:eastAsia="en-GB"/>
          <w14:ligatures w14:val="none"/>
        </w:rPr>
        <w:t xml:space="preserve"> Biodiversity and Geodiversity </w:t>
      </w:r>
    </w:p>
    <w:p w14:paraId="4E65980B" w14:textId="6E8E08D7" w:rsidR="009E1642" w:rsidRPr="00151D8B" w:rsidRDefault="00D75A62" w:rsidP="00151D8B">
      <w:pPr>
        <w:pStyle w:val="ListParagraph"/>
        <w:numPr>
          <w:ilvl w:val="0"/>
          <w:numId w:val="6"/>
        </w:numPr>
        <w:rPr>
          <w:rFonts w:ascii="Arial" w:eastAsia="Times New Roman" w:hAnsi="Arial" w:cs="Arial"/>
          <w:kern w:val="0"/>
          <w:sz w:val="22"/>
          <w:szCs w:val="22"/>
          <w:lang w:eastAsia="en-GB"/>
          <w14:ligatures w14:val="none"/>
        </w:rPr>
      </w:pPr>
      <w:r w:rsidRPr="00151D8B">
        <w:rPr>
          <w:rFonts w:ascii="Arial" w:eastAsia="Times New Roman" w:hAnsi="Arial" w:cs="Arial"/>
          <w:kern w:val="0"/>
          <w:sz w:val="22"/>
          <w:szCs w:val="22"/>
          <w:lang w:eastAsia="en-GB"/>
          <w14:ligatures w14:val="none"/>
        </w:rPr>
        <w:t>Core Policy 57 Ensuring High Quality Design and Place Shaping</w:t>
      </w:r>
    </w:p>
    <w:p w14:paraId="3D879648" w14:textId="3C873AC3" w:rsidR="0021435E" w:rsidRPr="00151D8B" w:rsidRDefault="00151D8B" w:rsidP="009C1702">
      <w:pPr>
        <w:spacing w:after="0" w:line="276" w:lineRule="auto"/>
        <w:jc w:val="both"/>
        <w:rPr>
          <w:rFonts w:ascii="Arial" w:eastAsia="Times New Roman" w:hAnsi="Arial" w:cs="Arial"/>
          <w:kern w:val="0"/>
          <w:sz w:val="22"/>
          <w:szCs w:val="22"/>
          <w:lang w:eastAsia="en-GB"/>
          <w14:ligatures w14:val="none"/>
        </w:rPr>
      </w:pPr>
      <w:r w:rsidRPr="00151D8B">
        <w:rPr>
          <w:rFonts w:ascii="Arial" w:eastAsia="Times New Roman" w:hAnsi="Arial" w:cs="Arial"/>
          <w:kern w:val="0"/>
          <w:sz w:val="22"/>
          <w:szCs w:val="22"/>
          <w:lang w:eastAsia="en-GB"/>
          <w14:ligatures w14:val="none"/>
        </w:rPr>
        <w:t>Longbridge Deverill does not have a Neighbourhood Plan or Area Designation</w:t>
      </w:r>
    </w:p>
    <w:p w14:paraId="7CDD8D73" w14:textId="77777777" w:rsidR="00151D8B" w:rsidRPr="00151D8B" w:rsidRDefault="00151D8B" w:rsidP="009C1702">
      <w:pPr>
        <w:spacing w:after="0" w:line="276" w:lineRule="auto"/>
        <w:jc w:val="both"/>
        <w:rPr>
          <w:rFonts w:ascii="Arial" w:eastAsia="Times New Roman" w:hAnsi="Arial" w:cs="Arial"/>
          <w:kern w:val="0"/>
          <w:sz w:val="22"/>
          <w:szCs w:val="22"/>
          <w:lang w:eastAsia="en-GB"/>
          <w14:ligatures w14:val="none"/>
        </w:rPr>
      </w:pPr>
    </w:p>
    <w:p w14:paraId="159D2E49" w14:textId="77777777" w:rsidR="00454C71" w:rsidRPr="00151D8B" w:rsidRDefault="00454C71" w:rsidP="009C1702">
      <w:pPr>
        <w:spacing w:after="0" w:line="276" w:lineRule="auto"/>
        <w:jc w:val="both"/>
        <w:rPr>
          <w:rFonts w:ascii="Arial" w:eastAsia="Times New Roman" w:hAnsi="Arial" w:cs="Arial"/>
          <w:kern w:val="0"/>
          <w:sz w:val="22"/>
          <w:szCs w:val="22"/>
          <w:lang w:eastAsia="en-GB"/>
          <w14:ligatures w14:val="none"/>
        </w:rPr>
      </w:pPr>
      <w:r w:rsidRPr="00151D8B">
        <w:rPr>
          <w:rFonts w:ascii="Arial" w:eastAsia="Times New Roman" w:hAnsi="Arial" w:cs="Arial"/>
          <w:kern w:val="0"/>
          <w:sz w:val="22"/>
          <w:szCs w:val="22"/>
          <w:lang w:eastAsia="en-GB"/>
          <w14:ligatures w14:val="none"/>
        </w:rPr>
        <w:t>Wiltshire Design Guide</w:t>
      </w:r>
      <w:r w:rsidR="00015ADB" w:rsidRPr="00151D8B">
        <w:rPr>
          <w:rFonts w:ascii="Arial" w:eastAsia="Times New Roman" w:hAnsi="Arial" w:cs="Arial"/>
          <w:kern w:val="0"/>
          <w:sz w:val="22"/>
          <w:szCs w:val="22"/>
          <w:lang w:eastAsia="en-GB"/>
          <w14:ligatures w14:val="none"/>
        </w:rPr>
        <w:t xml:space="preserve">: Appendix D – Design Guidance for Householder extensions </w:t>
      </w:r>
    </w:p>
    <w:p w14:paraId="4A057019" w14:textId="77777777" w:rsidR="00FA3D27" w:rsidRPr="00151D8B" w:rsidRDefault="00FA3D27" w:rsidP="009C1702">
      <w:pPr>
        <w:spacing w:after="0" w:line="276" w:lineRule="auto"/>
        <w:jc w:val="both"/>
        <w:rPr>
          <w:rFonts w:ascii="Arial" w:eastAsia="Times New Roman" w:hAnsi="Arial" w:cs="Arial"/>
          <w:b/>
          <w:bCs/>
          <w:kern w:val="0"/>
          <w:sz w:val="22"/>
          <w:szCs w:val="22"/>
          <w:lang w:eastAsia="en-GB"/>
          <w14:ligatures w14:val="none"/>
        </w:rPr>
      </w:pPr>
    </w:p>
    <w:p w14:paraId="4DAA5728" w14:textId="77777777" w:rsidR="00284692" w:rsidRPr="00151D8B" w:rsidRDefault="00284692" w:rsidP="00284692">
      <w:pPr>
        <w:spacing w:after="0" w:line="276" w:lineRule="auto"/>
        <w:jc w:val="both"/>
        <w:rPr>
          <w:rFonts w:ascii="Arial" w:eastAsia="Times New Roman" w:hAnsi="Arial" w:cs="Arial"/>
          <w:kern w:val="0"/>
          <w:sz w:val="22"/>
          <w:szCs w:val="22"/>
          <w:lang w:eastAsia="en-GB"/>
          <w14:ligatures w14:val="none"/>
        </w:rPr>
      </w:pPr>
      <w:r w:rsidRPr="00151D8B">
        <w:rPr>
          <w:rFonts w:ascii="Arial" w:eastAsia="Times New Roman" w:hAnsi="Arial" w:cs="Arial"/>
          <w:kern w:val="0"/>
          <w:sz w:val="22"/>
          <w:szCs w:val="22"/>
          <w:lang w:eastAsia="en-GB"/>
          <w14:ligatures w14:val="none"/>
        </w:rPr>
        <w:t xml:space="preserve">The National Planning Policy Framework (NPPF) </w:t>
      </w:r>
    </w:p>
    <w:p w14:paraId="1ADE7ED6" w14:textId="77777777" w:rsidR="00284692" w:rsidRPr="00151D8B" w:rsidRDefault="00284692" w:rsidP="00284692">
      <w:pPr>
        <w:spacing w:after="0" w:line="276" w:lineRule="auto"/>
        <w:jc w:val="both"/>
        <w:rPr>
          <w:rFonts w:ascii="Arial" w:eastAsia="Times New Roman" w:hAnsi="Arial" w:cs="Arial"/>
          <w:kern w:val="0"/>
          <w:sz w:val="22"/>
          <w:szCs w:val="22"/>
          <w:lang w:eastAsia="en-GB"/>
          <w14:ligatures w14:val="none"/>
        </w:rPr>
      </w:pPr>
    </w:p>
    <w:p w14:paraId="64B4A165" w14:textId="77777777" w:rsidR="00284692" w:rsidRPr="00151D8B" w:rsidRDefault="00284692" w:rsidP="00284692">
      <w:pPr>
        <w:spacing w:after="0" w:line="276" w:lineRule="auto"/>
        <w:jc w:val="both"/>
        <w:rPr>
          <w:rFonts w:ascii="Arial" w:eastAsia="Times New Roman" w:hAnsi="Arial" w:cs="Arial"/>
          <w:kern w:val="0"/>
          <w:sz w:val="22"/>
          <w:szCs w:val="22"/>
          <w:lang w:eastAsia="en-GB"/>
          <w14:ligatures w14:val="none"/>
        </w:rPr>
      </w:pPr>
      <w:r w:rsidRPr="00151D8B">
        <w:rPr>
          <w:rFonts w:ascii="Arial" w:eastAsia="Times New Roman" w:hAnsi="Arial" w:cs="Arial"/>
          <w:kern w:val="0"/>
          <w:sz w:val="22"/>
          <w:szCs w:val="22"/>
          <w:lang w:eastAsia="en-GB"/>
          <w14:ligatures w14:val="none"/>
        </w:rPr>
        <w:t xml:space="preserve">The Planning Practice Guidance </w:t>
      </w:r>
    </w:p>
    <w:p w14:paraId="00A08EBD" w14:textId="77777777" w:rsidR="00284692" w:rsidRPr="00151D8B" w:rsidRDefault="00284692" w:rsidP="009C1702">
      <w:pPr>
        <w:spacing w:after="0" w:line="276" w:lineRule="auto"/>
        <w:jc w:val="both"/>
        <w:rPr>
          <w:rFonts w:ascii="Arial" w:eastAsia="Times New Roman" w:hAnsi="Arial" w:cs="Arial"/>
          <w:b/>
          <w:bCs/>
          <w:kern w:val="0"/>
          <w:sz w:val="22"/>
          <w:szCs w:val="22"/>
          <w:lang w:eastAsia="en-GB"/>
          <w14:ligatures w14:val="none"/>
        </w:rPr>
      </w:pPr>
    </w:p>
    <w:p w14:paraId="2A90A37B" w14:textId="77777777" w:rsidR="00D902FA" w:rsidRPr="00151D8B" w:rsidRDefault="00F7609E" w:rsidP="009C1702">
      <w:pPr>
        <w:spacing w:after="0" w:line="276" w:lineRule="auto"/>
        <w:jc w:val="both"/>
        <w:rPr>
          <w:rFonts w:ascii="Arial" w:eastAsia="Times New Roman" w:hAnsi="Arial" w:cs="Arial"/>
          <w:b/>
          <w:bCs/>
          <w:kern w:val="0"/>
          <w:sz w:val="22"/>
          <w:szCs w:val="22"/>
          <w:lang w:eastAsia="en-GB"/>
          <w14:ligatures w14:val="none"/>
        </w:rPr>
      </w:pPr>
      <w:r w:rsidRPr="00151D8B">
        <w:rPr>
          <w:rFonts w:ascii="Arial" w:eastAsia="Times New Roman" w:hAnsi="Arial" w:cs="Arial"/>
          <w:b/>
          <w:bCs/>
          <w:kern w:val="0"/>
          <w:sz w:val="22"/>
          <w:szCs w:val="22"/>
          <w:lang w:eastAsia="en-GB"/>
          <w14:ligatures w14:val="none"/>
        </w:rPr>
        <w:t>CONSULTATION</w:t>
      </w:r>
      <w:r w:rsidR="00D902FA" w:rsidRPr="00151D8B">
        <w:rPr>
          <w:rFonts w:ascii="Arial" w:eastAsia="Times New Roman" w:hAnsi="Arial" w:cs="Arial"/>
          <w:b/>
          <w:bCs/>
          <w:kern w:val="0"/>
          <w:sz w:val="22"/>
          <w:szCs w:val="22"/>
          <w:lang w:eastAsia="en-GB"/>
          <w14:ligatures w14:val="none"/>
        </w:rPr>
        <w:t xml:space="preserve"> RESPONSES</w:t>
      </w:r>
    </w:p>
    <w:p w14:paraId="09DC6FB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C16796D" w14:textId="4A88CC9F" w:rsidR="005B0FD5" w:rsidRPr="00E61987" w:rsidRDefault="00151D8B" w:rsidP="009C1702">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Longbridge Deverill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sidR="00E61987">
        <w:rPr>
          <w:rFonts w:ascii="Arial" w:eastAsia="Times New Roman" w:hAnsi="Arial" w:cs="Arial"/>
          <w:kern w:val="0"/>
          <w:sz w:val="22"/>
          <w:szCs w:val="22"/>
          <w:lang w:eastAsia="en-GB"/>
          <w14:ligatures w14:val="none"/>
        </w:rPr>
        <w:t>comments received</w:t>
      </w:r>
      <w:r w:rsidR="00A3010D">
        <w:rPr>
          <w:rFonts w:ascii="Arial" w:eastAsia="Times New Roman" w:hAnsi="Arial" w:cs="Arial"/>
          <w:kern w:val="0"/>
          <w:sz w:val="22"/>
          <w:szCs w:val="22"/>
          <w:lang w:eastAsia="en-GB"/>
          <w14:ligatures w14:val="none"/>
        </w:rPr>
        <w:t xml:space="preserve"> </w:t>
      </w:r>
    </w:p>
    <w:p w14:paraId="353D34F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826F1C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91642A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1C335E5" w14:textId="184953E7" w:rsidR="00E61987" w:rsidRPr="00E61987" w:rsidRDefault="00E61987" w:rsidP="009C1702">
      <w:pPr>
        <w:spacing w:after="0" w:line="276" w:lineRule="auto"/>
        <w:jc w:val="both"/>
        <w:rPr>
          <w:rFonts w:ascii="Arial" w:eastAsia="Times New Roman" w:hAnsi="Arial" w:cs="Arial"/>
          <w:kern w:val="0"/>
          <w:sz w:val="22"/>
          <w:szCs w:val="22"/>
          <w:lang w:eastAsia="en-GB"/>
          <w14:ligatures w14:val="none"/>
        </w:rPr>
      </w:pPr>
      <w:r w:rsidRPr="00E61987">
        <w:rPr>
          <w:rFonts w:ascii="Arial" w:eastAsia="Times New Roman" w:hAnsi="Arial" w:cs="Arial"/>
          <w:kern w:val="0"/>
          <w:sz w:val="22"/>
          <w:szCs w:val="22"/>
          <w:lang w:eastAsia="en-GB"/>
          <w14:ligatures w14:val="none"/>
        </w:rPr>
        <w:t>9 neighbour notification letters were sent out allowing for 21 days consultation.</w:t>
      </w:r>
    </w:p>
    <w:p w14:paraId="554913FA" w14:textId="77777777" w:rsidR="00E61987" w:rsidRPr="009C1702" w:rsidRDefault="00E61987" w:rsidP="009C1702">
      <w:pPr>
        <w:spacing w:after="0" w:line="276" w:lineRule="auto"/>
        <w:jc w:val="both"/>
        <w:rPr>
          <w:rFonts w:ascii="Arial" w:eastAsia="Times New Roman" w:hAnsi="Arial" w:cs="Arial"/>
          <w:b/>
          <w:bCs/>
          <w:color w:val="FF0000"/>
          <w:kern w:val="0"/>
          <w:sz w:val="22"/>
          <w:szCs w:val="22"/>
          <w:lang w:eastAsia="en-GB"/>
          <w14:ligatures w14:val="none"/>
        </w:rPr>
      </w:pPr>
    </w:p>
    <w:p w14:paraId="4607AE99"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ABB029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35F904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42E044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67CD0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D312AD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45FEE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251D57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8770A6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9D5DE0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CB4055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313CCC8B"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47FBB5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34330C8"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33B32E44"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lastRenderedPageBreak/>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786942F" w14:textId="77777777" w:rsidR="0080401D" w:rsidRDefault="0080401D" w:rsidP="00852CAC">
      <w:pPr>
        <w:spacing w:after="0" w:line="276" w:lineRule="auto"/>
        <w:jc w:val="both"/>
        <w:rPr>
          <w:rFonts w:ascii="Arial" w:eastAsia="Times New Roman" w:hAnsi="Arial" w:cs="Arial"/>
          <w:kern w:val="0"/>
          <w:sz w:val="22"/>
          <w:szCs w:val="22"/>
          <w:lang w:eastAsia="en-GB"/>
          <w14:ligatures w14:val="none"/>
        </w:rPr>
      </w:pPr>
    </w:p>
    <w:p w14:paraId="1225EE34" w14:textId="77777777" w:rsidR="0080401D" w:rsidRPr="0080401D" w:rsidRDefault="0080401D" w:rsidP="0080401D">
      <w:pPr>
        <w:spacing w:after="0" w:line="276" w:lineRule="auto"/>
        <w:jc w:val="both"/>
        <w:rPr>
          <w:rFonts w:ascii="Arial" w:eastAsia="Times New Roman" w:hAnsi="Arial" w:cs="Arial"/>
          <w:kern w:val="0"/>
          <w:sz w:val="22"/>
          <w:szCs w:val="22"/>
          <w:lang w:eastAsia="en-GB"/>
          <w14:ligatures w14:val="none"/>
        </w:rPr>
      </w:pPr>
      <w:r w:rsidRPr="0080401D">
        <w:rPr>
          <w:rFonts w:ascii="Arial" w:eastAsia="Times New Roman" w:hAnsi="Arial" w:cs="Arial"/>
          <w:kern w:val="0"/>
          <w:sz w:val="22"/>
          <w:szCs w:val="22"/>
          <w:lang w:eastAsia="en-GB"/>
          <w14:ligatures w14:val="none"/>
        </w:rPr>
        <w:t>The application site lies outside a defined settlement boundary. Policy S5(1)(c) of the NPPF recognises the extension, alteration, reuse or replacement of existing lawful buildings outside settlements as a form of development that may be acceptable in principle, provided the building is lawful, permanent and substantial in construction and that any extension would not result in a disproportionate increase in size.</w:t>
      </w:r>
    </w:p>
    <w:p w14:paraId="542FFE8F" w14:textId="77777777" w:rsidR="0080401D" w:rsidRPr="0080401D" w:rsidRDefault="0080401D" w:rsidP="0080401D">
      <w:pPr>
        <w:spacing w:after="0" w:line="276" w:lineRule="auto"/>
        <w:jc w:val="both"/>
        <w:rPr>
          <w:rFonts w:ascii="Arial" w:eastAsia="Times New Roman" w:hAnsi="Arial" w:cs="Arial"/>
          <w:kern w:val="0"/>
          <w:sz w:val="22"/>
          <w:szCs w:val="22"/>
          <w:lang w:eastAsia="en-GB"/>
          <w14:ligatures w14:val="none"/>
        </w:rPr>
      </w:pPr>
    </w:p>
    <w:p w14:paraId="504585BC" w14:textId="77777777" w:rsidR="0080401D" w:rsidRPr="0080401D" w:rsidRDefault="0080401D" w:rsidP="0080401D">
      <w:pPr>
        <w:spacing w:after="0" w:line="276" w:lineRule="auto"/>
        <w:jc w:val="both"/>
        <w:rPr>
          <w:rFonts w:ascii="Arial" w:eastAsia="Times New Roman" w:hAnsi="Arial" w:cs="Arial"/>
          <w:kern w:val="0"/>
          <w:sz w:val="22"/>
          <w:szCs w:val="22"/>
          <w:lang w:eastAsia="en-GB"/>
          <w14:ligatures w14:val="none"/>
        </w:rPr>
      </w:pPr>
      <w:r w:rsidRPr="0080401D">
        <w:rPr>
          <w:rFonts w:ascii="Arial" w:eastAsia="Times New Roman" w:hAnsi="Arial" w:cs="Arial"/>
          <w:kern w:val="0"/>
          <w:sz w:val="22"/>
          <w:szCs w:val="22"/>
          <w:lang w:eastAsia="en-GB"/>
          <w14:ligatures w14:val="none"/>
        </w:rPr>
        <w:t>In this case, the proposal relates to the replacement of an existing porch canopy with a slightly larger porch attached to an existing lawful dwelling. Given the modest scale of the proposed works, the development would not result in a disproportionate increase in the size of the dwelling and is therefore capable of support under Policy S5(1)(c).</w:t>
      </w:r>
    </w:p>
    <w:p w14:paraId="16284DEC" w14:textId="77777777" w:rsidR="0080401D" w:rsidRPr="0080401D" w:rsidRDefault="0080401D" w:rsidP="0080401D">
      <w:pPr>
        <w:spacing w:after="0" w:line="276" w:lineRule="auto"/>
        <w:jc w:val="both"/>
        <w:rPr>
          <w:rFonts w:ascii="Arial" w:eastAsia="Times New Roman" w:hAnsi="Arial" w:cs="Arial"/>
          <w:kern w:val="0"/>
          <w:sz w:val="22"/>
          <w:szCs w:val="22"/>
          <w:lang w:eastAsia="en-GB"/>
          <w14:ligatures w14:val="none"/>
        </w:rPr>
      </w:pPr>
    </w:p>
    <w:p w14:paraId="23421B4C" w14:textId="77777777" w:rsidR="0080401D" w:rsidRPr="0080401D" w:rsidRDefault="0080401D" w:rsidP="0080401D">
      <w:pPr>
        <w:spacing w:after="0" w:line="276" w:lineRule="auto"/>
        <w:jc w:val="both"/>
        <w:rPr>
          <w:rFonts w:ascii="Arial" w:eastAsia="Times New Roman" w:hAnsi="Arial" w:cs="Arial"/>
          <w:kern w:val="0"/>
          <w:sz w:val="22"/>
          <w:szCs w:val="22"/>
          <w:lang w:eastAsia="en-GB"/>
          <w14:ligatures w14:val="none"/>
        </w:rPr>
      </w:pPr>
      <w:r w:rsidRPr="0080401D">
        <w:rPr>
          <w:rFonts w:ascii="Arial" w:eastAsia="Times New Roman" w:hAnsi="Arial" w:cs="Arial"/>
          <w:kern w:val="0"/>
          <w:sz w:val="22"/>
          <w:szCs w:val="22"/>
          <w:lang w:eastAsia="en-GB"/>
          <w14:ligatures w14:val="none"/>
        </w:rPr>
        <w:t>In design terms, the proposed porch would remain clearly subordinate to the host dwelling and would read as a minor addition to the principal elevation. The scale, form and appearance of the porch are considered appropriate to the size and character of the dwelling and would not appear incongruous or visually dominant within the street scene. Furthermore, due to the limited extent of the works, the proposal would not adversely affect the character or appearance of the surrounding area.</w:t>
      </w:r>
    </w:p>
    <w:p w14:paraId="3A1DEDCE" w14:textId="77777777" w:rsidR="0080401D" w:rsidRPr="0080401D" w:rsidRDefault="0080401D" w:rsidP="0080401D">
      <w:pPr>
        <w:spacing w:after="0" w:line="276" w:lineRule="auto"/>
        <w:jc w:val="both"/>
        <w:rPr>
          <w:rFonts w:ascii="Arial" w:eastAsia="Times New Roman" w:hAnsi="Arial" w:cs="Arial"/>
          <w:kern w:val="0"/>
          <w:sz w:val="22"/>
          <w:szCs w:val="22"/>
          <w:lang w:eastAsia="en-GB"/>
          <w14:ligatures w14:val="none"/>
        </w:rPr>
      </w:pPr>
    </w:p>
    <w:p w14:paraId="4E49FC35" w14:textId="6B01F73D" w:rsidR="00965FBC" w:rsidRPr="00F46A05" w:rsidRDefault="0080401D" w:rsidP="00F46A05">
      <w:pPr>
        <w:spacing w:after="0" w:line="276" w:lineRule="auto"/>
        <w:jc w:val="both"/>
        <w:rPr>
          <w:rFonts w:ascii="Arial" w:eastAsia="Times New Roman" w:hAnsi="Arial" w:cs="Arial"/>
          <w:kern w:val="0"/>
          <w:sz w:val="22"/>
          <w:szCs w:val="22"/>
          <w:lang w:eastAsia="en-GB"/>
          <w14:ligatures w14:val="none"/>
        </w:rPr>
      </w:pPr>
      <w:r w:rsidRPr="0080401D">
        <w:rPr>
          <w:rFonts w:ascii="Arial" w:eastAsia="Times New Roman" w:hAnsi="Arial" w:cs="Arial"/>
          <w:kern w:val="0"/>
          <w:sz w:val="22"/>
          <w:szCs w:val="22"/>
          <w:lang w:eastAsia="en-GB"/>
          <w14:ligatures w14:val="none"/>
        </w:rPr>
        <w:t>Having regard to the above, the proposal is considered to comply with Core Policy 57 of the Wiltshire Core Strategy, Appendix D of the Wiltshire Design Guide and Policy S5(1)(c) of the NPPF.</w:t>
      </w:r>
    </w:p>
    <w:p w14:paraId="075D6017" w14:textId="77777777" w:rsidR="00A050F1" w:rsidRDefault="00A050F1" w:rsidP="00A050F1">
      <w:pPr>
        <w:spacing w:after="0" w:line="276" w:lineRule="auto"/>
        <w:jc w:val="both"/>
        <w:rPr>
          <w:rFonts w:ascii="Arial" w:hAnsi="Arial" w:cs="Arial"/>
          <w:b/>
          <w:bCs/>
          <w:i/>
          <w:iCs/>
          <w:color w:val="FF0000"/>
          <w:sz w:val="22"/>
          <w:szCs w:val="22"/>
        </w:rPr>
      </w:pPr>
    </w:p>
    <w:p w14:paraId="243BF5E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B54499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B98476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BF80591" w14:textId="77777777" w:rsidR="00393433" w:rsidRDefault="00393433" w:rsidP="00A050F1">
      <w:pPr>
        <w:spacing w:after="0" w:line="276" w:lineRule="auto"/>
        <w:jc w:val="both"/>
        <w:rPr>
          <w:rFonts w:ascii="Arial" w:hAnsi="Arial" w:cs="Arial"/>
          <w:color w:val="000000" w:themeColor="text1"/>
          <w:sz w:val="22"/>
          <w:szCs w:val="22"/>
        </w:rPr>
      </w:pPr>
    </w:p>
    <w:p w14:paraId="74FA92FE"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BE61C46" w14:textId="77777777" w:rsidR="00400FB2" w:rsidRDefault="00400FB2" w:rsidP="00A050F1">
      <w:pPr>
        <w:spacing w:after="0" w:line="276" w:lineRule="auto"/>
        <w:jc w:val="both"/>
        <w:rPr>
          <w:rFonts w:ascii="Arial" w:hAnsi="Arial" w:cs="Arial"/>
          <w:color w:val="000000" w:themeColor="text1"/>
          <w:sz w:val="22"/>
          <w:szCs w:val="22"/>
        </w:rPr>
      </w:pPr>
    </w:p>
    <w:p w14:paraId="55D788F6"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8AE35E9" w14:textId="77777777" w:rsidR="00DB13C3" w:rsidRDefault="00DB13C3" w:rsidP="00DB13C3">
      <w:pPr>
        <w:spacing w:after="0" w:line="276" w:lineRule="auto"/>
        <w:jc w:val="both"/>
        <w:rPr>
          <w:rFonts w:ascii="Arial" w:hAnsi="Arial" w:cs="Arial"/>
          <w:i/>
          <w:iCs/>
          <w:color w:val="000000" w:themeColor="text1"/>
          <w:sz w:val="22"/>
          <w:szCs w:val="22"/>
        </w:rPr>
      </w:pPr>
    </w:p>
    <w:p w14:paraId="08673CB4" w14:textId="77777777" w:rsidR="00B67B70" w:rsidRPr="0051685B" w:rsidRDefault="00B67B70" w:rsidP="00B67B70">
      <w:pPr>
        <w:spacing w:after="0" w:line="276" w:lineRule="auto"/>
        <w:jc w:val="both"/>
        <w:rPr>
          <w:rFonts w:ascii="Arial" w:hAnsi="Arial" w:cs="Arial"/>
          <w:color w:val="000000" w:themeColor="text1"/>
          <w:sz w:val="22"/>
          <w:szCs w:val="22"/>
        </w:rPr>
      </w:pPr>
      <w:r w:rsidRPr="0051685B">
        <w:rPr>
          <w:rFonts w:ascii="Arial" w:hAnsi="Arial" w:cs="Arial"/>
          <w:color w:val="000000" w:themeColor="text1"/>
          <w:sz w:val="22"/>
          <w:szCs w:val="22"/>
        </w:rPr>
        <w:t xml:space="preserve">The proposed development would result in only a modest increase in the size of the existing porch. Given its limited scale and position on the dwelling, the proposal would not appear unduly prominent or overbearing when viewed from neighbouring properties. The nearest dwelling, South Riding, is located approximately 12 metres from the application site's </w:t>
      </w:r>
      <w:r w:rsidRPr="0051685B">
        <w:rPr>
          <w:rFonts w:ascii="Arial" w:hAnsi="Arial" w:cs="Arial"/>
          <w:color w:val="000000" w:themeColor="text1"/>
          <w:sz w:val="22"/>
          <w:szCs w:val="22"/>
        </w:rPr>
        <w:lastRenderedPageBreak/>
        <w:t>boundary and around 18 metres from the host dwelling itself, ensuring a substantial degree of separation between the properties.</w:t>
      </w:r>
    </w:p>
    <w:p w14:paraId="7B906C20" w14:textId="77777777" w:rsidR="00B67B70" w:rsidRPr="0051685B" w:rsidRDefault="00B67B70" w:rsidP="00B67B70">
      <w:pPr>
        <w:spacing w:after="0" w:line="276" w:lineRule="auto"/>
        <w:jc w:val="both"/>
        <w:rPr>
          <w:rFonts w:ascii="Arial" w:hAnsi="Arial" w:cs="Arial"/>
          <w:color w:val="000000" w:themeColor="text1"/>
          <w:sz w:val="22"/>
          <w:szCs w:val="22"/>
        </w:rPr>
      </w:pPr>
    </w:p>
    <w:p w14:paraId="43F17F2D" w14:textId="282AE127" w:rsidR="00DB13C3" w:rsidRPr="0051685B" w:rsidRDefault="00B67B70" w:rsidP="00B67B70">
      <w:pPr>
        <w:spacing w:after="0" w:line="276" w:lineRule="auto"/>
        <w:jc w:val="both"/>
        <w:rPr>
          <w:rFonts w:ascii="Arial" w:hAnsi="Arial" w:cs="Arial"/>
          <w:color w:val="000000" w:themeColor="text1"/>
          <w:sz w:val="22"/>
          <w:szCs w:val="22"/>
        </w:rPr>
      </w:pPr>
      <w:r w:rsidRPr="0051685B">
        <w:rPr>
          <w:rFonts w:ascii="Arial" w:hAnsi="Arial" w:cs="Arial"/>
          <w:color w:val="000000" w:themeColor="text1"/>
          <w:sz w:val="22"/>
          <w:szCs w:val="22"/>
        </w:rPr>
        <w:t xml:space="preserve">The proposal would not introduce any windows or other openings that would give rise to overlooking, nor would it result in any material loss of privacy. Having regard to the scale of the extension and the separation distances involved, it is considered that the development would not have an unacceptable impact on the living conditions of neighbouring occupiers through overlooking, loss of privacy, overbearing impact or loss of outlook. </w:t>
      </w:r>
    </w:p>
    <w:p w14:paraId="768C5E17" w14:textId="77777777" w:rsidR="007A00C2" w:rsidRPr="00A050F1" w:rsidRDefault="007A00C2" w:rsidP="00DB13C3">
      <w:pPr>
        <w:spacing w:after="0" w:line="276" w:lineRule="auto"/>
        <w:jc w:val="both"/>
        <w:rPr>
          <w:rFonts w:ascii="Arial" w:hAnsi="Arial" w:cs="Arial"/>
          <w:color w:val="000000" w:themeColor="text1"/>
          <w:sz w:val="22"/>
          <w:szCs w:val="22"/>
        </w:rPr>
      </w:pPr>
    </w:p>
    <w:p w14:paraId="22A8C7ED"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8E777A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E54E94" w14:textId="494B8FF7"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692DC01F" w14:textId="77777777" w:rsidR="00E61987" w:rsidRPr="006705B5" w:rsidRDefault="00E6198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AF713BB"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3BCB1CA"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58FD8FD0"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1282FAF4"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45E214B1"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The Council’s Ecology Officer has not been consulted on this application. However, the application site lies within the 6.4km zone of influence of the Salisbury Plain SPA and, in light of the Habitats Regulations Assessment (HRA) prepared for the Wiltshire Core Strategy and Wiltshire Housing Site Allocations Plan, development within this zone is screened for potential recreational impacts upon stone curlew.</w:t>
      </w:r>
    </w:p>
    <w:p w14:paraId="0D40B108"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05D43483"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A strategic Appropriate Assessment (AA) has been prepared pertaining to development within the zone of influence that could result in a likely significant effect on the SPA through increased recreational pressure. The AA concluded that there would be no adverse effect on the integrity of the SPA or its qualifying features provided the Council’s mitigation strategy continues to be implemented. Annual stone curlew monitoring and associated protection measures continue to be secured by the Council.</w:t>
      </w:r>
    </w:p>
    <w:p w14:paraId="38EF2656"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499E732E"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In January 2026, Natural England confirmed its continued support for the Council’s strategic Appropriate Assessment for Salisbury Plain SPA.</w:t>
      </w:r>
    </w:p>
    <w:p w14:paraId="5EB57F8E"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73EB4E3D" w14:textId="1A8EC756"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The proposed development relates solely to the</w:t>
      </w:r>
      <w:r>
        <w:rPr>
          <w:rFonts w:ascii="Arial" w:eastAsia="Times New Roman" w:hAnsi="Arial" w:cs="Arial"/>
          <w:color w:val="000000" w:themeColor="text1"/>
          <w:kern w:val="0"/>
          <w:sz w:val="22"/>
          <w:szCs w:val="22"/>
          <w:lang w:eastAsia="en-GB"/>
          <w14:ligatures w14:val="none"/>
        </w:rPr>
        <w:t xml:space="preserve"> increase in the size of the existing porch canopy</w:t>
      </w:r>
      <w:r w:rsidRPr="00877800">
        <w:rPr>
          <w:rFonts w:ascii="Arial" w:eastAsia="Times New Roman" w:hAnsi="Arial" w:cs="Arial"/>
          <w:color w:val="000000" w:themeColor="text1"/>
          <w:kern w:val="0"/>
          <w:sz w:val="22"/>
          <w:szCs w:val="22"/>
          <w:lang w:eastAsia="en-GB"/>
          <w14:ligatures w14:val="none"/>
        </w:rPr>
        <w:t xml:space="preserve">. The works would not result in habitat loss, the removal of trees or hedgerows, alterations to supporting habitat, or the introduction of </w:t>
      </w:r>
      <w:r>
        <w:rPr>
          <w:rFonts w:ascii="Arial" w:eastAsia="Times New Roman" w:hAnsi="Arial" w:cs="Arial"/>
          <w:color w:val="000000" w:themeColor="text1"/>
          <w:kern w:val="0"/>
          <w:sz w:val="22"/>
          <w:szCs w:val="22"/>
          <w:lang w:eastAsia="en-GB"/>
          <w14:ligatures w14:val="none"/>
        </w:rPr>
        <w:t xml:space="preserve">any further </w:t>
      </w:r>
      <w:r w:rsidRPr="00877800">
        <w:rPr>
          <w:rFonts w:ascii="Arial" w:eastAsia="Times New Roman" w:hAnsi="Arial" w:cs="Arial"/>
          <w:color w:val="000000" w:themeColor="text1"/>
          <w:kern w:val="0"/>
          <w:sz w:val="22"/>
          <w:szCs w:val="22"/>
          <w:lang w:eastAsia="en-GB"/>
          <w14:ligatures w14:val="none"/>
        </w:rPr>
        <w:t>external lighting. No specific impact pathway affecting protected species, priority habitats, ancient woodland or other ecological receptors has been identified.</w:t>
      </w:r>
    </w:p>
    <w:p w14:paraId="25256A54"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276CEF36"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Whilst the site lies within the identified zone of influence for Salisbury Plain SPA, the proposal would not create a new dwelling, increase the number of residential units, increase overnight accommodation, or otherwise generate additional recreational pressure upon the SPA. As </w:t>
      </w:r>
      <w:r w:rsidRPr="00877800">
        <w:rPr>
          <w:rFonts w:ascii="Arial" w:eastAsia="Times New Roman" w:hAnsi="Arial" w:cs="Arial"/>
          <w:color w:val="000000" w:themeColor="text1"/>
          <w:kern w:val="0"/>
          <w:sz w:val="22"/>
          <w:szCs w:val="22"/>
          <w:lang w:eastAsia="en-GB"/>
          <w14:ligatures w14:val="none"/>
        </w:rPr>
        <w:lastRenderedPageBreak/>
        <w:t>such, no likely significant effect has been identified, either alone or in combination with other plans or projects.</w:t>
      </w:r>
    </w:p>
    <w:p w14:paraId="1921A42A"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3AA3A5EA"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Furthermore, as the proposal would not result in any increase in overnight accommodation, there would be no increase in foul wastewater generation. The development would therefore not contribute to nutrient loading within the River Avon catchment and phosphate mitigation is not required in this instance.</w:t>
      </w:r>
    </w:p>
    <w:p w14:paraId="3320E6DD" w14:textId="77777777" w:rsidR="00877800" w:rsidRPr="00877800" w:rsidRDefault="00877800" w:rsidP="00877800">
      <w:pPr>
        <w:spacing w:after="0" w:line="276" w:lineRule="auto"/>
        <w:jc w:val="both"/>
        <w:rPr>
          <w:rFonts w:ascii="Arial" w:eastAsia="Times New Roman" w:hAnsi="Arial" w:cs="Arial"/>
          <w:color w:val="000000" w:themeColor="text1"/>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 xml:space="preserve"> </w:t>
      </w:r>
    </w:p>
    <w:p w14:paraId="0EB2D242" w14:textId="4643F685" w:rsidR="00877800" w:rsidRPr="00394AB3" w:rsidRDefault="00877800" w:rsidP="009C1702">
      <w:pPr>
        <w:spacing w:after="0" w:line="276" w:lineRule="auto"/>
        <w:jc w:val="both"/>
        <w:rPr>
          <w:rFonts w:ascii="Arial" w:eastAsia="Times New Roman" w:hAnsi="Arial" w:cs="Arial"/>
          <w:i/>
          <w:iCs/>
          <w:color w:val="FF0000"/>
          <w:kern w:val="0"/>
          <w:sz w:val="22"/>
          <w:szCs w:val="22"/>
          <w:lang w:eastAsia="en-GB"/>
          <w14:ligatures w14:val="none"/>
        </w:rPr>
      </w:pPr>
      <w:r w:rsidRPr="00877800">
        <w:rPr>
          <w:rFonts w:ascii="Arial" w:eastAsia="Times New Roman" w:hAnsi="Arial" w:cs="Arial"/>
          <w:color w:val="000000" w:themeColor="text1"/>
          <w:kern w:val="0"/>
          <w:sz w:val="22"/>
          <w:szCs w:val="22"/>
          <w:lang w:eastAsia="en-GB"/>
          <w14:ligatures w14:val="none"/>
        </w:rPr>
        <w:t>Accordingly, the proposal is considered to comply with Core Policy 50 of the Wiltshire Core Strategy and Policy N2 of the National Planning Policy Framework.</w:t>
      </w:r>
    </w:p>
    <w:p w14:paraId="0CBF29E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CB727C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7E0B9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39409FD"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715016D5"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12F7D9E4" w14:textId="77777777" w:rsidR="007A00C2" w:rsidRPr="00284CD5" w:rsidRDefault="007A00C2" w:rsidP="00284CD5">
      <w:pPr>
        <w:spacing w:after="0" w:line="276" w:lineRule="auto"/>
        <w:jc w:val="both"/>
        <w:rPr>
          <w:rFonts w:ascii="Arial" w:hAnsi="Arial" w:cs="Arial"/>
          <w:color w:val="000000" w:themeColor="text1"/>
          <w:sz w:val="22"/>
          <w:szCs w:val="22"/>
          <w:u w:val="single"/>
        </w:rPr>
      </w:pPr>
    </w:p>
    <w:p w14:paraId="2888E71C"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716EF38" w14:textId="77777777" w:rsidR="00284CD5" w:rsidRPr="004B2F79" w:rsidRDefault="00284CD5" w:rsidP="00284CD5">
      <w:pPr>
        <w:spacing w:after="0" w:line="276" w:lineRule="auto"/>
        <w:jc w:val="both"/>
        <w:rPr>
          <w:rFonts w:ascii="Arial" w:hAnsi="Arial" w:cs="Arial"/>
          <w:color w:val="000000" w:themeColor="text1"/>
          <w:sz w:val="22"/>
          <w:szCs w:val="22"/>
        </w:rPr>
      </w:pPr>
    </w:p>
    <w:p w14:paraId="35E40D36"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08DBB09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F12D19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FFEAEC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883A897"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5DE76758"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174878B"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3E809A8A"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6B57F11"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BD88E55"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458822A" w14:textId="654A488F" w:rsidR="009B7AD7" w:rsidRPr="00E61987"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2864C1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2CDF"/>
    <w:rsid w:val="00033847"/>
    <w:rsid w:val="00036B7E"/>
    <w:rsid w:val="00043B9C"/>
    <w:rsid w:val="000610AC"/>
    <w:rsid w:val="00063A02"/>
    <w:rsid w:val="00063D1C"/>
    <w:rsid w:val="0006701C"/>
    <w:rsid w:val="00067A8A"/>
    <w:rsid w:val="00071E19"/>
    <w:rsid w:val="0007377C"/>
    <w:rsid w:val="0007403A"/>
    <w:rsid w:val="00076616"/>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3922"/>
    <w:rsid w:val="001044B1"/>
    <w:rsid w:val="00111D21"/>
    <w:rsid w:val="001177BA"/>
    <w:rsid w:val="00134D23"/>
    <w:rsid w:val="00141929"/>
    <w:rsid w:val="0014198B"/>
    <w:rsid w:val="00146329"/>
    <w:rsid w:val="00151D8B"/>
    <w:rsid w:val="00152901"/>
    <w:rsid w:val="0016162B"/>
    <w:rsid w:val="00162405"/>
    <w:rsid w:val="0018298F"/>
    <w:rsid w:val="00185935"/>
    <w:rsid w:val="001A22B9"/>
    <w:rsid w:val="001A4142"/>
    <w:rsid w:val="001A6E40"/>
    <w:rsid w:val="001B34A3"/>
    <w:rsid w:val="001C0267"/>
    <w:rsid w:val="001C23DB"/>
    <w:rsid w:val="001C30C8"/>
    <w:rsid w:val="001C73A5"/>
    <w:rsid w:val="001D279F"/>
    <w:rsid w:val="001D2B00"/>
    <w:rsid w:val="001D3964"/>
    <w:rsid w:val="001E0BD8"/>
    <w:rsid w:val="001E5127"/>
    <w:rsid w:val="001F17EC"/>
    <w:rsid w:val="001F1A84"/>
    <w:rsid w:val="001F5D43"/>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776D8"/>
    <w:rsid w:val="00284692"/>
    <w:rsid w:val="00284CD5"/>
    <w:rsid w:val="00284EAF"/>
    <w:rsid w:val="00296162"/>
    <w:rsid w:val="002A0EB6"/>
    <w:rsid w:val="002B3C19"/>
    <w:rsid w:val="002B67AF"/>
    <w:rsid w:val="002B7220"/>
    <w:rsid w:val="002C2DD9"/>
    <w:rsid w:val="002C39F8"/>
    <w:rsid w:val="002C5B77"/>
    <w:rsid w:val="002C64FD"/>
    <w:rsid w:val="002C7D54"/>
    <w:rsid w:val="002D20C0"/>
    <w:rsid w:val="002D290E"/>
    <w:rsid w:val="002D51AF"/>
    <w:rsid w:val="002D5364"/>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431E6"/>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073B2"/>
    <w:rsid w:val="00515980"/>
    <w:rsid w:val="0051645C"/>
    <w:rsid w:val="0051685B"/>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274B3"/>
    <w:rsid w:val="00742C35"/>
    <w:rsid w:val="00744E80"/>
    <w:rsid w:val="00750FD1"/>
    <w:rsid w:val="00755B0D"/>
    <w:rsid w:val="007638C3"/>
    <w:rsid w:val="00771C95"/>
    <w:rsid w:val="00790038"/>
    <w:rsid w:val="00793652"/>
    <w:rsid w:val="007A00C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401D"/>
    <w:rsid w:val="00810B9F"/>
    <w:rsid w:val="008176BD"/>
    <w:rsid w:val="00826769"/>
    <w:rsid w:val="0083213E"/>
    <w:rsid w:val="008376A8"/>
    <w:rsid w:val="00842BB0"/>
    <w:rsid w:val="0084670A"/>
    <w:rsid w:val="00852CAC"/>
    <w:rsid w:val="00855117"/>
    <w:rsid w:val="0085527B"/>
    <w:rsid w:val="00862AEC"/>
    <w:rsid w:val="0086379F"/>
    <w:rsid w:val="00867EFD"/>
    <w:rsid w:val="0087005A"/>
    <w:rsid w:val="0087744B"/>
    <w:rsid w:val="00877800"/>
    <w:rsid w:val="008822ED"/>
    <w:rsid w:val="00884A97"/>
    <w:rsid w:val="00884B95"/>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61C4E"/>
    <w:rsid w:val="00962F0A"/>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36D5E"/>
    <w:rsid w:val="00A4593E"/>
    <w:rsid w:val="00A46019"/>
    <w:rsid w:val="00A55952"/>
    <w:rsid w:val="00A6662C"/>
    <w:rsid w:val="00A71295"/>
    <w:rsid w:val="00A772D3"/>
    <w:rsid w:val="00A81CF7"/>
    <w:rsid w:val="00A8272D"/>
    <w:rsid w:val="00A83800"/>
    <w:rsid w:val="00A85226"/>
    <w:rsid w:val="00A919D6"/>
    <w:rsid w:val="00AB52C2"/>
    <w:rsid w:val="00AC01A4"/>
    <w:rsid w:val="00AD2BC0"/>
    <w:rsid w:val="00AD39FA"/>
    <w:rsid w:val="00AE028B"/>
    <w:rsid w:val="00AE04FE"/>
    <w:rsid w:val="00AE0FB6"/>
    <w:rsid w:val="00AF104C"/>
    <w:rsid w:val="00AF2650"/>
    <w:rsid w:val="00AF2AF9"/>
    <w:rsid w:val="00B01936"/>
    <w:rsid w:val="00B111D2"/>
    <w:rsid w:val="00B16D71"/>
    <w:rsid w:val="00B1710B"/>
    <w:rsid w:val="00B3075F"/>
    <w:rsid w:val="00B44C99"/>
    <w:rsid w:val="00B44EC9"/>
    <w:rsid w:val="00B54DA2"/>
    <w:rsid w:val="00B633AB"/>
    <w:rsid w:val="00B6556B"/>
    <w:rsid w:val="00B67B70"/>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26D0"/>
    <w:rsid w:val="00C66E1F"/>
    <w:rsid w:val="00C73630"/>
    <w:rsid w:val="00C760C4"/>
    <w:rsid w:val="00C81A53"/>
    <w:rsid w:val="00C8654A"/>
    <w:rsid w:val="00C86A61"/>
    <w:rsid w:val="00CA3A97"/>
    <w:rsid w:val="00CB1F94"/>
    <w:rsid w:val="00CB6B3B"/>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75A62"/>
    <w:rsid w:val="00D831EE"/>
    <w:rsid w:val="00D859CC"/>
    <w:rsid w:val="00D865F8"/>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23A8"/>
    <w:rsid w:val="00E0301C"/>
    <w:rsid w:val="00E10F53"/>
    <w:rsid w:val="00E12366"/>
    <w:rsid w:val="00E162CA"/>
    <w:rsid w:val="00E16B1D"/>
    <w:rsid w:val="00E37C6D"/>
    <w:rsid w:val="00E47FC6"/>
    <w:rsid w:val="00E51166"/>
    <w:rsid w:val="00E53A12"/>
    <w:rsid w:val="00E57D1F"/>
    <w:rsid w:val="00E61170"/>
    <w:rsid w:val="00E61987"/>
    <w:rsid w:val="00E61ADC"/>
    <w:rsid w:val="00E70135"/>
    <w:rsid w:val="00E70D98"/>
    <w:rsid w:val="00E856AB"/>
    <w:rsid w:val="00E90A3F"/>
    <w:rsid w:val="00E95266"/>
    <w:rsid w:val="00E977C4"/>
    <w:rsid w:val="00EA244F"/>
    <w:rsid w:val="00EB421A"/>
    <w:rsid w:val="00EC2E4E"/>
    <w:rsid w:val="00EC4E9E"/>
    <w:rsid w:val="00EE47DB"/>
    <w:rsid w:val="00EE5C03"/>
    <w:rsid w:val="00EE6AA5"/>
    <w:rsid w:val="00EE7315"/>
    <w:rsid w:val="00EF0DA4"/>
    <w:rsid w:val="00F005A4"/>
    <w:rsid w:val="00F01283"/>
    <w:rsid w:val="00F07D8C"/>
    <w:rsid w:val="00F1263F"/>
    <w:rsid w:val="00F1295B"/>
    <w:rsid w:val="00F1491F"/>
    <w:rsid w:val="00F15E48"/>
    <w:rsid w:val="00F17D1C"/>
    <w:rsid w:val="00F2477F"/>
    <w:rsid w:val="00F24E24"/>
    <w:rsid w:val="00F272A5"/>
    <w:rsid w:val="00F335B4"/>
    <w:rsid w:val="00F33A0F"/>
    <w:rsid w:val="00F400B5"/>
    <w:rsid w:val="00F40F2D"/>
    <w:rsid w:val="00F46A05"/>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FA7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salesforceId:5d3fc06b-ec34-42ca-94be-4970dd2af5e2</dc:subject>
  <dc:creator>O'Donoghue, Ruaridh</dc:creator>
  <cp:keywords/>
  <dc:description/>
  <cp:lastModifiedBy>Cox, David</cp:lastModifiedBy>
  <cp:revision>33</cp:revision>
  <dcterms:created xsi:type="dcterms:W3CDTF">2026-09-29T10:21:00Z</dcterms:created>
  <dcterms:modified xsi:type="dcterms:W3CDTF">2026-09-29T11:07:00Z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069Q300000URtFKIA1</vt:lpwstr>
  </property>
</Properties>
</file>