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22A3F" w14:textId="77777777" w:rsidR="00794ADB" w:rsidRPr="00794ADB" w:rsidRDefault="00794ADB" w:rsidP="00794ADB">
      <w:r w:rsidRPr="00794ADB">
        <w:t xml:space="preserve">Dear Teresa, </w:t>
      </w:r>
    </w:p>
    <w:p w14:paraId="7D9BA0E1" w14:textId="77777777" w:rsidR="00794ADB" w:rsidRPr="00794ADB" w:rsidRDefault="00794ADB" w:rsidP="00794ADB">
      <w:r w:rsidRPr="00794ADB">
        <w:t>Thank you for your email below. The Parish Council has raised a query as to the extent of the cumulative assessment; after consulting the TA (Transport Assessment) which is in the public domain, I can confirm the following have been considered (see TA, 8.3.1);</w:t>
      </w:r>
    </w:p>
    <w:p w14:paraId="5677CA74" w14:textId="77777777" w:rsidR="00794ADB" w:rsidRPr="00794ADB" w:rsidRDefault="00794ADB" w:rsidP="00794ADB"/>
    <w:p w14:paraId="4C9EA193" w14:textId="77777777" w:rsidR="00794ADB" w:rsidRPr="00794ADB" w:rsidRDefault="00794ADB" w:rsidP="00794ADB">
      <w:pPr>
        <w:numPr>
          <w:ilvl w:val="0"/>
          <w:numId w:val="1"/>
        </w:numPr>
      </w:pPr>
      <w:r w:rsidRPr="00794ADB">
        <w:t>Phase 1 – 500 residential dwellings, employment and land for a 2FE primary school (planning reference: PL/2023/11188).</w:t>
      </w:r>
    </w:p>
    <w:p w14:paraId="7CA971A5" w14:textId="77777777" w:rsidR="00794ADB" w:rsidRPr="00794ADB" w:rsidRDefault="00794ADB" w:rsidP="00794ADB">
      <w:pPr>
        <w:numPr>
          <w:ilvl w:val="0"/>
          <w:numId w:val="1"/>
        </w:numPr>
      </w:pPr>
      <w:r w:rsidRPr="00794ADB">
        <w:t xml:space="preserve">Land South of </w:t>
      </w:r>
      <w:proofErr w:type="spellStart"/>
      <w:r w:rsidRPr="00794ADB">
        <w:t>Snarlton</w:t>
      </w:r>
      <w:proofErr w:type="spellEnd"/>
      <w:r w:rsidRPr="00794ADB">
        <w:t xml:space="preserve"> Farm (planning ref: PL/2023/07097) – 300 residential dwellings.</w:t>
      </w:r>
    </w:p>
    <w:p w14:paraId="0B79C0B4" w14:textId="77777777" w:rsidR="00794ADB" w:rsidRPr="00794ADB" w:rsidRDefault="00794ADB" w:rsidP="00794ADB">
      <w:pPr>
        <w:numPr>
          <w:ilvl w:val="0"/>
          <w:numId w:val="1"/>
        </w:numPr>
      </w:pPr>
      <w:r w:rsidRPr="00794ADB">
        <w:t>Land North of A3102 (planning red: PL PL/2024/10345) – 295 residential dwellings.</w:t>
      </w:r>
    </w:p>
    <w:p w14:paraId="58E2734F" w14:textId="77777777" w:rsidR="00794ADB" w:rsidRPr="00794ADB" w:rsidRDefault="00794ADB" w:rsidP="00794ADB">
      <w:pPr>
        <w:numPr>
          <w:ilvl w:val="0"/>
          <w:numId w:val="1"/>
        </w:numPr>
      </w:pPr>
      <w:r w:rsidRPr="00794ADB">
        <w:t xml:space="preserve">Land East of Spa Road, Melksham (planning ref: 14/10461/OUT) – 450 residential dwellings, adjusted to 345 dwellings to allow for completions at the time of the traffic surveys. </w:t>
      </w:r>
    </w:p>
    <w:p w14:paraId="026E8734" w14:textId="77777777" w:rsidR="00794ADB" w:rsidRPr="00794ADB" w:rsidRDefault="00794ADB" w:rsidP="00794ADB">
      <w:pPr>
        <w:numPr>
          <w:ilvl w:val="0"/>
          <w:numId w:val="1"/>
        </w:numPr>
      </w:pPr>
      <w:r w:rsidRPr="00794ADB">
        <w:t>Land South of The Spa, Melksham (planning ref: 16/01123/OUT) – 235 residential dwellings adjusted to 99 dwellings to allow for completions at the time of the traffic surveys</w:t>
      </w:r>
    </w:p>
    <w:p w14:paraId="65457FC6" w14:textId="77777777" w:rsidR="00794ADB" w:rsidRPr="00794ADB" w:rsidRDefault="00794ADB" w:rsidP="00794ADB"/>
    <w:p w14:paraId="3643BD61" w14:textId="77777777" w:rsidR="00794ADB" w:rsidRPr="00794ADB" w:rsidRDefault="00794ADB" w:rsidP="00794ADB">
      <w:pPr>
        <w:rPr>
          <w:u w:val="single"/>
        </w:rPr>
      </w:pPr>
      <w:r w:rsidRPr="00794ADB">
        <w:t xml:space="preserve">The TA for Blackmore Farm, Melksham Phase 2 traffic analysis does not </w:t>
      </w:r>
      <w:proofErr w:type="gramStart"/>
      <w:r w:rsidRPr="00794ADB">
        <w:t>take into account</w:t>
      </w:r>
      <w:proofErr w:type="gramEnd"/>
      <w:r w:rsidRPr="00794ADB">
        <w:t xml:space="preserve"> the Lidl development adjacent to Eastern Way. This is probably </w:t>
      </w:r>
      <w:proofErr w:type="gramStart"/>
      <w:r w:rsidRPr="00794ADB">
        <w:t>due to the fact that</w:t>
      </w:r>
      <w:proofErr w:type="gramEnd"/>
      <w:r w:rsidRPr="00794ADB">
        <w:t xml:space="preserve"> the TA for Melksham Phase 2 is dated 06/05/26 whilst the TA for Lidl (PL/2026/02458) was uploaded to the planning portal on 15/04/26. After consulting the trip generation from the Lidl TA, the highest week-day peak period is PM with 111 vehicles arriving to site (see table 5.3). The additional traffic of 111 vehicles would equate to an extra vehicle on Eastern Way to one every 32 seconds. The junction modelling undertaken for accumulative traffic for the Phase 2 development for Eastern Way roundabout illustrates for 2031 scenario, that the highest RFC is AM and PM peak for Sandridge Common Eastbound 0.86. It is considered that the addition traffic from the Lidl development will not adversely affect the performance of this roundabout. Given the accumulative traffic analysis undertaken, </w:t>
      </w:r>
      <w:r w:rsidRPr="00794ADB">
        <w:rPr>
          <w:u w:val="single"/>
        </w:rPr>
        <w:t xml:space="preserve">it is considered that a new roundabout for PL/2026/02966 – Land East of Blackmore Farm is not required. </w:t>
      </w:r>
    </w:p>
    <w:p w14:paraId="5FC4F2AD" w14:textId="77777777" w:rsidR="00794ADB" w:rsidRPr="00794ADB" w:rsidRDefault="00794ADB" w:rsidP="00794ADB"/>
    <w:p w14:paraId="219EB8C8" w14:textId="77777777" w:rsidR="00794ADB" w:rsidRPr="00794ADB" w:rsidRDefault="00794ADB" w:rsidP="00794ADB">
      <w:r w:rsidRPr="00794ADB">
        <w:t xml:space="preserve">The reference to Ashton Park development was an error on the part of the colleague dealing with the Blackmore application, and I apologise that this reference was inadvertently included in the response.  Notwithstanding this, as TA, 8.3.1 (see above </w:t>
      </w:r>
      <w:r w:rsidRPr="00794ADB">
        <w:lastRenderedPageBreak/>
        <w:t xml:space="preserve">regarding cumulative assessment) details in full the accumulative sites incorporated into the traffic analysis undertaken. </w:t>
      </w:r>
    </w:p>
    <w:p w14:paraId="612393A4" w14:textId="77777777" w:rsidR="00794ADB" w:rsidRPr="00794ADB" w:rsidRDefault="00794ADB" w:rsidP="00794ADB"/>
    <w:p w14:paraId="2CE3E341" w14:textId="77777777" w:rsidR="00794ADB" w:rsidRPr="00794ADB" w:rsidRDefault="00794ADB" w:rsidP="00794ADB">
      <w:r w:rsidRPr="00794ADB">
        <w:t xml:space="preserve">The comment regarding the A3102 </w:t>
      </w:r>
      <w:proofErr w:type="spellStart"/>
      <w:r w:rsidRPr="00794ADB">
        <w:t>Lowbourne</w:t>
      </w:r>
      <w:proofErr w:type="spellEnd"/>
      <w:r w:rsidRPr="00794ADB">
        <w:t xml:space="preserve"> arm of the Sandridge Road/Forest Road/Club Access junction as having an RFC of 0.86 in the 2031 proposed and committed development scenario, was a reference to junction with the highest RFC. The unction analysis employed by the transport consultant, is based upon a linear regression model incorporating a deterministic methodology and a stochastic approach.  RFC determined by such a model, when approaching 0.85 can fluctuate slightly and the junction could be at capacity during peak periods. It is considered this would only be a short time duration and given the location of Sandridge Road/Forest Road/Club Access junction, a slightly revised junction (given the slight RFC increase) would not be likely to introduce noticeable congestion change at this junction. </w:t>
      </w:r>
    </w:p>
    <w:p w14:paraId="3D9204F0" w14:textId="77777777" w:rsidR="00794ADB" w:rsidRPr="00794ADB" w:rsidRDefault="00794ADB" w:rsidP="00794ADB"/>
    <w:p w14:paraId="25D43A3D" w14:textId="77777777" w:rsidR="00794ADB" w:rsidRPr="00794ADB" w:rsidRDefault="00794ADB" w:rsidP="00794ADB">
      <w:proofErr w:type="gramStart"/>
      <w:r w:rsidRPr="00794ADB">
        <w:t>With regard to</w:t>
      </w:r>
      <w:proofErr w:type="gramEnd"/>
      <w:r w:rsidRPr="00794ADB">
        <w:t xml:space="preserve"> Eastern Way, I can confirm that the only vehicle access will be via Sandridge Common, drawing ITB12069-GA-006 Rev E as detailed in the </w:t>
      </w:r>
      <w:proofErr w:type="gramStart"/>
      <w:r w:rsidRPr="00794ADB">
        <w:t>highways</w:t>
      </w:r>
      <w:proofErr w:type="gramEnd"/>
      <w:r w:rsidRPr="00794ADB">
        <w:t xml:space="preserve"> response under proposed site access. </w:t>
      </w:r>
    </w:p>
    <w:p w14:paraId="59CB01D6" w14:textId="77777777" w:rsidR="00794ADB" w:rsidRPr="00794ADB" w:rsidRDefault="00794ADB" w:rsidP="00794ADB"/>
    <w:p w14:paraId="5C125A1D" w14:textId="77777777" w:rsidR="00794ADB" w:rsidRPr="00794ADB" w:rsidRDefault="00794ADB" w:rsidP="00794ADB">
      <w:r w:rsidRPr="00794ADB">
        <w:t>I have noted that the route of the bypass crosses part of the development site. The Local plan having been withdrawn along with its proposed Melksham bypass safeguarding policy, the bypass route shown on the Council website therefore carries very little weight in the planning balance. There is no allocated funding for it. I am continuing to discuss internally including with the team responsible for the bypass scheme whether in these circumstances the development should address and consider the bypass.  </w:t>
      </w:r>
    </w:p>
    <w:p w14:paraId="4717EF8A" w14:textId="77777777" w:rsidR="00794ADB" w:rsidRPr="00794ADB" w:rsidRDefault="00794ADB" w:rsidP="00794ADB"/>
    <w:p w14:paraId="7C4D5546" w14:textId="77777777" w:rsidR="00794ADB" w:rsidRPr="00794ADB" w:rsidRDefault="00794ADB" w:rsidP="00794ADB">
      <w:r w:rsidRPr="00794ADB">
        <w:t xml:space="preserve">Thank you for writing and I trust this response goes some way to clarifying the highway position on 26/02966. </w:t>
      </w:r>
    </w:p>
    <w:p w14:paraId="3DCD5DF5" w14:textId="77777777" w:rsidR="00794ADB" w:rsidRPr="00794ADB" w:rsidRDefault="00794ADB" w:rsidP="00794ADB">
      <w:r w:rsidRPr="00794ADB">
        <w:t xml:space="preserve">Kind regards, </w:t>
      </w:r>
    </w:p>
    <w:p w14:paraId="0A9A5FD7" w14:textId="77777777" w:rsidR="00794ADB" w:rsidRPr="00794ADB" w:rsidRDefault="00794ADB" w:rsidP="00794ADB">
      <w:r w:rsidRPr="00794ADB">
        <w:t>Mark Wiltshire</w:t>
      </w:r>
    </w:p>
    <w:p w14:paraId="5F5B7ACB" w14:textId="77777777" w:rsidR="00794ADB" w:rsidRPr="00794ADB" w:rsidRDefault="00794ADB" w:rsidP="00794ADB"/>
    <w:p w14:paraId="5382A6B8" w14:textId="77777777" w:rsidR="00794ADB" w:rsidRPr="00794ADB" w:rsidRDefault="00794ADB" w:rsidP="00794ADB">
      <w:pPr>
        <w:rPr>
          <w:b/>
          <w:bCs/>
        </w:rPr>
      </w:pPr>
      <w:r w:rsidRPr="00794ADB">
        <w:rPr>
          <w:b/>
          <w:bCs/>
        </w:rPr>
        <w:t>Mark Wiltshire MIHE        </w:t>
      </w:r>
    </w:p>
    <w:p w14:paraId="5642CD0A" w14:textId="77777777" w:rsidR="00794ADB" w:rsidRPr="00794ADB" w:rsidRDefault="00794ADB" w:rsidP="00794ADB">
      <w:pPr>
        <w:rPr>
          <w:b/>
          <w:bCs/>
        </w:rPr>
      </w:pPr>
      <w:r w:rsidRPr="00794ADB">
        <w:rPr>
          <w:b/>
          <w:bCs/>
        </w:rPr>
        <w:t xml:space="preserve">Principal Transport and Development Manager  </w:t>
      </w:r>
    </w:p>
    <w:p w14:paraId="04B9D5A4" w14:textId="5BC0DD8F" w:rsidR="00A700E2" w:rsidRPr="00794ADB" w:rsidRDefault="00794ADB" w:rsidP="00794ADB">
      <w:r w:rsidRPr="00794ADB">
        <w:rPr>
          <w:b/>
          <w:bCs/>
        </w:rPr>
        <w:t>Highways Development Management</w:t>
      </w:r>
    </w:p>
    <w:sectPr w:rsidR="00A700E2" w:rsidRPr="00794A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0F6D"/>
    <w:multiLevelType w:val="hybridMultilevel"/>
    <w:tmpl w:val="EBACCA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135420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ADB"/>
    <w:rsid w:val="00541BD1"/>
    <w:rsid w:val="00794ADB"/>
    <w:rsid w:val="007A630D"/>
    <w:rsid w:val="00A700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DD7CB"/>
  <w15:chartTrackingRefBased/>
  <w15:docId w15:val="{7EBB4C4F-8A2F-40AB-9503-6AC43D1DC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4A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4A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4A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4A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4A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4A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4A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4A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4A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4A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4A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4A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4A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4A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4A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4A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4A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4ADB"/>
    <w:rPr>
      <w:rFonts w:eastAsiaTheme="majorEastAsia" w:cstheme="majorBidi"/>
      <w:color w:val="272727" w:themeColor="text1" w:themeTint="D8"/>
    </w:rPr>
  </w:style>
  <w:style w:type="paragraph" w:styleId="Title">
    <w:name w:val="Title"/>
    <w:basedOn w:val="Normal"/>
    <w:next w:val="Normal"/>
    <w:link w:val="TitleChar"/>
    <w:uiPriority w:val="10"/>
    <w:qFormat/>
    <w:rsid w:val="00794A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4A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4A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4A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4ADB"/>
    <w:pPr>
      <w:spacing w:before="160"/>
      <w:jc w:val="center"/>
    </w:pPr>
    <w:rPr>
      <w:i/>
      <w:iCs/>
      <w:color w:val="404040" w:themeColor="text1" w:themeTint="BF"/>
    </w:rPr>
  </w:style>
  <w:style w:type="character" w:customStyle="1" w:styleId="QuoteChar">
    <w:name w:val="Quote Char"/>
    <w:basedOn w:val="DefaultParagraphFont"/>
    <w:link w:val="Quote"/>
    <w:uiPriority w:val="29"/>
    <w:rsid w:val="00794ADB"/>
    <w:rPr>
      <w:i/>
      <w:iCs/>
      <w:color w:val="404040" w:themeColor="text1" w:themeTint="BF"/>
    </w:rPr>
  </w:style>
  <w:style w:type="paragraph" w:styleId="ListParagraph">
    <w:name w:val="List Paragraph"/>
    <w:basedOn w:val="Normal"/>
    <w:uiPriority w:val="34"/>
    <w:qFormat/>
    <w:rsid w:val="00794ADB"/>
    <w:pPr>
      <w:ind w:left="720"/>
      <w:contextualSpacing/>
    </w:pPr>
  </w:style>
  <w:style w:type="character" w:styleId="IntenseEmphasis">
    <w:name w:val="Intense Emphasis"/>
    <w:basedOn w:val="DefaultParagraphFont"/>
    <w:uiPriority w:val="21"/>
    <w:qFormat/>
    <w:rsid w:val="00794ADB"/>
    <w:rPr>
      <w:i/>
      <w:iCs/>
      <w:color w:val="0F4761" w:themeColor="accent1" w:themeShade="BF"/>
    </w:rPr>
  </w:style>
  <w:style w:type="paragraph" w:styleId="IntenseQuote">
    <w:name w:val="Intense Quote"/>
    <w:basedOn w:val="Normal"/>
    <w:next w:val="Normal"/>
    <w:link w:val="IntenseQuoteChar"/>
    <w:uiPriority w:val="30"/>
    <w:qFormat/>
    <w:rsid w:val="00794A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4ADB"/>
    <w:rPr>
      <w:i/>
      <w:iCs/>
      <w:color w:val="0F4761" w:themeColor="accent1" w:themeShade="BF"/>
    </w:rPr>
  </w:style>
  <w:style w:type="character" w:styleId="IntenseReference">
    <w:name w:val="Intense Reference"/>
    <w:basedOn w:val="DefaultParagraphFont"/>
    <w:uiPriority w:val="32"/>
    <w:qFormat/>
    <w:rsid w:val="00794A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617</Words>
  <Characters>3518</Characters>
  <Application>Microsoft Office Word</Application>
  <DocSecurity>0</DocSecurity>
  <Lines>29</Lines>
  <Paragraphs>8</Paragraphs>
  <ScaleCrop>false</ScaleCrop>
  <Company/>
  <LinksUpToDate>false</LinksUpToDate>
  <CharactersWithSpaces>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 Prue</dc:creator>
  <cp:keywords/>
  <dc:description/>
  <cp:lastModifiedBy>Broom, Prue</cp:lastModifiedBy>
  <cp:revision>1</cp:revision>
  <dcterms:created xsi:type="dcterms:W3CDTF">2026-09-30T07:59:00Z</dcterms:created>
  <dcterms:modified xsi:type="dcterms:W3CDTF">2026-09-30T08:01:00Z</dcterms:modified>
</cp:coreProperties>
</file>