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D67081" w14:textId="576EC40E" w:rsidR="0052246E" w:rsidRDefault="0052246E" w:rsidP="0052246E">
      <w:pPr>
        <w:pStyle w:val="Letterbody"/>
        <w:rPr>
          <w:b/>
        </w:rPr>
      </w:pPr>
      <w:r>
        <w:rPr>
          <w:noProof/>
        </w:rPr>
        <w:drawing>
          <wp:anchor distT="0" distB="0" distL="114300" distR="114300" simplePos="0" relativeHeight="251658240" behindDoc="0" locked="0" layoutInCell="1" allowOverlap="1" wp14:anchorId="4A813B8D" wp14:editId="08A5B072">
            <wp:simplePos x="0" y="0"/>
            <wp:positionH relativeFrom="margin">
              <wp:posOffset>3964305</wp:posOffset>
            </wp:positionH>
            <wp:positionV relativeFrom="paragraph">
              <wp:posOffset>-788670</wp:posOffset>
            </wp:positionV>
            <wp:extent cx="2705100" cy="828675"/>
            <wp:effectExtent l="0" t="0" r="0" b="9525"/>
            <wp:wrapNone/>
            <wp:docPr id="638588874" name="Picture 1" descr="A green and white text on a black background  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 green and white text on a black background  Description automatically generated"/>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705100" cy="828675"/>
                    </a:xfrm>
                    <a:prstGeom prst="rect">
                      <a:avLst/>
                    </a:prstGeom>
                    <a:noFill/>
                  </pic:spPr>
                </pic:pic>
              </a:graphicData>
            </a:graphic>
            <wp14:sizeRelH relativeFrom="page">
              <wp14:pctWidth>0</wp14:pctWidth>
            </wp14:sizeRelH>
            <wp14:sizeRelV relativeFrom="page">
              <wp14:pctHeight>0</wp14:pctHeight>
            </wp14:sizeRelV>
          </wp:anchor>
        </w:drawing>
      </w:r>
    </w:p>
    <w:tbl>
      <w:tblPr>
        <w:tblW w:w="10490" w:type="dxa"/>
        <w:tblInd w:w="108" w:type="dxa"/>
        <w:tblLayout w:type="fixed"/>
        <w:tblLook w:val="0000" w:firstRow="0" w:lastRow="0" w:firstColumn="0" w:lastColumn="0" w:noHBand="0" w:noVBand="0"/>
      </w:tblPr>
      <w:tblGrid>
        <w:gridCol w:w="2127"/>
        <w:gridCol w:w="1809"/>
        <w:gridCol w:w="6554"/>
      </w:tblGrid>
      <w:tr w:rsidR="0052246E" w:rsidRPr="000D5F61" w14:paraId="72133608" w14:textId="77777777" w:rsidTr="00A94851">
        <w:trPr>
          <w:cantSplit/>
          <w:trHeight w:hRule="exact" w:val="548"/>
        </w:trPr>
        <w:tc>
          <w:tcPr>
            <w:tcW w:w="10490" w:type="dxa"/>
            <w:gridSpan w:val="3"/>
          </w:tcPr>
          <w:p w14:paraId="6FA6EE5C" w14:textId="77777777" w:rsidR="0052246E" w:rsidRPr="000D5F61" w:rsidRDefault="0052246E" w:rsidP="00A94851">
            <w:pPr>
              <w:jc w:val="center"/>
              <w:rPr>
                <w:rFonts w:cs="Arial"/>
                <w:sz w:val="22"/>
                <w:szCs w:val="22"/>
              </w:rPr>
            </w:pPr>
            <w:r>
              <w:rPr>
                <w:b/>
                <w:sz w:val="36"/>
              </w:rPr>
              <w:t>Wiltshire Council Planning Consultation Response</w:t>
            </w:r>
          </w:p>
        </w:tc>
      </w:tr>
      <w:tr w:rsidR="0052246E" w:rsidRPr="00FD4A44" w14:paraId="51CB526F" w14:textId="77777777" w:rsidTr="00A94851">
        <w:trPr>
          <w:cantSplit/>
          <w:trHeight w:hRule="exact" w:val="584"/>
        </w:trPr>
        <w:tc>
          <w:tcPr>
            <w:tcW w:w="3936" w:type="dxa"/>
            <w:gridSpan w:val="2"/>
          </w:tcPr>
          <w:p w14:paraId="660CBF6C" w14:textId="6BC98DF5" w:rsidR="0052246E" w:rsidRPr="00911306" w:rsidRDefault="0052246E" w:rsidP="00A94851">
            <w:pPr>
              <w:rPr>
                <w:rFonts w:cs="Arial"/>
                <w:color w:val="auto"/>
                <w:sz w:val="20"/>
              </w:rPr>
            </w:pPr>
            <w:r w:rsidRPr="00911306">
              <w:rPr>
                <w:rFonts w:cs="Arial"/>
                <w:color w:val="auto"/>
                <w:sz w:val="20"/>
              </w:rPr>
              <w:t>2</w:t>
            </w:r>
            <w:r>
              <w:rPr>
                <w:rFonts w:cs="Arial"/>
                <w:color w:val="auto"/>
                <w:sz w:val="20"/>
              </w:rPr>
              <w:t>3</w:t>
            </w:r>
            <w:r w:rsidRPr="00911306">
              <w:rPr>
                <w:rFonts w:cs="Arial"/>
                <w:color w:val="auto"/>
                <w:sz w:val="20"/>
                <w:vertAlign w:val="superscript"/>
              </w:rPr>
              <w:t>rd</w:t>
            </w:r>
            <w:r w:rsidRPr="00911306">
              <w:rPr>
                <w:rFonts w:cs="Arial"/>
                <w:color w:val="auto"/>
                <w:sz w:val="20"/>
              </w:rPr>
              <w:t xml:space="preserve"> </w:t>
            </w:r>
            <w:r>
              <w:rPr>
                <w:rFonts w:cs="Arial"/>
                <w:color w:val="auto"/>
                <w:sz w:val="20"/>
              </w:rPr>
              <w:t xml:space="preserve">September </w:t>
            </w:r>
            <w:r w:rsidRPr="00911306">
              <w:rPr>
                <w:rFonts w:cs="Arial"/>
                <w:color w:val="auto"/>
                <w:sz w:val="20"/>
              </w:rPr>
              <w:t xml:space="preserve">2026 </w:t>
            </w:r>
          </w:p>
        </w:tc>
        <w:tc>
          <w:tcPr>
            <w:tcW w:w="6554" w:type="dxa"/>
            <w:vMerge w:val="restart"/>
          </w:tcPr>
          <w:p w14:paraId="12188F71" w14:textId="77777777" w:rsidR="0052246E" w:rsidRPr="00FD4A44" w:rsidRDefault="0052246E" w:rsidP="00A94851">
            <w:pPr>
              <w:jc w:val="right"/>
              <w:rPr>
                <w:rFonts w:cs="Arial"/>
                <w:sz w:val="20"/>
              </w:rPr>
            </w:pPr>
          </w:p>
          <w:p w14:paraId="5343A988" w14:textId="77777777" w:rsidR="0052246E" w:rsidRPr="00FD4A44" w:rsidRDefault="0052246E" w:rsidP="00A94851">
            <w:pPr>
              <w:pStyle w:val="Letterbody"/>
              <w:ind w:firstLine="884"/>
              <w:jc w:val="right"/>
              <w:rPr>
                <w:sz w:val="20"/>
              </w:rPr>
            </w:pPr>
          </w:p>
          <w:p w14:paraId="65CBAB2F" w14:textId="77777777" w:rsidR="0052246E" w:rsidRPr="00FD4A44" w:rsidRDefault="0052246E" w:rsidP="00A94851">
            <w:pPr>
              <w:pStyle w:val="Letterbody"/>
              <w:ind w:firstLine="884"/>
              <w:jc w:val="right"/>
              <w:rPr>
                <w:sz w:val="20"/>
              </w:rPr>
            </w:pPr>
            <w:r w:rsidRPr="00FD4A44">
              <w:rPr>
                <w:sz w:val="20"/>
              </w:rPr>
              <w:t>Officer’s Name:</w:t>
            </w:r>
            <w:r>
              <w:rPr>
                <w:sz w:val="20"/>
              </w:rPr>
              <w:t xml:space="preserve"> Alex Marsh</w:t>
            </w:r>
            <w:r w:rsidRPr="00FD4A44">
              <w:rPr>
                <w:sz w:val="20"/>
              </w:rPr>
              <w:t xml:space="preserve"> </w:t>
            </w:r>
          </w:p>
          <w:p w14:paraId="51730FAD" w14:textId="77777777" w:rsidR="0052246E" w:rsidRPr="00FD4A44" w:rsidRDefault="0052246E" w:rsidP="00A94851">
            <w:pPr>
              <w:pStyle w:val="Letterbody"/>
              <w:ind w:firstLine="884"/>
              <w:jc w:val="right"/>
              <w:rPr>
                <w:sz w:val="20"/>
              </w:rPr>
            </w:pPr>
            <w:r w:rsidRPr="00FD4A44">
              <w:rPr>
                <w:sz w:val="20"/>
              </w:rPr>
              <w:t xml:space="preserve">Officer’s Title:  </w:t>
            </w:r>
            <w:r>
              <w:rPr>
                <w:sz w:val="20"/>
              </w:rPr>
              <w:t>Senior Planning Officer</w:t>
            </w:r>
          </w:p>
          <w:p w14:paraId="462D4560" w14:textId="77777777" w:rsidR="0052246E" w:rsidRPr="00FD4A44" w:rsidRDefault="0052246E" w:rsidP="00A94851">
            <w:pPr>
              <w:ind w:firstLine="884"/>
              <w:jc w:val="right"/>
              <w:rPr>
                <w:rFonts w:cs="Arial"/>
                <w:sz w:val="20"/>
              </w:rPr>
            </w:pPr>
          </w:p>
        </w:tc>
      </w:tr>
      <w:tr w:rsidR="0052246E" w:rsidRPr="00FD4A44" w14:paraId="357974F3" w14:textId="77777777" w:rsidTr="00A94851">
        <w:trPr>
          <w:cantSplit/>
          <w:trHeight w:hRule="exact" w:val="2295"/>
        </w:trPr>
        <w:tc>
          <w:tcPr>
            <w:tcW w:w="3936" w:type="dxa"/>
            <w:gridSpan w:val="2"/>
          </w:tcPr>
          <w:p w14:paraId="00264F02" w14:textId="77777777" w:rsidR="0052246E" w:rsidRPr="00FD4A44" w:rsidRDefault="0052246E" w:rsidP="00A94851">
            <w:pPr>
              <w:rPr>
                <w:rFonts w:cs="Arial"/>
                <w:sz w:val="20"/>
              </w:rPr>
            </w:pPr>
            <w:r w:rsidRPr="00FD4A44">
              <w:rPr>
                <w:rFonts w:cs="Arial"/>
                <w:sz w:val="20"/>
              </w:rPr>
              <w:t xml:space="preserve"> </w:t>
            </w:r>
          </w:p>
        </w:tc>
        <w:tc>
          <w:tcPr>
            <w:tcW w:w="6554" w:type="dxa"/>
            <w:vMerge/>
          </w:tcPr>
          <w:p w14:paraId="58B1BBAB" w14:textId="77777777" w:rsidR="0052246E" w:rsidRPr="00FD4A44" w:rsidRDefault="0052246E" w:rsidP="00A94851">
            <w:pPr>
              <w:rPr>
                <w:rFonts w:cs="Arial"/>
                <w:sz w:val="20"/>
              </w:rPr>
            </w:pPr>
          </w:p>
        </w:tc>
      </w:tr>
      <w:tr w:rsidR="0052246E" w:rsidRPr="00FD4A44" w14:paraId="0D962F01" w14:textId="77777777" w:rsidTr="00A94851">
        <w:tblPrEx>
          <w:tblLook w:val="04A0" w:firstRow="1" w:lastRow="0" w:firstColumn="1" w:lastColumn="0" w:noHBand="0" w:noVBand="1"/>
        </w:tblPrEx>
        <w:tc>
          <w:tcPr>
            <w:tcW w:w="2127" w:type="dxa"/>
            <w:tcMar>
              <w:top w:w="0" w:type="dxa"/>
              <w:left w:w="0" w:type="dxa"/>
              <w:bottom w:w="0" w:type="dxa"/>
              <w:right w:w="108" w:type="dxa"/>
            </w:tcMar>
            <w:hideMark/>
          </w:tcPr>
          <w:p w14:paraId="0F8870BD" w14:textId="77777777" w:rsidR="0052246E" w:rsidRPr="00FD4A44" w:rsidRDefault="0052246E" w:rsidP="00A94851">
            <w:pPr>
              <w:pStyle w:val="Letterbody"/>
              <w:rPr>
                <w:b/>
                <w:sz w:val="20"/>
              </w:rPr>
            </w:pPr>
            <w:r w:rsidRPr="00FD4A44">
              <w:rPr>
                <w:b/>
                <w:sz w:val="20"/>
              </w:rPr>
              <w:t>Application No:</w:t>
            </w:r>
          </w:p>
        </w:tc>
        <w:tc>
          <w:tcPr>
            <w:tcW w:w="8363" w:type="dxa"/>
            <w:gridSpan w:val="2"/>
            <w:hideMark/>
          </w:tcPr>
          <w:p w14:paraId="0059A9B4" w14:textId="6F749904" w:rsidR="0052246E" w:rsidRPr="0052246E" w:rsidRDefault="0052246E" w:rsidP="00A94851">
            <w:pPr>
              <w:spacing w:after="200"/>
              <w:contextualSpacing/>
              <w:rPr>
                <w:rFonts w:cs="Arial"/>
                <w:b/>
                <w:sz w:val="22"/>
                <w:szCs w:val="22"/>
              </w:rPr>
            </w:pPr>
            <w:r w:rsidRPr="0052246E">
              <w:rPr>
                <w:rFonts w:cs="Arial"/>
                <w:b/>
                <w:sz w:val="22"/>
                <w:szCs w:val="22"/>
              </w:rPr>
              <w:t>PL/2026/0</w:t>
            </w:r>
            <w:r w:rsidRPr="0052246E">
              <w:rPr>
                <w:rFonts w:cs="Arial"/>
                <w:b/>
                <w:sz w:val="22"/>
                <w:szCs w:val="22"/>
              </w:rPr>
              <w:t xml:space="preserve">4351 </w:t>
            </w:r>
            <w:r>
              <w:rPr>
                <w:rFonts w:cs="Arial"/>
                <w:b/>
                <w:sz w:val="22"/>
                <w:szCs w:val="22"/>
              </w:rPr>
              <w:t>H and PL/2026/04651 LBC</w:t>
            </w:r>
          </w:p>
          <w:p w14:paraId="0AD003DC" w14:textId="4E21D698" w:rsidR="0052246E" w:rsidRPr="0052246E" w:rsidRDefault="0052246E" w:rsidP="00A94851">
            <w:pPr>
              <w:spacing w:after="200"/>
              <w:contextualSpacing/>
              <w:rPr>
                <w:rFonts w:cs="Arial"/>
                <w:b/>
                <w:sz w:val="22"/>
                <w:szCs w:val="22"/>
              </w:rPr>
            </w:pPr>
            <w:r w:rsidRPr="0052246E">
              <w:rPr>
                <w:rFonts w:cs="Arial"/>
                <w:b/>
                <w:sz w:val="22"/>
                <w:szCs w:val="22"/>
              </w:rPr>
              <w:t>Description of Works</w:t>
            </w:r>
            <w:r w:rsidRPr="0052246E">
              <w:rPr>
                <w:rFonts w:eastAsia="Aptos" w:cs="Arial"/>
                <w:color w:val="auto"/>
                <w:sz w:val="22"/>
                <w:szCs w:val="22"/>
                <w:lang w:eastAsia="en-US"/>
              </w:rPr>
              <w:t xml:space="preserve"> </w:t>
            </w:r>
            <w:r w:rsidRPr="0052246E">
              <w:rPr>
                <w:rFonts w:cs="Arial"/>
                <w:color w:val="181818"/>
                <w:sz w:val="22"/>
                <w:szCs w:val="22"/>
                <w:shd w:val="clear" w:color="auto" w:fill="FFFFFF"/>
              </w:rPr>
              <w:t>Replace joinery detailing to the existing large southern gable window and insert a new set of glazed doors, with similar joinery treatment on the building’s eastern elevation.</w:t>
            </w:r>
          </w:p>
          <w:p w14:paraId="6930BB81" w14:textId="77777777" w:rsidR="0052246E" w:rsidRPr="0052246E" w:rsidRDefault="0052246E" w:rsidP="00A94851">
            <w:pPr>
              <w:pStyle w:val="Letterbody"/>
              <w:rPr>
                <w:rFonts w:cs="Arial"/>
                <w:b/>
                <w:sz w:val="22"/>
                <w:szCs w:val="22"/>
              </w:rPr>
            </w:pPr>
          </w:p>
        </w:tc>
      </w:tr>
      <w:tr w:rsidR="0052246E" w:rsidRPr="00FD4A44" w14:paraId="4CC4DD38" w14:textId="77777777" w:rsidTr="0052246E">
        <w:tblPrEx>
          <w:tblLook w:val="04A0" w:firstRow="1" w:lastRow="0" w:firstColumn="1" w:lastColumn="0" w:noHBand="0" w:noVBand="1"/>
        </w:tblPrEx>
        <w:trPr>
          <w:trHeight w:val="60"/>
        </w:trPr>
        <w:tc>
          <w:tcPr>
            <w:tcW w:w="2127" w:type="dxa"/>
            <w:tcMar>
              <w:top w:w="0" w:type="dxa"/>
              <w:left w:w="0" w:type="dxa"/>
              <w:bottom w:w="0" w:type="dxa"/>
              <w:right w:w="108" w:type="dxa"/>
            </w:tcMar>
            <w:hideMark/>
          </w:tcPr>
          <w:p w14:paraId="5595FA2D" w14:textId="77777777" w:rsidR="0052246E" w:rsidRPr="00FD4A44" w:rsidRDefault="0052246E" w:rsidP="00A94851">
            <w:pPr>
              <w:pStyle w:val="Letterbody"/>
              <w:ind w:hanging="1701"/>
              <w:rPr>
                <w:b/>
                <w:sz w:val="20"/>
              </w:rPr>
            </w:pPr>
            <w:r w:rsidRPr="00FD4A44">
              <w:rPr>
                <w:b/>
                <w:sz w:val="20"/>
              </w:rPr>
              <w:t>Proposal:</w:t>
            </w:r>
          </w:p>
        </w:tc>
        <w:tc>
          <w:tcPr>
            <w:tcW w:w="8363" w:type="dxa"/>
            <w:gridSpan w:val="2"/>
            <w:hideMark/>
          </w:tcPr>
          <w:p w14:paraId="75AB6EC1" w14:textId="77777777" w:rsidR="0052246E" w:rsidRPr="0052246E" w:rsidRDefault="0052246E" w:rsidP="00A94851">
            <w:pPr>
              <w:pStyle w:val="Letterbody"/>
              <w:rPr>
                <w:rFonts w:cs="Arial"/>
                <w:b/>
                <w:sz w:val="22"/>
                <w:szCs w:val="22"/>
              </w:rPr>
            </w:pPr>
          </w:p>
        </w:tc>
      </w:tr>
      <w:tr w:rsidR="0052246E" w:rsidRPr="00FD4A44" w14:paraId="4F52C4F0" w14:textId="77777777" w:rsidTr="00A94851">
        <w:tblPrEx>
          <w:tblLook w:val="04A0" w:firstRow="1" w:lastRow="0" w:firstColumn="1" w:lastColumn="0" w:noHBand="0" w:noVBand="1"/>
        </w:tblPrEx>
        <w:tc>
          <w:tcPr>
            <w:tcW w:w="2127" w:type="dxa"/>
            <w:tcMar>
              <w:top w:w="0" w:type="dxa"/>
              <w:left w:w="0" w:type="dxa"/>
              <w:bottom w:w="0" w:type="dxa"/>
              <w:right w:w="108" w:type="dxa"/>
            </w:tcMar>
            <w:hideMark/>
          </w:tcPr>
          <w:p w14:paraId="376797F8" w14:textId="77777777" w:rsidR="0052246E" w:rsidRPr="00FD4A44" w:rsidRDefault="0052246E" w:rsidP="00A94851">
            <w:pPr>
              <w:pStyle w:val="Letterbody"/>
              <w:ind w:hanging="1701"/>
              <w:rPr>
                <w:b/>
                <w:sz w:val="20"/>
              </w:rPr>
            </w:pPr>
            <w:r w:rsidRPr="00FD4A44">
              <w:rPr>
                <w:b/>
                <w:sz w:val="20"/>
              </w:rPr>
              <w:t>Site Address:</w:t>
            </w:r>
          </w:p>
        </w:tc>
        <w:tc>
          <w:tcPr>
            <w:tcW w:w="8363" w:type="dxa"/>
            <w:gridSpan w:val="2"/>
            <w:hideMark/>
          </w:tcPr>
          <w:p w14:paraId="1C3DCAC8" w14:textId="5EA98664" w:rsidR="0052246E" w:rsidRPr="0052246E" w:rsidRDefault="0052246E" w:rsidP="00A94851">
            <w:pPr>
              <w:spacing w:after="200"/>
              <w:contextualSpacing/>
              <w:rPr>
                <w:rFonts w:cs="Arial"/>
                <w:b/>
                <w:sz w:val="22"/>
                <w:szCs w:val="22"/>
              </w:rPr>
            </w:pPr>
            <w:r w:rsidRPr="0052246E">
              <w:rPr>
                <w:rFonts w:cs="Arial"/>
                <w:b/>
                <w:sz w:val="22"/>
                <w:szCs w:val="22"/>
              </w:rPr>
              <w:t>Address</w:t>
            </w:r>
            <w:r w:rsidRPr="0052246E">
              <w:rPr>
                <w:rFonts w:eastAsia="Aptos" w:cs="Arial"/>
                <w:color w:val="auto"/>
                <w:sz w:val="22"/>
                <w:szCs w:val="22"/>
                <w:lang w:eastAsia="en-US"/>
              </w:rPr>
              <w:t xml:space="preserve">: </w:t>
            </w:r>
            <w:r w:rsidRPr="0052246E">
              <w:rPr>
                <w:rFonts w:cs="Arial"/>
                <w:color w:val="181818"/>
                <w:sz w:val="22"/>
                <w:szCs w:val="22"/>
                <w:shd w:val="clear" w:color="auto" w:fill="FFFFFF"/>
              </w:rPr>
              <w:t>The Long Barn, Thornhill, Royal Wootton Bassett, Swindon, SN4 7RX</w:t>
            </w:r>
          </w:p>
          <w:p w14:paraId="09990B4A" w14:textId="77777777" w:rsidR="0052246E" w:rsidRPr="0052246E" w:rsidRDefault="0052246E" w:rsidP="00A94851">
            <w:pPr>
              <w:pStyle w:val="Letterbody"/>
              <w:rPr>
                <w:rFonts w:cs="Arial"/>
                <w:b/>
                <w:sz w:val="22"/>
                <w:szCs w:val="22"/>
              </w:rPr>
            </w:pPr>
          </w:p>
        </w:tc>
      </w:tr>
      <w:tr w:rsidR="0052246E" w:rsidRPr="00FD4A44" w14:paraId="14588E70" w14:textId="77777777" w:rsidTr="00A94851">
        <w:tblPrEx>
          <w:tblLook w:val="04A0" w:firstRow="1" w:lastRow="0" w:firstColumn="1" w:lastColumn="0" w:noHBand="0" w:noVBand="1"/>
        </w:tblPrEx>
        <w:tc>
          <w:tcPr>
            <w:tcW w:w="2127" w:type="dxa"/>
            <w:tcMar>
              <w:top w:w="0" w:type="dxa"/>
              <w:left w:w="0" w:type="dxa"/>
              <w:bottom w:w="0" w:type="dxa"/>
              <w:right w:w="108" w:type="dxa"/>
            </w:tcMar>
          </w:tcPr>
          <w:p w14:paraId="355A07BA" w14:textId="77777777" w:rsidR="0052246E" w:rsidRPr="00FD4A44" w:rsidRDefault="0052246E" w:rsidP="00A94851">
            <w:pPr>
              <w:pStyle w:val="Letterbody"/>
              <w:ind w:hanging="1701"/>
              <w:rPr>
                <w:b/>
                <w:sz w:val="20"/>
              </w:rPr>
            </w:pPr>
          </w:p>
        </w:tc>
        <w:tc>
          <w:tcPr>
            <w:tcW w:w="8363" w:type="dxa"/>
            <w:gridSpan w:val="2"/>
          </w:tcPr>
          <w:p w14:paraId="59E72A8F" w14:textId="77777777" w:rsidR="0052246E" w:rsidRPr="00FD4A44" w:rsidRDefault="0052246E" w:rsidP="00A94851">
            <w:pPr>
              <w:pStyle w:val="Letterbody"/>
              <w:rPr>
                <w:b/>
                <w:sz w:val="20"/>
              </w:rPr>
            </w:pPr>
          </w:p>
        </w:tc>
      </w:tr>
      <w:tr w:rsidR="0052246E" w:rsidRPr="00FD4A44" w14:paraId="3D87291E" w14:textId="77777777" w:rsidTr="00A94851">
        <w:tblPrEx>
          <w:tblLook w:val="04A0" w:firstRow="1" w:lastRow="0" w:firstColumn="1" w:lastColumn="0" w:noHBand="0" w:noVBand="1"/>
        </w:tblPrEx>
        <w:tc>
          <w:tcPr>
            <w:tcW w:w="2127" w:type="dxa"/>
            <w:tcMar>
              <w:top w:w="0" w:type="dxa"/>
              <w:left w:w="0" w:type="dxa"/>
              <w:bottom w:w="0" w:type="dxa"/>
              <w:right w:w="108" w:type="dxa"/>
            </w:tcMar>
            <w:hideMark/>
          </w:tcPr>
          <w:p w14:paraId="245D140A" w14:textId="77777777" w:rsidR="0052246E" w:rsidRPr="00FD4A44" w:rsidRDefault="0052246E" w:rsidP="00A94851">
            <w:pPr>
              <w:pStyle w:val="Letterbody"/>
              <w:ind w:hanging="1701"/>
              <w:rPr>
                <w:b/>
                <w:sz w:val="20"/>
              </w:rPr>
            </w:pPr>
            <w:r w:rsidRPr="00FD4A44">
              <w:rPr>
                <w:b/>
                <w:sz w:val="20"/>
              </w:rPr>
              <w:t>On Behalf of:</w:t>
            </w:r>
          </w:p>
        </w:tc>
        <w:tc>
          <w:tcPr>
            <w:tcW w:w="8363" w:type="dxa"/>
            <w:gridSpan w:val="2"/>
          </w:tcPr>
          <w:p w14:paraId="21D683B3" w14:textId="77777777" w:rsidR="0052246E" w:rsidRPr="00FD4A44" w:rsidRDefault="0052246E" w:rsidP="00A94851">
            <w:pPr>
              <w:pStyle w:val="Letterbody"/>
              <w:rPr>
                <w:b/>
                <w:sz w:val="20"/>
              </w:rPr>
            </w:pPr>
          </w:p>
        </w:tc>
      </w:tr>
    </w:tbl>
    <w:p w14:paraId="32941137" w14:textId="77777777" w:rsidR="0052246E" w:rsidRPr="00FD4A44" w:rsidRDefault="0052246E" w:rsidP="0052246E">
      <w:pPr>
        <w:pStyle w:val="Letterbody"/>
        <w:jc w:val="left"/>
        <w:rPr>
          <w:sz w:val="20"/>
        </w:rPr>
      </w:pPr>
      <w:r w:rsidRPr="00FD4A44">
        <w:rPr>
          <w:sz w:val="20"/>
        </w:rPr>
        <w:t xml:space="preserve">Please </w:t>
      </w:r>
      <w:r>
        <w:rPr>
          <w:sz w:val="20"/>
        </w:rPr>
        <w:t>find following comments in respect of the above application(s).</w:t>
      </w:r>
    </w:p>
    <w:p w14:paraId="7565268C" w14:textId="77777777" w:rsidR="0052246E" w:rsidRPr="00FD4A44" w:rsidRDefault="0052246E" w:rsidP="0052246E">
      <w:pPr>
        <w:pStyle w:val="Letterbody"/>
        <w:rPr>
          <w:sz w:val="20"/>
        </w:rPr>
      </w:pPr>
    </w:p>
    <w:p w14:paraId="4484B235" w14:textId="77777777" w:rsidR="0052246E" w:rsidRPr="00FD4A44" w:rsidRDefault="0052246E" w:rsidP="0052246E">
      <w:pPr>
        <w:pStyle w:val="Letterbody"/>
        <w:rPr>
          <w:b/>
          <w:sz w:val="20"/>
          <w:u w:val="single"/>
        </w:rPr>
      </w:pPr>
      <w:r w:rsidRPr="00FD4A44">
        <w:rPr>
          <w:b/>
          <w:sz w:val="20"/>
          <w:u w:val="single"/>
        </w:rPr>
        <w:t>Recommendations:</w:t>
      </w:r>
    </w:p>
    <w:p w14:paraId="31B58414" w14:textId="77777777" w:rsidR="0052246E" w:rsidRPr="00FD4A44" w:rsidRDefault="0052246E" w:rsidP="0052246E">
      <w:pPr>
        <w:pStyle w:val="Letterbody"/>
        <w:rPr>
          <w:sz w:val="20"/>
        </w:rPr>
      </w:pPr>
    </w:p>
    <w:tbl>
      <w:tblPr>
        <w:tblW w:w="0" w:type="auto"/>
        <w:tblInd w:w="250" w:type="dxa"/>
        <w:tblLook w:val="04A0" w:firstRow="1" w:lastRow="0" w:firstColumn="1" w:lastColumn="0" w:noHBand="0" w:noVBand="1"/>
      </w:tblPr>
      <w:tblGrid>
        <w:gridCol w:w="750"/>
        <w:gridCol w:w="8562"/>
      </w:tblGrid>
      <w:tr w:rsidR="0052246E" w:rsidRPr="00FD4A44" w14:paraId="4899ED9F" w14:textId="77777777" w:rsidTr="00A94851">
        <w:trPr>
          <w:trHeight w:val="252"/>
        </w:trPr>
        <w:tc>
          <w:tcPr>
            <w:tcW w:w="750" w:type="dxa"/>
            <w:tcBorders>
              <w:top w:val="single" w:sz="4" w:space="0" w:color="auto"/>
              <w:left w:val="single" w:sz="4" w:space="0" w:color="auto"/>
              <w:bottom w:val="single" w:sz="4" w:space="0" w:color="auto"/>
              <w:right w:val="single" w:sz="4" w:space="0" w:color="auto"/>
            </w:tcBorders>
          </w:tcPr>
          <w:p w14:paraId="1B98D187" w14:textId="77777777" w:rsidR="0052246E" w:rsidRPr="00FD4A44" w:rsidRDefault="0052246E" w:rsidP="00A94851">
            <w:pPr>
              <w:pStyle w:val="Letterbody"/>
              <w:rPr>
                <w:sz w:val="20"/>
              </w:rPr>
            </w:pPr>
          </w:p>
        </w:tc>
        <w:tc>
          <w:tcPr>
            <w:tcW w:w="8562" w:type="dxa"/>
            <w:tcBorders>
              <w:top w:val="nil"/>
              <w:left w:val="single" w:sz="4" w:space="0" w:color="auto"/>
              <w:bottom w:val="nil"/>
              <w:right w:val="nil"/>
            </w:tcBorders>
            <w:hideMark/>
          </w:tcPr>
          <w:p w14:paraId="50AAEED9" w14:textId="77777777" w:rsidR="0052246E" w:rsidRPr="00FD4A44" w:rsidRDefault="0052246E" w:rsidP="00A94851">
            <w:pPr>
              <w:pStyle w:val="Letterbody"/>
              <w:tabs>
                <w:tab w:val="left" w:pos="720"/>
              </w:tabs>
              <w:spacing w:line="276" w:lineRule="auto"/>
              <w:ind w:firstLine="175"/>
              <w:rPr>
                <w:sz w:val="20"/>
              </w:rPr>
            </w:pPr>
            <w:r>
              <w:rPr>
                <w:sz w:val="20"/>
              </w:rPr>
              <w:t>Support requires amendments to the scheme (as set out below)</w:t>
            </w:r>
          </w:p>
        </w:tc>
      </w:tr>
      <w:tr w:rsidR="0052246E" w:rsidRPr="00FD4A44" w14:paraId="135D167C" w14:textId="77777777" w:rsidTr="00A94851">
        <w:trPr>
          <w:trHeight w:val="252"/>
        </w:trPr>
        <w:tc>
          <w:tcPr>
            <w:tcW w:w="750" w:type="dxa"/>
            <w:tcBorders>
              <w:top w:val="single" w:sz="4" w:space="0" w:color="auto"/>
              <w:left w:val="single" w:sz="4" w:space="0" w:color="auto"/>
              <w:bottom w:val="single" w:sz="4" w:space="0" w:color="auto"/>
              <w:right w:val="single" w:sz="4" w:space="0" w:color="auto"/>
            </w:tcBorders>
          </w:tcPr>
          <w:p w14:paraId="543DD117" w14:textId="77777777" w:rsidR="0052246E" w:rsidRPr="00FD4A44" w:rsidRDefault="0052246E" w:rsidP="00A94851">
            <w:pPr>
              <w:pStyle w:val="Letterbody"/>
              <w:rPr>
                <w:sz w:val="20"/>
              </w:rPr>
            </w:pPr>
          </w:p>
        </w:tc>
        <w:tc>
          <w:tcPr>
            <w:tcW w:w="8562" w:type="dxa"/>
            <w:tcBorders>
              <w:top w:val="nil"/>
              <w:left w:val="single" w:sz="4" w:space="0" w:color="auto"/>
              <w:bottom w:val="nil"/>
              <w:right w:val="nil"/>
            </w:tcBorders>
            <w:hideMark/>
          </w:tcPr>
          <w:p w14:paraId="628B4182" w14:textId="77777777" w:rsidR="0052246E" w:rsidRPr="00FD4A44" w:rsidRDefault="0052246E" w:rsidP="00A94851">
            <w:pPr>
              <w:pStyle w:val="Letterbody"/>
              <w:tabs>
                <w:tab w:val="left" w:pos="720"/>
              </w:tabs>
              <w:spacing w:line="276" w:lineRule="auto"/>
              <w:ind w:firstLine="175"/>
              <w:rPr>
                <w:sz w:val="20"/>
              </w:rPr>
            </w:pPr>
            <w:r w:rsidRPr="00FD4A44">
              <w:rPr>
                <w:sz w:val="20"/>
              </w:rPr>
              <w:t>Support subject to conditions (</w:t>
            </w:r>
            <w:r>
              <w:rPr>
                <w:sz w:val="20"/>
              </w:rPr>
              <w:t>as</w:t>
            </w:r>
            <w:r w:rsidRPr="00FD4A44">
              <w:rPr>
                <w:sz w:val="20"/>
              </w:rPr>
              <w:t xml:space="preserve"> set out below)</w:t>
            </w:r>
          </w:p>
        </w:tc>
      </w:tr>
      <w:tr w:rsidR="0052246E" w:rsidRPr="00FD4A44" w14:paraId="66FE808D" w14:textId="77777777" w:rsidTr="00A94851">
        <w:trPr>
          <w:trHeight w:val="252"/>
        </w:trPr>
        <w:tc>
          <w:tcPr>
            <w:tcW w:w="750" w:type="dxa"/>
            <w:tcBorders>
              <w:top w:val="single" w:sz="4" w:space="0" w:color="auto"/>
              <w:left w:val="single" w:sz="4" w:space="0" w:color="auto"/>
              <w:bottom w:val="single" w:sz="4" w:space="0" w:color="auto"/>
              <w:right w:val="single" w:sz="4" w:space="0" w:color="auto"/>
            </w:tcBorders>
          </w:tcPr>
          <w:p w14:paraId="753448FE" w14:textId="77777777" w:rsidR="0052246E" w:rsidRPr="00FD4A44" w:rsidRDefault="0052246E" w:rsidP="00A94851">
            <w:pPr>
              <w:pStyle w:val="Letterbody"/>
              <w:rPr>
                <w:sz w:val="20"/>
              </w:rPr>
            </w:pPr>
          </w:p>
        </w:tc>
        <w:tc>
          <w:tcPr>
            <w:tcW w:w="8562" w:type="dxa"/>
            <w:tcBorders>
              <w:top w:val="nil"/>
              <w:left w:val="single" w:sz="4" w:space="0" w:color="auto"/>
              <w:bottom w:val="nil"/>
              <w:right w:val="nil"/>
            </w:tcBorders>
            <w:hideMark/>
          </w:tcPr>
          <w:p w14:paraId="71E13015" w14:textId="77777777" w:rsidR="0052246E" w:rsidRPr="00FD4A44" w:rsidRDefault="0052246E" w:rsidP="00A94851">
            <w:pPr>
              <w:pStyle w:val="Letterbody"/>
              <w:tabs>
                <w:tab w:val="left" w:pos="720"/>
              </w:tabs>
              <w:spacing w:line="276" w:lineRule="auto"/>
              <w:ind w:firstLine="175"/>
              <w:rPr>
                <w:sz w:val="20"/>
              </w:rPr>
            </w:pPr>
            <w:r w:rsidRPr="00FD4A44">
              <w:rPr>
                <w:sz w:val="20"/>
              </w:rPr>
              <w:t>Object (for reasons set out below)</w:t>
            </w:r>
          </w:p>
        </w:tc>
      </w:tr>
      <w:tr w:rsidR="0052246E" w:rsidRPr="00FD4A44" w14:paraId="7E610110" w14:textId="77777777" w:rsidTr="00A94851">
        <w:trPr>
          <w:trHeight w:val="252"/>
        </w:trPr>
        <w:tc>
          <w:tcPr>
            <w:tcW w:w="750" w:type="dxa"/>
            <w:tcBorders>
              <w:top w:val="single" w:sz="4" w:space="0" w:color="auto"/>
              <w:left w:val="single" w:sz="4" w:space="0" w:color="auto"/>
              <w:bottom w:val="single" w:sz="4" w:space="0" w:color="auto"/>
              <w:right w:val="single" w:sz="4" w:space="0" w:color="auto"/>
            </w:tcBorders>
          </w:tcPr>
          <w:p w14:paraId="4C9682DB" w14:textId="77777777" w:rsidR="0052246E" w:rsidRPr="00FD4A44" w:rsidRDefault="0052246E" w:rsidP="00A94851">
            <w:pPr>
              <w:pStyle w:val="Letterbody"/>
              <w:rPr>
                <w:sz w:val="20"/>
              </w:rPr>
            </w:pPr>
            <w:r>
              <w:rPr>
                <w:sz w:val="20"/>
              </w:rPr>
              <w:t>X</w:t>
            </w:r>
          </w:p>
        </w:tc>
        <w:tc>
          <w:tcPr>
            <w:tcW w:w="8562" w:type="dxa"/>
            <w:tcBorders>
              <w:top w:val="nil"/>
              <w:left w:val="single" w:sz="4" w:space="0" w:color="auto"/>
              <w:bottom w:val="nil"/>
              <w:right w:val="nil"/>
            </w:tcBorders>
            <w:hideMark/>
          </w:tcPr>
          <w:p w14:paraId="4526D909" w14:textId="77777777" w:rsidR="0052246E" w:rsidRPr="00FD4A44" w:rsidRDefault="0052246E" w:rsidP="00A94851">
            <w:pPr>
              <w:pStyle w:val="Letterbody"/>
              <w:tabs>
                <w:tab w:val="left" w:pos="720"/>
              </w:tabs>
              <w:spacing w:line="276" w:lineRule="auto"/>
              <w:ind w:firstLine="175"/>
              <w:rPr>
                <w:sz w:val="20"/>
              </w:rPr>
            </w:pPr>
            <w:r>
              <w:rPr>
                <w:sz w:val="20"/>
              </w:rPr>
              <w:t>Comments</w:t>
            </w:r>
          </w:p>
        </w:tc>
      </w:tr>
    </w:tbl>
    <w:p w14:paraId="6A72B800" w14:textId="77777777" w:rsidR="0052246E" w:rsidRPr="00B128F9" w:rsidRDefault="0052246E" w:rsidP="0052246E">
      <w:pPr>
        <w:pStyle w:val="Letterbody"/>
        <w:rPr>
          <w:rFonts w:cs="Arial"/>
          <w:b/>
          <w:sz w:val="22"/>
          <w:szCs w:val="22"/>
          <w:u w:val="single"/>
        </w:rPr>
      </w:pPr>
    </w:p>
    <w:p w14:paraId="4E09B523" w14:textId="77777777" w:rsidR="0052246E" w:rsidRPr="00B128F9" w:rsidRDefault="0052246E" w:rsidP="0052246E">
      <w:pPr>
        <w:pStyle w:val="Letterbody"/>
        <w:rPr>
          <w:rFonts w:cs="Arial"/>
          <w:sz w:val="22"/>
          <w:szCs w:val="22"/>
        </w:rPr>
      </w:pPr>
      <w:r w:rsidRPr="00B128F9">
        <w:rPr>
          <w:rFonts w:cs="Arial"/>
          <w:b/>
          <w:sz w:val="22"/>
          <w:szCs w:val="22"/>
        </w:rPr>
        <w:t>Scope of comments</w:t>
      </w:r>
      <w:r w:rsidRPr="00B128F9">
        <w:rPr>
          <w:rFonts w:cs="Arial"/>
          <w:sz w:val="22"/>
          <w:szCs w:val="22"/>
        </w:rPr>
        <w:t xml:space="preserve">: the following comments relate to the built historic environment.  </w:t>
      </w:r>
    </w:p>
    <w:p w14:paraId="6576D116" w14:textId="77777777" w:rsidR="0052246E" w:rsidRPr="00B128F9" w:rsidRDefault="0052246E" w:rsidP="0052246E">
      <w:pPr>
        <w:pStyle w:val="Letterbody"/>
        <w:rPr>
          <w:rFonts w:cs="Arial"/>
          <w:sz w:val="22"/>
          <w:szCs w:val="22"/>
        </w:rPr>
      </w:pPr>
    </w:p>
    <w:p w14:paraId="1A401CE0" w14:textId="77777777" w:rsidR="0052246E" w:rsidRPr="00B128F9" w:rsidRDefault="0052246E" w:rsidP="0052246E">
      <w:pPr>
        <w:pStyle w:val="Letterbody"/>
        <w:rPr>
          <w:rFonts w:cs="Arial"/>
          <w:sz w:val="22"/>
          <w:szCs w:val="22"/>
        </w:rPr>
      </w:pPr>
      <w:r>
        <w:rPr>
          <w:rFonts w:eastAsia="Calibri" w:cs="Arial"/>
          <w:b/>
          <w:sz w:val="22"/>
          <w:szCs w:val="22"/>
          <w:lang w:eastAsia="en-US"/>
        </w:rPr>
        <w:t xml:space="preserve">National </w:t>
      </w:r>
      <w:r w:rsidRPr="00B128F9">
        <w:rPr>
          <w:rFonts w:eastAsia="Calibri" w:cs="Arial"/>
          <w:b/>
          <w:sz w:val="22"/>
          <w:szCs w:val="22"/>
          <w:lang w:eastAsia="en-US"/>
        </w:rPr>
        <w:t>Policy</w:t>
      </w:r>
      <w:r>
        <w:rPr>
          <w:rFonts w:eastAsia="Calibri" w:cs="Arial"/>
          <w:b/>
          <w:sz w:val="22"/>
          <w:szCs w:val="22"/>
          <w:lang w:eastAsia="en-US"/>
        </w:rPr>
        <w:t xml:space="preserve"> and guidance</w:t>
      </w:r>
      <w:r w:rsidRPr="00B128F9">
        <w:rPr>
          <w:rFonts w:eastAsia="Calibri" w:cs="Arial"/>
          <w:sz w:val="22"/>
          <w:szCs w:val="22"/>
          <w:lang w:eastAsia="en-US"/>
        </w:rPr>
        <w:t>: From the point</w:t>
      </w:r>
      <w:r w:rsidRPr="00B128F9">
        <w:rPr>
          <w:rFonts w:cs="Arial"/>
          <w:sz w:val="22"/>
          <w:szCs w:val="22"/>
        </w:rPr>
        <w:t xml:space="preserve"> of view of the historic environment the main statutory tests are set out within the Planning (Listed Building and Conservation Areas) Act 1990. Sections 16 (LBC) and 66 (PP) require that </w:t>
      </w:r>
      <w:r w:rsidRPr="00B128F9">
        <w:rPr>
          <w:rFonts w:cs="Arial"/>
          <w:b/>
          <w:sz w:val="22"/>
          <w:szCs w:val="22"/>
        </w:rPr>
        <w:t>special regard</w:t>
      </w:r>
      <w:r w:rsidRPr="00B128F9">
        <w:rPr>
          <w:rFonts w:cs="Arial"/>
          <w:sz w:val="22"/>
          <w:szCs w:val="22"/>
        </w:rPr>
        <w:t xml:space="preserve"> be given to the desirability of preserving listed buildings, their settings or any features of special architectural or historic interest which they possess.  </w:t>
      </w:r>
    </w:p>
    <w:p w14:paraId="28A075B9" w14:textId="77777777" w:rsidR="0052246E" w:rsidRDefault="0052246E" w:rsidP="0052246E">
      <w:pPr>
        <w:pStyle w:val="Letterbody"/>
        <w:rPr>
          <w:rFonts w:cs="Arial"/>
          <w:sz w:val="22"/>
          <w:szCs w:val="22"/>
        </w:rPr>
      </w:pPr>
    </w:p>
    <w:p w14:paraId="2ED10476" w14:textId="77777777" w:rsidR="0052246E" w:rsidRPr="00B128F9" w:rsidRDefault="0052246E" w:rsidP="0052246E">
      <w:pPr>
        <w:pStyle w:val="Letterbody"/>
        <w:rPr>
          <w:rFonts w:cs="Arial"/>
          <w:sz w:val="22"/>
          <w:szCs w:val="22"/>
        </w:rPr>
      </w:pPr>
      <w:r w:rsidRPr="00B128F9">
        <w:rPr>
          <w:rFonts w:cs="Arial"/>
          <w:sz w:val="22"/>
          <w:szCs w:val="22"/>
        </w:rPr>
        <w:t xml:space="preserve">Section 72(1) of the Planning (Listed Building and Conservation Areas) Act 1990 also requires the Council to pay </w:t>
      </w:r>
      <w:r w:rsidRPr="00B128F9">
        <w:rPr>
          <w:rFonts w:cs="Arial"/>
          <w:b/>
          <w:sz w:val="22"/>
          <w:szCs w:val="22"/>
        </w:rPr>
        <w:t>special attention</w:t>
      </w:r>
      <w:r w:rsidRPr="00B128F9">
        <w:rPr>
          <w:rFonts w:cs="Arial"/>
          <w:sz w:val="22"/>
          <w:szCs w:val="22"/>
        </w:rPr>
        <w:t xml:space="preserve"> to the desirability of preserving or enhancing the character or appearance of designated Conservation Areas. </w:t>
      </w:r>
    </w:p>
    <w:p w14:paraId="23A4FCEF" w14:textId="77777777" w:rsidR="0052246E" w:rsidRPr="00B128F9" w:rsidRDefault="0052246E" w:rsidP="0052246E">
      <w:pPr>
        <w:pStyle w:val="Letterbody"/>
        <w:rPr>
          <w:rFonts w:cs="Arial"/>
          <w:sz w:val="22"/>
          <w:szCs w:val="22"/>
        </w:rPr>
      </w:pPr>
    </w:p>
    <w:p w14:paraId="0B881D0B" w14:textId="77777777" w:rsidR="0052246E" w:rsidRPr="00FF27C1" w:rsidRDefault="0052246E" w:rsidP="0052246E">
      <w:pPr>
        <w:autoSpaceDE w:val="0"/>
        <w:autoSpaceDN w:val="0"/>
        <w:adjustRightInd w:val="0"/>
        <w:jc w:val="both"/>
        <w:rPr>
          <w:rFonts w:cs="Arial"/>
          <w:sz w:val="22"/>
          <w:szCs w:val="22"/>
        </w:rPr>
      </w:pPr>
      <w:r w:rsidRPr="00FF27C1">
        <w:rPr>
          <w:rFonts w:cs="Arial"/>
          <w:sz w:val="22"/>
          <w:szCs w:val="22"/>
        </w:rPr>
        <w:t xml:space="preserve">The NPPF (August 2026) sets out Government planning policy for England. Chapter 20, </w:t>
      </w:r>
      <w:r w:rsidRPr="00FF27C1">
        <w:rPr>
          <w:rFonts w:cs="Arial"/>
          <w:i/>
          <w:iCs/>
          <w:sz w:val="22"/>
          <w:szCs w:val="22"/>
        </w:rPr>
        <w:t>Conserving and enhancing the historic environment</w:t>
      </w:r>
      <w:r w:rsidRPr="00FF27C1">
        <w:rPr>
          <w:rFonts w:cs="Arial"/>
          <w:sz w:val="22"/>
          <w:szCs w:val="22"/>
        </w:rPr>
        <w:t>, recognises heritage assets as an irreplaceable resource. Heritage assets should be conserved in a manner appropriate to their significance, with harm avoided unless there is a clear and convincing justification. Decision-makers are required to apply a balanced approach, giving substantial weight to the conservation of heritage assets and weighing any harm to significance against the public benefits of the proposal.</w:t>
      </w:r>
    </w:p>
    <w:p w14:paraId="7FCED5A8" w14:textId="77777777" w:rsidR="0052246E" w:rsidRPr="00B128F9" w:rsidRDefault="0052246E" w:rsidP="0052246E">
      <w:pPr>
        <w:autoSpaceDE w:val="0"/>
        <w:autoSpaceDN w:val="0"/>
        <w:adjustRightInd w:val="0"/>
        <w:jc w:val="both"/>
        <w:rPr>
          <w:rFonts w:cs="Arial"/>
          <w:sz w:val="22"/>
          <w:szCs w:val="22"/>
        </w:rPr>
      </w:pPr>
    </w:p>
    <w:p w14:paraId="3CE783BE" w14:textId="77777777" w:rsidR="0052246E" w:rsidRDefault="0052246E" w:rsidP="0052246E">
      <w:pPr>
        <w:autoSpaceDE w:val="0"/>
        <w:autoSpaceDN w:val="0"/>
        <w:adjustRightInd w:val="0"/>
        <w:jc w:val="both"/>
        <w:rPr>
          <w:rFonts w:cs="Arial"/>
          <w:sz w:val="22"/>
          <w:szCs w:val="22"/>
        </w:rPr>
      </w:pPr>
      <w:r w:rsidRPr="003B5982">
        <w:rPr>
          <w:rFonts w:cs="Arial"/>
          <w:sz w:val="22"/>
          <w:szCs w:val="22"/>
        </w:rPr>
        <w:t xml:space="preserve">Chapter </w:t>
      </w:r>
      <w:r>
        <w:rPr>
          <w:rFonts w:cs="Arial"/>
          <w:sz w:val="22"/>
          <w:szCs w:val="22"/>
        </w:rPr>
        <w:t>5</w:t>
      </w:r>
      <w:r w:rsidRPr="003B5982">
        <w:rPr>
          <w:rFonts w:cs="Arial"/>
          <w:sz w:val="22"/>
          <w:szCs w:val="22"/>
        </w:rPr>
        <w:t xml:space="preserve"> of the NPPF </w:t>
      </w:r>
      <w:r>
        <w:rPr>
          <w:rFonts w:cs="Arial"/>
          <w:sz w:val="22"/>
          <w:szCs w:val="22"/>
        </w:rPr>
        <w:t>sets out policies for “Meeting</w:t>
      </w:r>
      <w:r w:rsidRPr="00FE4981">
        <w:rPr>
          <w:rFonts w:eastAsia="Aptos" w:cs="Arial"/>
          <w:color w:val="auto"/>
          <w:sz w:val="22"/>
          <w:szCs w:val="22"/>
        </w:rPr>
        <w:t xml:space="preserve"> the challenge of climate change</w:t>
      </w:r>
      <w:r>
        <w:rPr>
          <w:rFonts w:eastAsia="Aptos" w:cs="Arial"/>
          <w:color w:val="auto"/>
          <w:sz w:val="22"/>
          <w:szCs w:val="22"/>
        </w:rPr>
        <w:t xml:space="preserve">” and </w:t>
      </w:r>
      <w:r>
        <w:rPr>
          <w:rFonts w:cs="Arial"/>
          <w:sz w:val="22"/>
          <w:szCs w:val="22"/>
        </w:rPr>
        <w:t xml:space="preserve">gives substantial weight to </w:t>
      </w:r>
      <w:r w:rsidRPr="002C5AE0">
        <w:rPr>
          <w:rFonts w:cs="Arial"/>
          <w:sz w:val="22"/>
          <w:szCs w:val="22"/>
        </w:rPr>
        <w:t>the benefits of improving the energy efficiency of</w:t>
      </w:r>
      <w:r>
        <w:rPr>
          <w:rFonts w:cs="Arial"/>
          <w:sz w:val="22"/>
          <w:szCs w:val="22"/>
        </w:rPr>
        <w:t xml:space="preserve"> </w:t>
      </w:r>
      <w:r w:rsidRPr="002C5AE0">
        <w:rPr>
          <w:rFonts w:cs="Arial"/>
          <w:sz w:val="22"/>
          <w:szCs w:val="22"/>
        </w:rPr>
        <w:t>existing buildings and/or drawing energy from district heat networks, renewable and low</w:t>
      </w:r>
      <w:r>
        <w:rPr>
          <w:rFonts w:cs="Arial"/>
          <w:sz w:val="22"/>
          <w:szCs w:val="22"/>
        </w:rPr>
        <w:t xml:space="preserve"> </w:t>
      </w:r>
      <w:r w:rsidRPr="002C5AE0">
        <w:rPr>
          <w:rFonts w:cs="Arial"/>
          <w:sz w:val="22"/>
          <w:szCs w:val="22"/>
        </w:rPr>
        <w:t>carbon sources (including through the installation of heat pumps and solar panels where</w:t>
      </w:r>
      <w:r>
        <w:rPr>
          <w:rFonts w:cs="Arial"/>
          <w:sz w:val="22"/>
          <w:szCs w:val="22"/>
        </w:rPr>
        <w:t xml:space="preserve"> </w:t>
      </w:r>
      <w:r w:rsidRPr="002C5AE0">
        <w:rPr>
          <w:rFonts w:cs="Arial"/>
          <w:sz w:val="22"/>
          <w:szCs w:val="22"/>
        </w:rPr>
        <w:t>these do not already benefit from permitted development rights)</w:t>
      </w:r>
      <w:r>
        <w:rPr>
          <w:rFonts w:cs="Arial"/>
          <w:sz w:val="22"/>
          <w:szCs w:val="22"/>
        </w:rPr>
        <w:t>.</w:t>
      </w:r>
      <w:r w:rsidRPr="002C5AE0">
        <w:rPr>
          <w:rFonts w:cs="Arial"/>
          <w:sz w:val="22"/>
          <w:szCs w:val="22"/>
        </w:rPr>
        <w:t xml:space="preserve"> </w:t>
      </w:r>
    </w:p>
    <w:p w14:paraId="18B5F7A7" w14:textId="77777777" w:rsidR="0052246E" w:rsidRDefault="0052246E" w:rsidP="0052246E">
      <w:pPr>
        <w:autoSpaceDE w:val="0"/>
        <w:autoSpaceDN w:val="0"/>
        <w:adjustRightInd w:val="0"/>
        <w:jc w:val="both"/>
        <w:rPr>
          <w:rFonts w:cs="Arial"/>
          <w:sz w:val="22"/>
          <w:szCs w:val="22"/>
        </w:rPr>
      </w:pPr>
    </w:p>
    <w:p w14:paraId="17EA7D2A" w14:textId="77777777" w:rsidR="0052246E" w:rsidRDefault="0052246E" w:rsidP="0052246E">
      <w:pPr>
        <w:jc w:val="both"/>
        <w:rPr>
          <w:rFonts w:cs="Arial"/>
          <w:sz w:val="22"/>
          <w:szCs w:val="22"/>
        </w:rPr>
      </w:pPr>
      <w:r w:rsidRPr="00B128F9">
        <w:rPr>
          <w:rFonts w:cs="Arial"/>
          <w:sz w:val="22"/>
          <w:szCs w:val="22"/>
        </w:rPr>
        <w:t>National Planning Practice Guidance provides guidance on interpreting the NPPF.</w:t>
      </w:r>
    </w:p>
    <w:p w14:paraId="19D07047" w14:textId="77777777" w:rsidR="0052246E" w:rsidRDefault="0052246E" w:rsidP="0052246E">
      <w:pPr>
        <w:jc w:val="both"/>
        <w:rPr>
          <w:rFonts w:cs="Arial"/>
          <w:sz w:val="22"/>
          <w:szCs w:val="22"/>
        </w:rPr>
      </w:pPr>
    </w:p>
    <w:p w14:paraId="6C701A39" w14:textId="77777777" w:rsidR="0052246E" w:rsidRPr="00B6310E" w:rsidRDefault="0052246E" w:rsidP="0052246E">
      <w:pPr>
        <w:pStyle w:val="Letterbody"/>
        <w:rPr>
          <w:rFonts w:cs="Arial"/>
          <w:bCs/>
          <w:sz w:val="22"/>
          <w:szCs w:val="22"/>
        </w:rPr>
      </w:pPr>
      <w:r w:rsidRPr="00B6310E">
        <w:rPr>
          <w:rFonts w:cs="Arial"/>
          <w:bCs/>
          <w:sz w:val="22"/>
          <w:szCs w:val="22"/>
        </w:rPr>
        <w:t>Historic England’s Conservation Principles</w:t>
      </w:r>
      <w:r>
        <w:rPr>
          <w:rFonts w:cs="Arial"/>
          <w:bCs/>
          <w:sz w:val="22"/>
          <w:szCs w:val="22"/>
        </w:rPr>
        <w:t>, Policies and Guidance (2008)</w:t>
      </w:r>
      <w:r w:rsidRPr="00B6310E">
        <w:rPr>
          <w:rFonts w:cs="Arial"/>
          <w:bCs/>
          <w:sz w:val="22"/>
          <w:szCs w:val="22"/>
        </w:rPr>
        <w:t xml:space="preserve"> provides policy and guidance for the “sustainable management of the historic environment”. Additional guidance on </w:t>
      </w:r>
      <w:r w:rsidRPr="00B6310E">
        <w:rPr>
          <w:rFonts w:cs="Arial"/>
          <w:sz w:val="22"/>
          <w:szCs w:val="22"/>
        </w:rPr>
        <w:t xml:space="preserve">the application of policies set out in the NPPF </w:t>
      </w:r>
      <w:r w:rsidRPr="00B6310E">
        <w:rPr>
          <w:rFonts w:cs="Arial"/>
          <w:bCs/>
          <w:sz w:val="22"/>
          <w:szCs w:val="22"/>
        </w:rPr>
        <w:t>is contained within their publications:  </w:t>
      </w:r>
    </w:p>
    <w:p w14:paraId="23AAF305" w14:textId="77777777" w:rsidR="0052246E" w:rsidRPr="00B6310E" w:rsidRDefault="0052246E" w:rsidP="0052246E">
      <w:pPr>
        <w:pStyle w:val="Letterbody"/>
        <w:numPr>
          <w:ilvl w:val="0"/>
          <w:numId w:val="1"/>
        </w:numPr>
        <w:rPr>
          <w:rFonts w:cs="Arial"/>
          <w:bCs/>
          <w:sz w:val="22"/>
          <w:szCs w:val="22"/>
        </w:rPr>
      </w:pPr>
      <w:r w:rsidRPr="00B6310E">
        <w:rPr>
          <w:rFonts w:cs="Arial"/>
          <w:bCs/>
          <w:sz w:val="22"/>
          <w:szCs w:val="22"/>
        </w:rPr>
        <w:t>Historic Environment Good Practice Planning Advice Note 2 – Managing Significance in Decision-Taking in the Historic Environment (2015)</w:t>
      </w:r>
    </w:p>
    <w:p w14:paraId="7039D976" w14:textId="77777777" w:rsidR="0052246E" w:rsidRDefault="0052246E" w:rsidP="0052246E">
      <w:pPr>
        <w:pStyle w:val="Letterbody"/>
        <w:numPr>
          <w:ilvl w:val="0"/>
          <w:numId w:val="1"/>
        </w:numPr>
        <w:rPr>
          <w:rFonts w:cs="Arial"/>
          <w:bCs/>
          <w:sz w:val="22"/>
          <w:szCs w:val="22"/>
        </w:rPr>
      </w:pPr>
      <w:r w:rsidRPr="00B6310E">
        <w:rPr>
          <w:rFonts w:cs="Arial"/>
          <w:bCs/>
          <w:sz w:val="22"/>
          <w:szCs w:val="22"/>
        </w:rPr>
        <w:t>Historic Environment Good Practice Planning Advice Note 3 – The Setting of Heritage Assets 2nd edition</w:t>
      </w:r>
      <w:r>
        <w:rPr>
          <w:rFonts w:cs="Arial"/>
          <w:bCs/>
          <w:sz w:val="22"/>
          <w:szCs w:val="22"/>
        </w:rPr>
        <w:t xml:space="preserve"> (2017)</w:t>
      </w:r>
      <w:r w:rsidRPr="00B6310E">
        <w:rPr>
          <w:rFonts w:cs="Arial"/>
          <w:bCs/>
          <w:sz w:val="22"/>
          <w:szCs w:val="22"/>
        </w:rPr>
        <w:t> </w:t>
      </w:r>
    </w:p>
    <w:p w14:paraId="76586B1E" w14:textId="77777777" w:rsidR="0052246E" w:rsidRPr="00B6310E" w:rsidRDefault="0052246E" w:rsidP="0052246E">
      <w:pPr>
        <w:pStyle w:val="Letterbody"/>
        <w:numPr>
          <w:ilvl w:val="0"/>
          <w:numId w:val="1"/>
        </w:numPr>
        <w:rPr>
          <w:rFonts w:cs="Arial"/>
          <w:b/>
          <w:sz w:val="22"/>
          <w:szCs w:val="22"/>
        </w:rPr>
      </w:pPr>
      <w:r w:rsidRPr="00B6310E">
        <w:rPr>
          <w:rFonts w:cs="Arial"/>
          <w:sz w:val="22"/>
          <w:szCs w:val="22"/>
        </w:rPr>
        <w:t xml:space="preserve">Historic England Advice Note 2 – Making changes to Heritage Assets </w:t>
      </w:r>
      <w:r>
        <w:rPr>
          <w:rFonts w:cs="Arial"/>
          <w:sz w:val="22"/>
          <w:szCs w:val="22"/>
        </w:rPr>
        <w:t>(2025)</w:t>
      </w:r>
    </w:p>
    <w:p w14:paraId="3912436D" w14:textId="77777777" w:rsidR="0052246E" w:rsidRPr="008A2646" w:rsidRDefault="0052246E" w:rsidP="0052246E">
      <w:pPr>
        <w:pStyle w:val="Letterbody"/>
        <w:numPr>
          <w:ilvl w:val="0"/>
          <w:numId w:val="1"/>
        </w:numPr>
        <w:rPr>
          <w:rFonts w:cs="Arial"/>
          <w:b/>
          <w:sz w:val="22"/>
          <w:szCs w:val="22"/>
        </w:rPr>
      </w:pPr>
      <w:r w:rsidRPr="00B128F9">
        <w:rPr>
          <w:rFonts w:cs="Arial"/>
          <w:sz w:val="22"/>
          <w:szCs w:val="22"/>
        </w:rPr>
        <w:t xml:space="preserve">Historic England Advice Note </w:t>
      </w:r>
      <w:r>
        <w:rPr>
          <w:rFonts w:cs="Arial"/>
          <w:sz w:val="22"/>
          <w:szCs w:val="22"/>
        </w:rPr>
        <w:t>18 – Adapting Historic Buildings for Energy and Carbon Efficiency (2026)</w:t>
      </w:r>
    </w:p>
    <w:p w14:paraId="0CB18B3C" w14:textId="77777777" w:rsidR="0052246E" w:rsidRPr="00B128F9" w:rsidRDefault="0052246E" w:rsidP="0052246E">
      <w:pPr>
        <w:pStyle w:val="Letterbody"/>
        <w:numPr>
          <w:ilvl w:val="0"/>
          <w:numId w:val="1"/>
        </w:numPr>
        <w:rPr>
          <w:rFonts w:cs="Arial"/>
          <w:b/>
          <w:sz w:val="22"/>
          <w:szCs w:val="22"/>
        </w:rPr>
      </w:pPr>
      <w:r>
        <w:rPr>
          <w:rFonts w:cs="Arial"/>
          <w:sz w:val="22"/>
          <w:szCs w:val="22"/>
        </w:rPr>
        <w:t>Traditional Windows: their care, repair and upgrading (2017)</w:t>
      </w:r>
    </w:p>
    <w:p w14:paraId="12374016" w14:textId="77777777" w:rsidR="0052246E" w:rsidRDefault="0052246E" w:rsidP="0052246E">
      <w:pPr>
        <w:autoSpaceDE w:val="0"/>
        <w:autoSpaceDN w:val="0"/>
        <w:adjustRightInd w:val="0"/>
        <w:jc w:val="both"/>
        <w:rPr>
          <w:rFonts w:cs="Arial"/>
          <w:sz w:val="22"/>
          <w:szCs w:val="22"/>
        </w:rPr>
      </w:pPr>
    </w:p>
    <w:p w14:paraId="6CA243D0" w14:textId="77777777" w:rsidR="0052246E" w:rsidRDefault="0052246E" w:rsidP="0052246E">
      <w:pPr>
        <w:autoSpaceDE w:val="0"/>
        <w:autoSpaceDN w:val="0"/>
        <w:adjustRightInd w:val="0"/>
        <w:jc w:val="both"/>
        <w:rPr>
          <w:rFonts w:cs="Arial"/>
          <w:sz w:val="22"/>
          <w:szCs w:val="22"/>
        </w:rPr>
      </w:pPr>
    </w:p>
    <w:p w14:paraId="281068C4" w14:textId="77777777" w:rsidR="0052246E" w:rsidRPr="00B128F9" w:rsidRDefault="0052246E" w:rsidP="0052246E">
      <w:pPr>
        <w:jc w:val="both"/>
        <w:rPr>
          <w:rFonts w:cs="Arial"/>
          <w:sz w:val="22"/>
          <w:szCs w:val="22"/>
        </w:rPr>
      </w:pPr>
      <w:r>
        <w:rPr>
          <w:rFonts w:cs="Arial"/>
          <w:b/>
          <w:bCs/>
          <w:sz w:val="22"/>
          <w:szCs w:val="22"/>
        </w:rPr>
        <w:t xml:space="preserve">Local </w:t>
      </w:r>
      <w:r w:rsidRPr="00C13F5B">
        <w:rPr>
          <w:rFonts w:cs="Arial"/>
          <w:b/>
          <w:bCs/>
          <w:sz w:val="22"/>
          <w:szCs w:val="22"/>
        </w:rPr>
        <w:t>Policy</w:t>
      </w:r>
      <w:r>
        <w:rPr>
          <w:rFonts w:cs="Arial"/>
          <w:sz w:val="22"/>
          <w:szCs w:val="22"/>
        </w:rPr>
        <w:t xml:space="preserve">: </w:t>
      </w:r>
      <w:r w:rsidRPr="00B128F9">
        <w:rPr>
          <w:rFonts w:cs="Arial"/>
          <w:sz w:val="22"/>
          <w:szCs w:val="22"/>
        </w:rPr>
        <w:t xml:space="preserve">The Council’s Core Strategy Policy CP58 ‘Ensuring the conservation of the historic environment’ requires that “designated heritage assets and their settings will be conserved, and where appropriate enhanced, in a manner appropriate to their significance.” It is also required that distinctive elements of Wiltshire’s historic environment, including non-designated heritage assets, which contribute to a sense of local character and identity will be conserved, and where possible enhanced. </w:t>
      </w:r>
    </w:p>
    <w:p w14:paraId="188FF7C1" w14:textId="77777777" w:rsidR="0052246E" w:rsidRDefault="0052246E" w:rsidP="0052246E">
      <w:pPr>
        <w:jc w:val="both"/>
        <w:rPr>
          <w:rFonts w:cs="Arial"/>
          <w:sz w:val="22"/>
          <w:szCs w:val="22"/>
        </w:rPr>
      </w:pPr>
      <w:bookmarkStart w:id="0" w:name="_Hlk131504226"/>
    </w:p>
    <w:p w14:paraId="662064B4" w14:textId="77777777" w:rsidR="0052246E" w:rsidRPr="00B128F9" w:rsidRDefault="0052246E" w:rsidP="0052246E">
      <w:pPr>
        <w:jc w:val="both"/>
        <w:rPr>
          <w:rFonts w:cs="Arial"/>
          <w:sz w:val="22"/>
          <w:szCs w:val="22"/>
        </w:rPr>
      </w:pPr>
      <w:r w:rsidRPr="00B128F9">
        <w:rPr>
          <w:rFonts w:cs="Arial"/>
          <w:sz w:val="22"/>
          <w:szCs w:val="22"/>
        </w:rPr>
        <w:t>The Council’s Core Strategy CP 57: Ensuring high quality design requires a high quality of design in all new developments. Proposals are required to “demonstrate how the proposal will make a positive contribution to the character of Wiltshire through (amongst other things) “enhancing local distinctiveness by responding to the value of the natural and historic environment, relating positively to its landscape setting and the existing pattern of development” and “responding positively to the existing townscape and landscape features in terms of building layouts, built form, height, mass, scale, building line, plot size, elevational design, materials, streetscape and rooflines to effectively integrate the building into its setting.”</w:t>
      </w:r>
    </w:p>
    <w:bookmarkEnd w:id="0"/>
    <w:p w14:paraId="03C43313" w14:textId="77777777" w:rsidR="0052246E" w:rsidRPr="00B128F9" w:rsidRDefault="0052246E" w:rsidP="0052246E">
      <w:pPr>
        <w:pStyle w:val="Letterbody"/>
        <w:rPr>
          <w:rFonts w:cs="Arial"/>
          <w:sz w:val="22"/>
          <w:szCs w:val="22"/>
        </w:rPr>
      </w:pPr>
    </w:p>
    <w:p w14:paraId="18E7FFAD" w14:textId="77777777" w:rsidR="0052246E" w:rsidRPr="003A397B" w:rsidRDefault="0052246E" w:rsidP="0052246E">
      <w:pPr>
        <w:tabs>
          <w:tab w:val="left" w:pos="1701"/>
        </w:tabs>
        <w:jc w:val="both"/>
        <w:rPr>
          <w:rFonts w:cs="Arial"/>
          <w:b/>
          <w:color w:val="auto"/>
          <w:sz w:val="22"/>
          <w:szCs w:val="22"/>
        </w:rPr>
      </w:pPr>
      <w:r w:rsidRPr="003A397B">
        <w:rPr>
          <w:rFonts w:cs="Arial"/>
          <w:b/>
          <w:color w:val="auto"/>
          <w:sz w:val="22"/>
          <w:szCs w:val="22"/>
        </w:rPr>
        <w:t xml:space="preserve">Heritage Assets: </w:t>
      </w:r>
    </w:p>
    <w:p w14:paraId="4365FF2B" w14:textId="4050942C" w:rsidR="0052246E" w:rsidRPr="003A397B" w:rsidRDefault="0052246E" w:rsidP="0052246E">
      <w:pPr>
        <w:tabs>
          <w:tab w:val="left" w:pos="1701"/>
        </w:tabs>
        <w:jc w:val="both"/>
        <w:rPr>
          <w:rFonts w:cs="Arial"/>
          <w:b/>
          <w:color w:val="auto"/>
          <w:sz w:val="22"/>
          <w:szCs w:val="22"/>
        </w:rPr>
      </w:pPr>
      <w:r>
        <w:rPr>
          <w:rFonts w:cs="Arial"/>
          <w:b/>
          <w:color w:val="auto"/>
          <w:sz w:val="22"/>
          <w:szCs w:val="22"/>
        </w:rPr>
        <w:t xml:space="preserve">Manor Farm, </w:t>
      </w:r>
      <w:proofErr w:type="spellStart"/>
      <w:r>
        <w:rPr>
          <w:rFonts w:cs="Arial"/>
          <w:b/>
          <w:color w:val="auto"/>
          <w:sz w:val="22"/>
          <w:szCs w:val="22"/>
        </w:rPr>
        <w:t>Clyffe</w:t>
      </w:r>
      <w:proofErr w:type="spellEnd"/>
      <w:r>
        <w:rPr>
          <w:rFonts w:cs="Arial"/>
          <w:b/>
          <w:color w:val="auto"/>
          <w:sz w:val="22"/>
          <w:szCs w:val="22"/>
        </w:rPr>
        <w:t xml:space="preserve"> </w:t>
      </w:r>
      <w:proofErr w:type="spellStart"/>
      <w:r>
        <w:rPr>
          <w:rFonts w:cs="Arial"/>
          <w:b/>
          <w:color w:val="auto"/>
          <w:sz w:val="22"/>
          <w:szCs w:val="22"/>
        </w:rPr>
        <w:t>Pypard</w:t>
      </w:r>
      <w:proofErr w:type="spellEnd"/>
      <w:r>
        <w:rPr>
          <w:rFonts w:cs="Arial"/>
          <w:b/>
          <w:color w:val="auto"/>
          <w:sz w:val="22"/>
          <w:szCs w:val="22"/>
        </w:rPr>
        <w:t xml:space="preserve">, Thornhill, </w:t>
      </w:r>
      <w:r w:rsidRPr="003A397B">
        <w:rPr>
          <w:rFonts w:cs="Arial"/>
          <w:b/>
          <w:color w:val="auto"/>
          <w:sz w:val="22"/>
          <w:szCs w:val="22"/>
        </w:rPr>
        <w:t xml:space="preserve">grade II </w:t>
      </w:r>
    </w:p>
    <w:p w14:paraId="3AFAE5D8" w14:textId="77777777" w:rsidR="0052246E" w:rsidRPr="003A397B" w:rsidRDefault="0052246E" w:rsidP="0052246E">
      <w:pPr>
        <w:tabs>
          <w:tab w:val="left" w:pos="1701"/>
        </w:tabs>
        <w:jc w:val="both"/>
        <w:rPr>
          <w:rFonts w:cs="Arial"/>
          <w:b/>
          <w:color w:val="auto"/>
          <w:sz w:val="22"/>
          <w:szCs w:val="22"/>
        </w:rPr>
      </w:pPr>
    </w:p>
    <w:p w14:paraId="46506569" w14:textId="3804AE7A" w:rsidR="0052246E" w:rsidRDefault="0052246E" w:rsidP="0052246E">
      <w:pPr>
        <w:tabs>
          <w:tab w:val="left" w:pos="1701"/>
        </w:tabs>
        <w:jc w:val="both"/>
        <w:rPr>
          <w:rFonts w:cs="Arial"/>
          <w:color w:val="auto"/>
          <w:sz w:val="22"/>
          <w:szCs w:val="22"/>
        </w:rPr>
      </w:pPr>
      <w:r w:rsidRPr="003A397B">
        <w:rPr>
          <w:rFonts w:cs="Arial"/>
          <w:b/>
          <w:color w:val="auto"/>
          <w:sz w:val="22"/>
          <w:szCs w:val="22"/>
        </w:rPr>
        <w:t>Site and assets considered</w:t>
      </w:r>
      <w:r w:rsidRPr="003A397B">
        <w:rPr>
          <w:rFonts w:cs="Arial"/>
          <w:color w:val="auto"/>
          <w:sz w:val="22"/>
          <w:szCs w:val="22"/>
        </w:rPr>
        <w:t xml:space="preserve">: </w:t>
      </w:r>
      <w:r w:rsidR="00E80EDA">
        <w:rPr>
          <w:rFonts w:cs="Arial"/>
          <w:color w:val="auto"/>
          <w:sz w:val="22"/>
          <w:szCs w:val="22"/>
        </w:rPr>
        <w:t xml:space="preserve">The Long Barn is a curtilage listed barn to Thornhill Manor </w:t>
      </w:r>
      <w:r w:rsidR="009D6C90">
        <w:rPr>
          <w:rFonts w:cs="Arial"/>
          <w:color w:val="auto"/>
          <w:sz w:val="22"/>
          <w:szCs w:val="22"/>
        </w:rPr>
        <w:t>a 17</w:t>
      </w:r>
      <w:r w:rsidR="009D6C90" w:rsidRPr="009D6C90">
        <w:rPr>
          <w:rFonts w:cs="Arial"/>
          <w:color w:val="auto"/>
          <w:sz w:val="22"/>
          <w:szCs w:val="22"/>
          <w:vertAlign w:val="superscript"/>
        </w:rPr>
        <w:t>th</w:t>
      </w:r>
      <w:r w:rsidR="009D6C90">
        <w:rPr>
          <w:rFonts w:cs="Arial"/>
          <w:color w:val="auto"/>
          <w:sz w:val="22"/>
          <w:szCs w:val="22"/>
        </w:rPr>
        <w:t xml:space="preserve"> century </w:t>
      </w:r>
      <w:r w:rsidR="006648E9">
        <w:rPr>
          <w:rFonts w:cs="Arial"/>
          <w:color w:val="auto"/>
          <w:sz w:val="22"/>
          <w:szCs w:val="22"/>
        </w:rPr>
        <w:t xml:space="preserve">Farmhouse </w:t>
      </w:r>
      <w:r w:rsidR="00980486">
        <w:rPr>
          <w:rFonts w:cs="Arial"/>
          <w:color w:val="auto"/>
          <w:sz w:val="22"/>
          <w:szCs w:val="22"/>
        </w:rPr>
        <w:t xml:space="preserve">located </w:t>
      </w:r>
      <w:r w:rsidR="00A40DD6">
        <w:rPr>
          <w:rFonts w:cs="Arial"/>
          <w:color w:val="auto"/>
          <w:sz w:val="22"/>
          <w:szCs w:val="22"/>
        </w:rPr>
        <w:t xml:space="preserve">4.5 </w:t>
      </w:r>
      <w:r w:rsidR="00980486">
        <w:rPr>
          <w:rFonts w:cs="Arial"/>
          <w:color w:val="auto"/>
          <w:sz w:val="22"/>
          <w:szCs w:val="22"/>
        </w:rPr>
        <w:t>km south of Wootton Bassett.</w:t>
      </w:r>
      <w:r w:rsidR="00DC455D">
        <w:rPr>
          <w:rFonts w:cs="Arial"/>
          <w:color w:val="auto"/>
          <w:sz w:val="22"/>
          <w:szCs w:val="22"/>
        </w:rPr>
        <w:t xml:space="preserve"> It is </w:t>
      </w:r>
      <w:r w:rsidR="002F59BF">
        <w:rPr>
          <w:rFonts w:cs="Arial"/>
          <w:color w:val="auto"/>
          <w:sz w:val="22"/>
          <w:szCs w:val="22"/>
        </w:rPr>
        <w:t xml:space="preserve">a linear </w:t>
      </w:r>
      <w:r w:rsidR="001871BD">
        <w:rPr>
          <w:rFonts w:cs="Arial"/>
          <w:color w:val="auto"/>
          <w:sz w:val="22"/>
          <w:szCs w:val="22"/>
        </w:rPr>
        <w:t>brick-built</w:t>
      </w:r>
      <w:r w:rsidR="00337424">
        <w:rPr>
          <w:rFonts w:cs="Arial"/>
          <w:color w:val="auto"/>
          <w:sz w:val="22"/>
          <w:szCs w:val="22"/>
        </w:rPr>
        <w:t xml:space="preserve"> barn</w:t>
      </w:r>
      <w:r w:rsidR="001871BD">
        <w:rPr>
          <w:rFonts w:cs="Arial"/>
          <w:color w:val="auto"/>
          <w:sz w:val="22"/>
          <w:szCs w:val="22"/>
        </w:rPr>
        <w:t xml:space="preserve"> with slate </w:t>
      </w:r>
      <w:r w:rsidR="006B6698">
        <w:rPr>
          <w:rFonts w:cs="Arial"/>
          <w:color w:val="auto"/>
          <w:sz w:val="22"/>
          <w:szCs w:val="22"/>
        </w:rPr>
        <w:t xml:space="preserve">and tiled </w:t>
      </w:r>
      <w:r w:rsidR="001871BD">
        <w:rPr>
          <w:rFonts w:cs="Arial"/>
          <w:color w:val="auto"/>
          <w:sz w:val="22"/>
          <w:szCs w:val="22"/>
        </w:rPr>
        <w:t>roof</w:t>
      </w:r>
      <w:r w:rsidR="006B6698">
        <w:rPr>
          <w:rFonts w:cs="Arial"/>
          <w:color w:val="auto"/>
          <w:sz w:val="22"/>
          <w:szCs w:val="22"/>
        </w:rPr>
        <w:t>s</w:t>
      </w:r>
      <w:r w:rsidR="001871BD">
        <w:rPr>
          <w:rFonts w:cs="Arial"/>
          <w:color w:val="auto"/>
          <w:sz w:val="22"/>
          <w:szCs w:val="22"/>
        </w:rPr>
        <w:t xml:space="preserve"> </w:t>
      </w:r>
      <w:r w:rsidR="00337424">
        <w:rPr>
          <w:rFonts w:cs="Arial"/>
          <w:color w:val="auto"/>
          <w:sz w:val="22"/>
          <w:szCs w:val="22"/>
        </w:rPr>
        <w:t xml:space="preserve"> made up of </w:t>
      </w:r>
      <w:r w:rsidR="00CA02B1">
        <w:rPr>
          <w:rFonts w:cs="Arial"/>
          <w:color w:val="auto"/>
          <w:sz w:val="22"/>
          <w:szCs w:val="22"/>
        </w:rPr>
        <w:t>two single storey buildings either side of a two s</w:t>
      </w:r>
      <w:r w:rsidR="00AE4BBF">
        <w:rPr>
          <w:rFonts w:cs="Arial"/>
          <w:color w:val="auto"/>
          <w:sz w:val="22"/>
          <w:szCs w:val="22"/>
        </w:rPr>
        <w:t xml:space="preserve">torey barn </w:t>
      </w:r>
      <w:r w:rsidR="00B5795A">
        <w:rPr>
          <w:rFonts w:cs="Arial"/>
          <w:color w:val="auto"/>
          <w:sz w:val="22"/>
          <w:szCs w:val="22"/>
        </w:rPr>
        <w:t>situated</w:t>
      </w:r>
      <w:r w:rsidR="00DC455D">
        <w:rPr>
          <w:rFonts w:cs="Arial"/>
          <w:color w:val="auto"/>
          <w:sz w:val="22"/>
          <w:szCs w:val="22"/>
        </w:rPr>
        <w:t xml:space="preserve"> to the </w:t>
      </w:r>
      <w:r w:rsidR="00B5795A">
        <w:rPr>
          <w:rFonts w:cs="Arial"/>
          <w:color w:val="auto"/>
          <w:sz w:val="22"/>
          <w:szCs w:val="22"/>
        </w:rPr>
        <w:t>east side of the farmhouse courtyard</w:t>
      </w:r>
      <w:r w:rsidR="00FB4A35">
        <w:rPr>
          <w:rFonts w:cs="Arial"/>
          <w:color w:val="auto"/>
          <w:sz w:val="22"/>
          <w:szCs w:val="22"/>
        </w:rPr>
        <w:t>.</w:t>
      </w:r>
      <w:r w:rsidR="00085C09">
        <w:rPr>
          <w:rFonts w:cs="Arial"/>
          <w:color w:val="auto"/>
          <w:sz w:val="22"/>
          <w:szCs w:val="22"/>
        </w:rPr>
        <w:t xml:space="preserve"> </w:t>
      </w:r>
    </w:p>
    <w:p w14:paraId="148B2ED9" w14:textId="77777777" w:rsidR="006B6698" w:rsidRDefault="006B6698" w:rsidP="0052246E">
      <w:pPr>
        <w:tabs>
          <w:tab w:val="left" w:pos="1701"/>
        </w:tabs>
        <w:jc w:val="both"/>
        <w:rPr>
          <w:rFonts w:cs="Arial"/>
          <w:color w:val="auto"/>
          <w:sz w:val="22"/>
          <w:szCs w:val="22"/>
        </w:rPr>
      </w:pPr>
    </w:p>
    <w:p w14:paraId="66FBC862" w14:textId="2E3C67C4" w:rsidR="006B6698" w:rsidRDefault="006B6698" w:rsidP="0052246E">
      <w:pPr>
        <w:tabs>
          <w:tab w:val="left" w:pos="1701"/>
        </w:tabs>
        <w:jc w:val="both"/>
        <w:rPr>
          <w:rFonts w:cs="Arial"/>
          <w:color w:val="auto"/>
          <w:sz w:val="22"/>
          <w:szCs w:val="22"/>
        </w:rPr>
      </w:pPr>
      <w:r>
        <w:rPr>
          <w:rFonts w:cs="Arial"/>
          <w:color w:val="auto"/>
          <w:sz w:val="22"/>
          <w:szCs w:val="22"/>
        </w:rPr>
        <w:t>The barns were converted to residential use following permission in 2005.</w:t>
      </w:r>
    </w:p>
    <w:p w14:paraId="3EBA9DC8" w14:textId="77777777" w:rsidR="00AE4BBF" w:rsidRDefault="00AE4BBF" w:rsidP="0052246E">
      <w:pPr>
        <w:tabs>
          <w:tab w:val="left" w:pos="1701"/>
        </w:tabs>
        <w:jc w:val="both"/>
        <w:rPr>
          <w:rFonts w:cs="Arial"/>
          <w:color w:val="auto"/>
          <w:sz w:val="22"/>
          <w:szCs w:val="22"/>
        </w:rPr>
      </w:pPr>
    </w:p>
    <w:p w14:paraId="68CBA24E" w14:textId="77777777" w:rsidR="00F85ADE" w:rsidRPr="0052246E" w:rsidRDefault="0052246E" w:rsidP="00F85ADE">
      <w:pPr>
        <w:spacing w:after="200"/>
        <w:contextualSpacing/>
        <w:rPr>
          <w:rFonts w:cs="Arial"/>
          <w:b/>
          <w:sz w:val="22"/>
          <w:szCs w:val="22"/>
        </w:rPr>
      </w:pPr>
      <w:r w:rsidRPr="003A397B">
        <w:rPr>
          <w:rFonts w:cs="Arial"/>
          <w:b/>
          <w:sz w:val="22"/>
          <w:szCs w:val="22"/>
        </w:rPr>
        <w:t>Proposal</w:t>
      </w:r>
      <w:r w:rsidRPr="003A397B">
        <w:rPr>
          <w:rFonts w:cs="Arial"/>
          <w:sz w:val="22"/>
          <w:szCs w:val="22"/>
        </w:rPr>
        <w:t xml:space="preserve">: </w:t>
      </w:r>
      <w:r w:rsidR="00F85ADE" w:rsidRPr="0052246E">
        <w:rPr>
          <w:rFonts w:cs="Arial"/>
          <w:color w:val="181818"/>
          <w:sz w:val="22"/>
          <w:szCs w:val="22"/>
          <w:shd w:val="clear" w:color="auto" w:fill="FFFFFF"/>
        </w:rPr>
        <w:t>Replace joinery detailing to the existing large southern gable window and insert a new set of glazed doors, with similar joinery treatment on the building’s eastern elevation.</w:t>
      </w:r>
    </w:p>
    <w:p w14:paraId="554973B5" w14:textId="15B30E95" w:rsidR="0052246E" w:rsidRPr="00B128F9" w:rsidRDefault="0052246E" w:rsidP="0052246E">
      <w:pPr>
        <w:pStyle w:val="Letterbody"/>
        <w:rPr>
          <w:rFonts w:cs="Arial"/>
          <w:sz w:val="22"/>
          <w:szCs w:val="22"/>
        </w:rPr>
      </w:pPr>
      <w:r w:rsidRPr="00B128F9">
        <w:rPr>
          <w:rFonts w:cs="Arial"/>
          <w:b/>
          <w:bCs/>
          <w:sz w:val="22"/>
          <w:szCs w:val="22"/>
        </w:rPr>
        <w:t>Relevant planning history</w:t>
      </w:r>
      <w:r w:rsidRPr="00B128F9">
        <w:rPr>
          <w:rFonts w:cs="Arial"/>
          <w:sz w:val="22"/>
          <w:szCs w:val="22"/>
        </w:rPr>
        <w:t xml:space="preserve">: </w:t>
      </w:r>
      <w:r w:rsidR="00E37075">
        <w:rPr>
          <w:rFonts w:cs="Arial"/>
          <w:sz w:val="22"/>
          <w:szCs w:val="22"/>
        </w:rPr>
        <w:t xml:space="preserve">N/05/00254LBC and N/05/00255/COU </w:t>
      </w:r>
      <w:r w:rsidR="00F44395">
        <w:rPr>
          <w:rFonts w:cs="Arial"/>
          <w:sz w:val="22"/>
          <w:szCs w:val="22"/>
        </w:rPr>
        <w:t>Change of Use and Conversion of Barn to residential and office.</w:t>
      </w:r>
    </w:p>
    <w:p w14:paraId="34D0E17F" w14:textId="77777777" w:rsidR="0052246E" w:rsidRDefault="0052246E" w:rsidP="0052246E">
      <w:pPr>
        <w:pStyle w:val="Letterbody"/>
        <w:rPr>
          <w:rFonts w:cs="Arial"/>
          <w:b/>
          <w:sz w:val="22"/>
          <w:szCs w:val="22"/>
        </w:rPr>
      </w:pPr>
    </w:p>
    <w:p w14:paraId="7DE8BFFD" w14:textId="3CA00D38" w:rsidR="0052246E" w:rsidRPr="00B128F9" w:rsidRDefault="0052246E" w:rsidP="0052246E">
      <w:pPr>
        <w:pStyle w:val="Letterbody"/>
        <w:rPr>
          <w:rFonts w:cs="Arial"/>
          <w:bCs/>
          <w:sz w:val="22"/>
          <w:szCs w:val="22"/>
        </w:rPr>
      </w:pPr>
      <w:r w:rsidRPr="00B128F9">
        <w:rPr>
          <w:rFonts w:cs="Arial"/>
          <w:b/>
          <w:sz w:val="22"/>
          <w:szCs w:val="22"/>
        </w:rPr>
        <w:t>Issues</w:t>
      </w:r>
      <w:r w:rsidRPr="00B128F9">
        <w:rPr>
          <w:rFonts w:cs="Arial"/>
          <w:bCs/>
          <w:sz w:val="22"/>
          <w:szCs w:val="22"/>
        </w:rPr>
        <w:t>:</w:t>
      </w:r>
      <w:r>
        <w:rPr>
          <w:rFonts w:cs="Arial"/>
          <w:bCs/>
          <w:sz w:val="22"/>
          <w:szCs w:val="22"/>
        </w:rPr>
        <w:t xml:space="preserve"> impact on the </w:t>
      </w:r>
      <w:r w:rsidR="00CF4FDF">
        <w:rPr>
          <w:rFonts w:cs="Arial"/>
          <w:bCs/>
          <w:sz w:val="22"/>
          <w:szCs w:val="22"/>
        </w:rPr>
        <w:t xml:space="preserve">curtilage </w:t>
      </w:r>
      <w:r>
        <w:rPr>
          <w:rFonts w:cs="Arial"/>
          <w:bCs/>
          <w:sz w:val="22"/>
          <w:szCs w:val="22"/>
        </w:rPr>
        <w:t>listed building, impact on the setting of neighbouring listed buildings</w:t>
      </w:r>
      <w:r w:rsidR="00CF4FDF">
        <w:rPr>
          <w:rFonts w:cs="Arial"/>
          <w:bCs/>
          <w:sz w:val="22"/>
          <w:szCs w:val="22"/>
        </w:rPr>
        <w:t>.</w:t>
      </w:r>
      <w:r w:rsidRPr="00B128F9">
        <w:rPr>
          <w:rFonts w:cs="Arial"/>
          <w:bCs/>
          <w:sz w:val="22"/>
          <w:szCs w:val="22"/>
        </w:rPr>
        <w:t xml:space="preserve"> </w:t>
      </w:r>
    </w:p>
    <w:p w14:paraId="651A59EC" w14:textId="77777777" w:rsidR="0052246E" w:rsidRPr="00B128F9" w:rsidRDefault="0052246E" w:rsidP="0052246E">
      <w:pPr>
        <w:pStyle w:val="Letterbody"/>
        <w:rPr>
          <w:rFonts w:cs="Arial"/>
          <w:bCs/>
          <w:sz w:val="22"/>
          <w:szCs w:val="22"/>
        </w:rPr>
      </w:pPr>
    </w:p>
    <w:p w14:paraId="3EF8AD3E" w14:textId="77777777" w:rsidR="0052246E" w:rsidRPr="002C1CC5" w:rsidRDefault="0052246E" w:rsidP="0052246E">
      <w:pPr>
        <w:autoSpaceDE w:val="0"/>
        <w:autoSpaceDN w:val="0"/>
        <w:adjustRightInd w:val="0"/>
        <w:jc w:val="both"/>
        <w:rPr>
          <w:rFonts w:cs="Arial"/>
          <w:sz w:val="22"/>
          <w:szCs w:val="22"/>
        </w:rPr>
      </w:pPr>
      <w:r w:rsidRPr="00384A6B">
        <w:rPr>
          <w:rFonts w:cs="Arial"/>
          <w:b/>
          <w:bCs/>
          <w:sz w:val="22"/>
          <w:szCs w:val="22"/>
        </w:rPr>
        <w:t>Information considered/provided</w:t>
      </w:r>
      <w:r>
        <w:rPr>
          <w:rFonts w:cs="Arial"/>
          <w:sz w:val="22"/>
          <w:szCs w:val="22"/>
        </w:rPr>
        <w:t>:</w:t>
      </w:r>
      <w:r w:rsidRPr="00B128F9">
        <w:rPr>
          <w:rFonts w:cs="Arial"/>
          <w:sz w:val="22"/>
          <w:szCs w:val="22"/>
        </w:rPr>
        <w:t xml:space="preserve"> </w:t>
      </w:r>
      <w:r w:rsidRPr="002C1CC5">
        <w:rPr>
          <w:rFonts w:cs="Arial"/>
          <w:sz w:val="22"/>
          <w:szCs w:val="22"/>
        </w:rPr>
        <w:t>Policy HE5 of the NPPF requires applicants to assess the significance of any heritage assets affected by a proposal, including the contribution made by their setting, and to identify the likely effects of the development on that significance. Sufficient information should be provided to enable a clear understanding of the significance of the heritage asset and its setting, and the impact of the proposal upon it.</w:t>
      </w:r>
    </w:p>
    <w:p w14:paraId="651AFCB0" w14:textId="77777777" w:rsidR="0052246E" w:rsidRDefault="0052246E" w:rsidP="0052246E">
      <w:pPr>
        <w:autoSpaceDE w:val="0"/>
        <w:autoSpaceDN w:val="0"/>
        <w:adjustRightInd w:val="0"/>
        <w:jc w:val="both"/>
        <w:rPr>
          <w:rFonts w:cs="Arial"/>
          <w:sz w:val="22"/>
          <w:szCs w:val="22"/>
        </w:rPr>
      </w:pPr>
    </w:p>
    <w:p w14:paraId="575CCB9F" w14:textId="77777777" w:rsidR="0052246E" w:rsidRDefault="0052246E" w:rsidP="0052246E">
      <w:pPr>
        <w:pStyle w:val="Letterbody"/>
        <w:rPr>
          <w:rFonts w:cs="Arial"/>
          <w:sz w:val="22"/>
          <w:szCs w:val="22"/>
        </w:rPr>
      </w:pPr>
      <w:r w:rsidRPr="002C1CC5">
        <w:rPr>
          <w:rFonts w:cs="Arial"/>
          <w:sz w:val="22"/>
          <w:szCs w:val="22"/>
        </w:rPr>
        <w:lastRenderedPageBreak/>
        <w:t xml:space="preserve">Decision-makers </w:t>
      </w:r>
      <w:r>
        <w:rPr>
          <w:rFonts w:cs="Arial"/>
          <w:sz w:val="22"/>
          <w:szCs w:val="22"/>
        </w:rPr>
        <w:t>must</w:t>
      </w:r>
      <w:r w:rsidRPr="002C1CC5">
        <w:rPr>
          <w:rFonts w:cs="Arial"/>
          <w:sz w:val="22"/>
          <w:szCs w:val="22"/>
        </w:rPr>
        <w:t xml:space="preserve"> be satisfied that assessments accurately reflect the effects on</w:t>
      </w:r>
      <w:r>
        <w:rPr>
          <w:rFonts w:cs="Arial"/>
          <w:sz w:val="22"/>
          <w:szCs w:val="22"/>
        </w:rPr>
        <w:t xml:space="preserve"> </w:t>
      </w:r>
      <w:r w:rsidRPr="002C1CC5">
        <w:rPr>
          <w:rFonts w:cs="Arial"/>
          <w:sz w:val="22"/>
          <w:szCs w:val="22"/>
        </w:rPr>
        <w:t>heritage assets caused by development proposals</w:t>
      </w:r>
      <w:r>
        <w:rPr>
          <w:rFonts w:cs="Arial"/>
          <w:sz w:val="22"/>
          <w:szCs w:val="22"/>
        </w:rPr>
        <w:t xml:space="preserve"> and</w:t>
      </w:r>
      <w:r w:rsidRPr="00B128F9">
        <w:rPr>
          <w:rFonts w:cs="Arial"/>
          <w:sz w:val="22"/>
          <w:szCs w:val="22"/>
        </w:rPr>
        <w:t xml:space="preserve"> </w:t>
      </w:r>
      <w:r>
        <w:rPr>
          <w:rFonts w:cs="Arial"/>
          <w:sz w:val="22"/>
          <w:szCs w:val="22"/>
        </w:rPr>
        <w:t>i</w:t>
      </w:r>
      <w:r w:rsidRPr="00B128F9">
        <w:rPr>
          <w:rFonts w:cs="Arial"/>
          <w:sz w:val="22"/>
          <w:szCs w:val="22"/>
        </w:rPr>
        <w:t xml:space="preserve">n this case the applications are accompanied by a “Design and Heritage Statement” which provides sufficient information to understand the impact of the proposals and is proportionate to their scope. The requirements of the NPPF are therefore met in this respect.  </w:t>
      </w:r>
    </w:p>
    <w:p w14:paraId="1DFC6AE1" w14:textId="77777777" w:rsidR="0052246E" w:rsidRDefault="0052246E" w:rsidP="0052246E">
      <w:pPr>
        <w:pStyle w:val="Letterbody"/>
        <w:rPr>
          <w:rFonts w:cs="Arial"/>
          <w:sz w:val="22"/>
          <w:szCs w:val="22"/>
        </w:rPr>
      </w:pPr>
    </w:p>
    <w:p w14:paraId="779D0497" w14:textId="77777777" w:rsidR="0052246E" w:rsidRPr="00197DCD" w:rsidRDefault="0052246E" w:rsidP="0052246E">
      <w:pPr>
        <w:pStyle w:val="Letterbody"/>
        <w:rPr>
          <w:rFonts w:cs="Arial"/>
          <w:sz w:val="22"/>
          <w:szCs w:val="22"/>
        </w:rPr>
      </w:pPr>
      <w:r w:rsidRPr="00197DCD">
        <w:rPr>
          <w:rFonts w:cs="Arial"/>
          <w:sz w:val="22"/>
          <w:szCs w:val="22"/>
        </w:rPr>
        <w:t xml:space="preserve">Decision-makers must be satisfied that assessments </w:t>
      </w:r>
      <w:r w:rsidRPr="002C1CC5">
        <w:rPr>
          <w:rFonts w:cs="Arial"/>
          <w:sz w:val="22"/>
          <w:szCs w:val="22"/>
        </w:rPr>
        <w:t>accurately reflect the effects on</w:t>
      </w:r>
      <w:r>
        <w:rPr>
          <w:rFonts w:cs="Arial"/>
          <w:sz w:val="22"/>
          <w:szCs w:val="22"/>
        </w:rPr>
        <w:t xml:space="preserve"> </w:t>
      </w:r>
      <w:r w:rsidRPr="002C1CC5">
        <w:rPr>
          <w:rFonts w:cs="Arial"/>
          <w:sz w:val="22"/>
          <w:szCs w:val="22"/>
        </w:rPr>
        <w:t>heritage assets caused by development proposals</w:t>
      </w:r>
      <w:r w:rsidRPr="00197DCD">
        <w:rPr>
          <w:rFonts w:cs="Arial"/>
          <w:sz w:val="22"/>
          <w:szCs w:val="22"/>
        </w:rPr>
        <w:t xml:space="preserve">. In this case, although the application is accompanied by a </w:t>
      </w:r>
      <w:r w:rsidRPr="00197DCD">
        <w:rPr>
          <w:rFonts w:cs="Arial"/>
          <w:i/>
          <w:iCs/>
          <w:sz w:val="22"/>
          <w:szCs w:val="22"/>
        </w:rPr>
        <w:t>Design, Access and Heritage Statement</w:t>
      </w:r>
      <w:r w:rsidRPr="00197DCD">
        <w:rPr>
          <w:rFonts w:cs="Arial"/>
          <w:sz w:val="22"/>
          <w:szCs w:val="22"/>
        </w:rPr>
        <w:t>, the document provides limited information about the building and fails to include an objective assessment of the affected fabric, its date, significance, or the impact of the proposed works. Consequently, it does not meet the requirements of the NPPF. The following heritage recommendations are therefore made on the basis of the local planning authority's own assessment of the significance of the heritage asset and the impact of the proposals.</w:t>
      </w:r>
    </w:p>
    <w:p w14:paraId="5DC6004D" w14:textId="77777777" w:rsidR="0052246E" w:rsidRPr="00B128F9" w:rsidRDefault="0052246E" w:rsidP="0052246E">
      <w:pPr>
        <w:pStyle w:val="Letterbody"/>
        <w:rPr>
          <w:rFonts w:cs="Arial"/>
          <w:sz w:val="22"/>
          <w:szCs w:val="22"/>
        </w:rPr>
      </w:pPr>
    </w:p>
    <w:p w14:paraId="10067619" w14:textId="77777777" w:rsidR="0052246E" w:rsidRDefault="0052246E" w:rsidP="0052246E">
      <w:pPr>
        <w:pStyle w:val="Letterbody"/>
        <w:rPr>
          <w:rFonts w:cs="Arial"/>
          <w:sz w:val="22"/>
          <w:szCs w:val="22"/>
        </w:rPr>
      </w:pPr>
      <w:r w:rsidRPr="00384A6B">
        <w:rPr>
          <w:rFonts w:cs="Arial"/>
          <w:b/>
          <w:bCs/>
          <w:sz w:val="22"/>
          <w:szCs w:val="22"/>
        </w:rPr>
        <w:t>Significance of assets and contribution of setting</w:t>
      </w:r>
      <w:r>
        <w:rPr>
          <w:rFonts w:cs="Arial"/>
          <w:sz w:val="22"/>
          <w:szCs w:val="22"/>
        </w:rPr>
        <w:t>:</w:t>
      </w:r>
      <w:r w:rsidRPr="00B128F9">
        <w:rPr>
          <w:rFonts w:cs="Arial"/>
          <w:sz w:val="22"/>
          <w:szCs w:val="22"/>
        </w:rPr>
        <w:t xml:space="preserve"> The NPPF defines significance as the “value of a heritage asset to this and future generations because of its heritage interest. The interest may be </w:t>
      </w:r>
      <w:r w:rsidRPr="00B128F9">
        <w:rPr>
          <w:rFonts w:cs="Arial"/>
          <w:b/>
          <w:bCs/>
          <w:sz w:val="22"/>
          <w:szCs w:val="22"/>
        </w:rPr>
        <w:t>archaeological</w:t>
      </w:r>
      <w:r w:rsidRPr="00B128F9">
        <w:rPr>
          <w:rFonts w:cs="Arial"/>
          <w:sz w:val="22"/>
          <w:szCs w:val="22"/>
        </w:rPr>
        <w:t xml:space="preserve">, </w:t>
      </w:r>
      <w:r w:rsidRPr="00B128F9">
        <w:rPr>
          <w:rFonts w:cs="Arial"/>
          <w:b/>
          <w:bCs/>
          <w:sz w:val="22"/>
          <w:szCs w:val="22"/>
        </w:rPr>
        <w:t>architectural</w:t>
      </w:r>
      <w:r w:rsidRPr="00B128F9">
        <w:rPr>
          <w:rFonts w:cs="Arial"/>
          <w:sz w:val="22"/>
          <w:szCs w:val="22"/>
        </w:rPr>
        <w:t xml:space="preserve">, </w:t>
      </w:r>
      <w:r w:rsidRPr="00B128F9">
        <w:rPr>
          <w:rFonts w:cs="Arial"/>
          <w:b/>
          <w:bCs/>
          <w:sz w:val="22"/>
          <w:szCs w:val="22"/>
        </w:rPr>
        <w:t>artistic</w:t>
      </w:r>
      <w:r w:rsidRPr="00B128F9">
        <w:rPr>
          <w:rFonts w:cs="Arial"/>
          <w:sz w:val="22"/>
          <w:szCs w:val="22"/>
        </w:rPr>
        <w:t xml:space="preserve"> or </w:t>
      </w:r>
      <w:r w:rsidRPr="00B128F9">
        <w:rPr>
          <w:rFonts w:cs="Arial"/>
          <w:b/>
          <w:bCs/>
          <w:sz w:val="22"/>
          <w:szCs w:val="22"/>
        </w:rPr>
        <w:t>historic</w:t>
      </w:r>
      <w:r w:rsidRPr="00B128F9">
        <w:rPr>
          <w:rFonts w:cs="Arial"/>
          <w:sz w:val="22"/>
          <w:szCs w:val="22"/>
        </w:rPr>
        <w:t xml:space="preserve">. Significance derives not only from a heritage asset’s physical presence, but also from its setting.” Historic England assesses significance in a similar manner, referring to evidential, historic, aesthetic and communal values of a place. </w:t>
      </w:r>
    </w:p>
    <w:p w14:paraId="62ED54AD" w14:textId="77777777" w:rsidR="0052246E" w:rsidRDefault="0052246E" w:rsidP="0052246E">
      <w:pPr>
        <w:pStyle w:val="Letterbody"/>
        <w:rPr>
          <w:rFonts w:cs="Arial"/>
          <w:sz w:val="22"/>
          <w:szCs w:val="22"/>
        </w:rPr>
      </w:pPr>
    </w:p>
    <w:p w14:paraId="45D66882" w14:textId="77777777" w:rsidR="0052246E" w:rsidRPr="003F6C4C" w:rsidRDefault="0052246E" w:rsidP="0052246E">
      <w:pPr>
        <w:tabs>
          <w:tab w:val="left" w:pos="1701"/>
        </w:tabs>
        <w:jc w:val="both"/>
        <w:rPr>
          <w:rFonts w:cs="Arial"/>
          <w:color w:val="auto"/>
          <w:sz w:val="22"/>
          <w:szCs w:val="22"/>
        </w:rPr>
      </w:pPr>
      <w:r w:rsidRPr="003F6C4C">
        <w:rPr>
          <w:rFonts w:cs="Arial"/>
          <w:color w:val="auto"/>
          <w:sz w:val="22"/>
          <w:szCs w:val="22"/>
        </w:rPr>
        <w:t>The interest</w:t>
      </w:r>
      <w:r>
        <w:rPr>
          <w:rFonts w:cs="Arial"/>
          <w:color w:val="auto"/>
          <w:sz w:val="22"/>
          <w:szCs w:val="22"/>
        </w:rPr>
        <w:t xml:space="preserve"> of a building</w:t>
      </w:r>
      <w:r w:rsidRPr="003F6C4C">
        <w:rPr>
          <w:rFonts w:cs="Arial"/>
          <w:color w:val="auto"/>
          <w:sz w:val="22"/>
          <w:szCs w:val="22"/>
        </w:rPr>
        <w:t xml:space="preserve"> may be architectural, or historic as set out in the Town and Country Planning (Listed Building and Conservation Areas) Act 1990 S 1. </w:t>
      </w:r>
    </w:p>
    <w:p w14:paraId="4D742023" w14:textId="77777777" w:rsidR="0052246E" w:rsidRDefault="0052246E" w:rsidP="0052246E">
      <w:pPr>
        <w:pStyle w:val="Letterbody"/>
        <w:rPr>
          <w:rFonts w:cs="Arial"/>
          <w:color w:val="FF0000"/>
          <w:sz w:val="22"/>
          <w:szCs w:val="22"/>
        </w:rPr>
      </w:pPr>
    </w:p>
    <w:p w14:paraId="7B01C18B" w14:textId="7B3C5A59" w:rsidR="0052246E" w:rsidRPr="00FB1E14" w:rsidRDefault="0052246E" w:rsidP="0052246E">
      <w:pPr>
        <w:pStyle w:val="Letterbody"/>
        <w:rPr>
          <w:rFonts w:cs="Arial"/>
          <w:sz w:val="22"/>
          <w:szCs w:val="22"/>
        </w:rPr>
      </w:pPr>
      <w:r w:rsidRPr="00FB1E14">
        <w:rPr>
          <w:rFonts w:cs="Arial"/>
          <w:sz w:val="22"/>
          <w:szCs w:val="22"/>
        </w:rPr>
        <w:t xml:space="preserve">In this case the significance of the </w:t>
      </w:r>
      <w:r w:rsidR="00CF4FDF">
        <w:rPr>
          <w:rFonts w:cs="Arial"/>
          <w:sz w:val="22"/>
          <w:szCs w:val="22"/>
        </w:rPr>
        <w:t xml:space="preserve">Farmhouse </w:t>
      </w:r>
      <w:r w:rsidRPr="00FB1E14">
        <w:rPr>
          <w:rFonts w:cs="Arial"/>
          <w:sz w:val="22"/>
          <w:szCs w:val="22"/>
        </w:rPr>
        <w:t xml:space="preserve">building is </w:t>
      </w:r>
      <w:r>
        <w:rPr>
          <w:rFonts w:cs="Arial"/>
          <w:sz w:val="22"/>
          <w:szCs w:val="22"/>
        </w:rPr>
        <w:t>provided in the list description</w:t>
      </w:r>
      <w:r>
        <w:rPr>
          <w:rFonts w:cs="Arial"/>
          <w:sz w:val="22"/>
          <w:szCs w:val="22"/>
        </w:rPr>
        <w:t xml:space="preserve">. A </w:t>
      </w:r>
      <w:proofErr w:type="spellStart"/>
      <w:r>
        <w:rPr>
          <w:rFonts w:cs="Arial"/>
          <w:sz w:val="22"/>
          <w:szCs w:val="22"/>
        </w:rPr>
        <w:t>clunch</w:t>
      </w:r>
      <w:proofErr w:type="spellEnd"/>
      <w:r>
        <w:rPr>
          <w:rFonts w:cs="Arial"/>
          <w:sz w:val="22"/>
          <w:szCs w:val="22"/>
        </w:rPr>
        <w:t xml:space="preserve"> </w:t>
      </w:r>
      <w:r>
        <w:rPr>
          <w:rFonts w:cs="Arial"/>
          <w:sz w:val="22"/>
          <w:szCs w:val="22"/>
        </w:rPr>
        <w:t>stone</w:t>
      </w:r>
      <w:r>
        <w:rPr>
          <w:rFonts w:cs="Arial"/>
          <w:sz w:val="22"/>
          <w:szCs w:val="22"/>
        </w:rPr>
        <w:t xml:space="preserve"> faced in brick with stone tiled roof f</w:t>
      </w:r>
      <w:r>
        <w:rPr>
          <w:rFonts w:cs="Arial"/>
          <w:sz w:val="22"/>
          <w:szCs w:val="22"/>
        </w:rPr>
        <w:t xml:space="preserve">armhouse </w:t>
      </w:r>
      <w:r>
        <w:rPr>
          <w:rFonts w:cs="Arial"/>
          <w:sz w:val="22"/>
          <w:szCs w:val="22"/>
        </w:rPr>
        <w:t xml:space="preserve">that </w:t>
      </w:r>
      <w:r>
        <w:rPr>
          <w:rFonts w:cs="Arial"/>
          <w:sz w:val="22"/>
          <w:szCs w:val="22"/>
        </w:rPr>
        <w:t>us</w:t>
      </w:r>
      <w:r>
        <w:rPr>
          <w:rFonts w:cs="Arial"/>
          <w:sz w:val="22"/>
          <w:szCs w:val="22"/>
        </w:rPr>
        <w:t xml:space="preserve">es </w:t>
      </w:r>
      <w:r>
        <w:rPr>
          <w:rFonts w:cs="Arial"/>
          <w:sz w:val="22"/>
          <w:szCs w:val="22"/>
        </w:rPr>
        <w:t xml:space="preserve">good quality materials and craftmanship expressing local vernacular traditions. Its plan form </w:t>
      </w:r>
      <w:r w:rsidR="003F3B59">
        <w:rPr>
          <w:rFonts w:cs="Arial"/>
          <w:sz w:val="22"/>
          <w:szCs w:val="22"/>
        </w:rPr>
        <w:t xml:space="preserve">and surviving exterior and interior </w:t>
      </w:r>
      <w:r>
        <w:rPr>
          <w:rFonts w:cs="Arial"/>
          <w:sz w:val="22"/>
          <w:szCs w:val="22"/>
        </w:rPr>
        <w:t>quality feature</w:t>
      </w:r>
      <w:r w:rsidR="003F3B59">
        <w:rPr>
          <w:rFonts w:cs="Arial"/>
          <w:sz w:val="22"/>
          <w:szCs w:val="22"/>
        </w:rPr>
        <w:t>s</w:t>
      </w:r>
      <w:r>
        <w:rPr>
          <w:rFonts w:cs="Arial"/>
          <w:sz w:val="22"/>
          <w:szCs w:val="22"/>
        </w:rPr>
        <w:t xml:space="preserve"> illustrate the historic development of the building. </w:t>
      </w:r>
    </w:p>
    <w:p w14:paraId="0D6AE1BE" w14:textId="77777777" w:rsidR="0052246E" w:rsidRPr="00B128F9" w:rsidRDefault="0052246E" w:rsidP="0052246E">
      <w:pPr>
        <w:pStyle w:val="Letterbody"/>
        <w:rPr>
          <w:rFonts w:cs="Arial"/>
          <w:b/>
          <w:sz w:val="22"/>
          <w:szCs w:val="22"/>
          <w:u w:val="single"/>
        </w:rPr>
      </w:pPr>
    </w:p>
    <w:p w14:paraId="5862ED65" w14:textId="77777777" w:rsidR="0052246E" w:rsidRDefault="0052246E" w:rsidP="0052246E">
      <w:pPr>
        <w:pStyle w:val="Letterbody"/>
        <w:rPr>
          <w:rFonts w:cs="Arial"/>
          <w:bCs/>
          <w:color w:val="FF0000"/>
          <w:sz w:val="22"/>
          <w:szCs w:val="22"/>
        </w:rPr>
      </w:pPr>
      <w:r w:rsidRPr="00384A6B">
        <w:rPr>
          <w:rFonts w:cs="Arial"/>
          <w:b/>
          <w:sz w:val="22"/>
          <w:szCs w:val="22"/>
        </w:rPr>
        <w:t>Assessment</w:t>
      </w:r>
      <w:r>
        <w:rPr>
          <w:rFonts w:cs="Arial"/>
          <w:bCs/>
          <w:sz w:val="22"/>
          <w:szCs w:val="22"/>
        </w:rPr>
        <w:t xml:space="preserve">: </w:t>
      </w:r>
    </w:p>
    <w:p w14:paraId="663A1E72" w14:textId="77777777" w:rsidR="0052246E" w:rsidRPr="00783A52" w:rsidRDefault="0052246E" w:rsidP="0052246E">
      <w:pPr>
        <w:autoSpaceDE w:val="0"/>
        <w:autoSpaceDN w:val="0"/>
        <w:adjustRightInd w:val="0"/>
        <w:jc w:val="both"/>
        <w:rPr>
          <w:rFonts w:cs="Arial"/>
          <w:color w:val="auto"/>
          <w:sz w:val="22"/>
          <w:szCs w:val="22"/>
        </w:rPr>
      </w:pPr>
      <w:r w:rsidRPr="00783A52">
        <w:rPr>
          <w:rFonts w:cs="Arial"/>
          <w:color w:val="auto"/>
          <w:sz w:val="22"/>
          <w:szCs w:val="22"/>
        </w:rPr>
        <w:t xml:space="preserve">Policy HE4 requires that heritage assets be conserved in a manner appropriate to their significance and harm avoided unless this has a clear and convincing justification. </w:t>
      </w:r>
    </w:p>
    <w:p w14:paraId="5EAEE4B0" w14:textId="77777777" w:rsidR="0052246E" w:rsidRPr="00783A52" w:rsidRDefault="0052246E" w:rsidP="0052246E">
      <w:pPr>
        <w:autoSpaceDE w:val="0"/>
        <w:autoSpaceDN w:val="0"/>
        <w:adjustRightInd w:val="0"/>
        <w:jc w:val="both"/>
        <w:rPr>
          <w:rFonts w:cs="Arial"/>
          <w:color w:val="auto"/>
          <w:sz w:val="22"/>
          <w:szCs w:val="22"/>
        </w:rPr>
      </w:pPr>
    </w:p>
    <w:p w14:paraId="768815A4" w14:textId="77777777" w:rsidR="0052246E" w:rsidRDefault="0052246E" w:rsidP="0052246E">
      <w:pPr>
        <w:autoSpaceDE w:val="0"/>
        <w:autoSpaceDN w:val="0"/>
        <w:adjustRightInd w:val="0"/>
        <w:jc w:val="both"/>
        <w:rPr>
          <w:rFonts w:cs="Arial"/>
          <w:color w:val="auto"/>
          <w:sz w:val="22"/>
          <w:szCs w:val="22"/>
        </w:rPr>
      </w:pPr>
      <w:r w:rsidRPr="00783A52">
        <w:rPr>
          <w:rFonts w:cs="Arial"/>
          <w:color w:val="auto"/>
          <w:sz w:val="22"/>
          <w:szCs w:val="22"/>
        </w:rPr>
        <w:t xml:space="preserve">Policies HE6 (designated assets) and HE7 (non-designated assets) of the NPPF require a balanced approach with substantial weight given to the asset’s conservation and harm caused being weighed against the potential public benefits which might be achieved. </w:t>
      </w:r>
    </w:p>
    <w:p w14:paraId="3E04F466" w14:textId="77777777" w:rsidR="003F3B59" w:rsidRDefault="003F3B59" w:rsidP="0052246E">
      <w:pPr>
        <w:autoSpaceDE w:val="0"/>
        <w:autoSpaceDN w:val="0"/>
        <w:adjustRightInd w:val="0"/>
        <w:jc w:val="both"/>
        <w:rPr>
          <w:rFonts w:cs="Arial"/>
          <w:color w:val="auto"/>
          <w:sz w:val="22"/>
          <w:szCs w:val="22"/>
        </w:rPr>
      </w:pPr>
    </w:p>
    <w:p w14:paraId="16FFE7AB" w14:textId="2B97B617" w:rsidR="00A66A91" w:rsidRDefault="009B42E3" w:rsidP="0052246E">
      <w:pPr>
        <w:autoSpaceDE w:val="0"/>
        <w:autoSpaceDN w:val="0"/>
        <w:adjustRightInd w:val="0"/>
        <w:jc w:val="both"/>
        <w:rPr>
          <w:sz w:val="22"/>
          <w:szCs w:val="22"/>
        </w:rPr>
      </w:pPr>
      <w:r>
        <w:rPr>
          <w:sz w:val="22"/>
          <w:szCs w:val="22"/>
        </w:rPr>
        <w:t xml:space="preserve">The </w:t>
      </w:r>
      <w:r w:rsidR="003F3B59" w:rsidRPr="003F3B59">
        <w:rPr>
          <w:sz w:val="22"/>
          <w:szCs w:val="22"/>
        </w:rPr>
        <w:t>propos</w:t>
      </w:r>
      <w:r>
        <w:rPr>
          <w:sz w:val="22"/>
          <w:szCs w:val="22"/>
        </w:rPr>
        <w:t xml:space="preserve">al </w:t>
      </w:r>
      <w:r w:rsidR="00A66A91">
        <w:rPr>
          <w:sz w:val="22"/>
          <w:szCs w:val="22"/>
        </w:rPr>
        <w:t xml:space="preserve">is </w:t>
      </w:r>
      <w:r w:rsidR="003F3B59" w:rsidRPr="003F3B59">
        <w:rPr>
          <w:sz w:val="22"/>
          <w:szCs w:val="22"/>
        </w:rPr>
        <w:t xml:space="preserve">to amend </w:t>
      </w:r>
      <w:r w:rsidR="00A66A91">
        <w:rPr>
          <w:sz w:val="22"/>
          <w:szCs w:val="22"/>
        </w:rPr>
        <w:t xml:space="preserve">existing </w:t>
      </w:r>
      <w:r w:rsidR="003F3B59" w:rsidRPr="003F3B59">
        <w:rPr>
          <w:sz w:val="22"/>
          <w:szCs w:val="22"/>
        </w:rPr>
        <w:t xml:space="preserve">joinery </w:t>
      </w:r>
      <w:r w:rsidR="00A66A91">
        <w:rPr>
          <w:sz w:val="22"/>
          <w:szCs w:val="22"/>
        </w:rPr>
        <w:t>and openings</w:t>
      </w:r>
      <w:r w:rsidR="00956E25">
        <w:rPr>
          <w:sz w:val="22"/>
          <w:szCs w:val="22"/>
        </w:rPr>
        <w:t xml:space="preserve"> to the main block that includes the kitchen, living room</w:t>
      </w:r>
      <w:r w:rsidR="00A66A91">
        <w:rPr>
          <w:sz w:val="22"/>
          <w:szCs w:val="22"/>
        </w:rPr>
        <w:t xml:space="preserve">. </w:t>
      </w:r>
    </w:p>
    <w:p w14:paraId="01D89738" w14:textId="77777777" w:rsidR="00A66A91" w:rsidRDefault="00A66A91" w:rsidP="0052246E">
      <w:pPr>
        <w:autoSpaceDE w:val="0"/>
        <w:autoSpaceDN w:val="0"/>
        <w:adjustRightInd w:val="0"/>
        <w:jc w:val="both"/>
        <w:rPr>
          <w:sz w:val="22"/>
          <w:szCs w:val="22"/>
        </w:rPr>
      </w:pPr>
    </w:p>
    <w:p w14:paraId="08AC3786" w14:textId="3EFE7625" w:rsidR="009B42E3" w:rsidRDefault="00A66A91" w:rsidP="0052246E">
      <w:pPr>
        <w:autoSpaceDE w:val="0"/>
        <w:autoSpaceDN w:val="0"/>
        <w:adjustRightInd w:val="0"/>
        <w:jc w:val="both"/>
        <w:rPr>
          <w:sz w:val="22"/>
          <w:szCs w:val="22"/>
        </w:rPr>
      </w:pPr>
      <w:r>
        <w:rPr>
          <w:sz w:val="22"/>
          <w:szCs w:val="22"/>
        </w:rPr>
        <w:t xml:space="preserve">The </w:t>
      </w:r>
      <w:r w:rsidR="003F3B59" w:rsidRPr="003F3B59">
        <w:rPr>
          <w:sz w:val="22"/>
          <w:szCs w:val="22"/>
        </w:rPr>
        <w:t xml:space="preserve">existing large southern gable </w:t>
      </w:r>
      <w:r>
        <w:rPr>
          <w:sz w:val="22"/>
          <w:szCs w:val="22"/>
        </w:rPr>
        <w:t xml:space="preserve">French doors and </w:t>
      </w:r>
      <w:r w:rsidR="003F3B59" w:rsidRPr="003F3B59">
        <w:rPr>
          <w:sz w:val="22"/>
          <w:szCs w:val="22"/>
        </w:rPr>
        <w:t>window</w:t>
      </w:r>
      <w:r>
        <w:rPr>
          <w:sz w:val="22"/>
          <w:szCs w:val="22"/>
        </w:rPr>
        <w:t xml:space="preserve">s are to be replaced </w:t>
      </w:r>
      <w:r w:rsidR="007704A7">
        <w:rPr>
          <w:sz w:val="22"/>
          <w:szCs w:val="22"/>
        </w:rPr>
        <w:t xml:space="preserve">with bi fold doors </w:t>
      </w:r>
      <w:r w:rsidR="007704A7" w:rsidRPr="003F3B59">
        <w:rPr>
          <w:sz w:val="22"/>
          <w:szCs w:val="22"/>
        </w:rPr>
        <w:t>in</w:t>
      </w:r>
      <w:r w:rsidR="000C43EB">
        <w:rPr>
          <w:sz w:val="22"/>
          <w:szCs w:val="22"/>
        </w:rPr>
        <w:t xml:space="preserve"> the existing opening</w:t>
      </w:r>
      <w:r w:rsidR="007704A7">
        <w:rPr>
          <w:sz w:val="22"/>
          <w:szCs w:val="22"/>
        </w:rPr>
        <w:t xml:space="preserve"> with similar timber joinery</w:t>
      </w:r>
      <w:r w:rsidR="000C43EB">
        <w:rPr>
          <w:sz w:val="22"/>
          <w:szCs w:val="22"/>
        </w:rPr>
        <w:t xml:space="preserve">. To the east elevation an existing </w:t>
      </w:r>
      <w:r w:rsidR="007704A7">
        <w:rPr>
          <w:sz w:val="22"/>
          <w:szCs w:val="22"/>
        </w:rPr>
        <w:t>high-level</w:t>
      </w:r>
      <w:r w:rsidR="000C43EB">
        <w:rPr>
          <w:sz w:val="22"/>
          <w:szCs w:val="22"/>
        </w:rPr>
        <w:t xml:space="preserve"> window to the </w:t>
      </w:r>
      <w:r>
        <w:rPr>
          <w:sz w:val="22"/>
          <w:szCs w:val="22"/>
        </w:rPr>
        <w:t xml:space="preserve">living room is to have a lowered </w:t>
      </w:r>
      <w:proofErr w:type="spellStart"/>
      <w:r>
        <w:rPr>
          <w:sz w:val="22"/>
          <w:szCs w:val="22"/>
        </w:rPr>
        <w:t>cill</w:t>
      </w:r>
      <w:proofErr w:type="spellEnd"/>
      <w:r>
        <w:rPr>
          <w:sz w:val="22"/>
          <w:szCs w:val="22"/>
        </w:rPr>
        <w:t xml:space="preserve"> to insert </w:t>
      </w:r>
      <w:r w:rsidR="003F3B59" w:rsidRPr="003F3B59">
        <w:rPr>
          <w:sz w:val="22"/>
          <w:szCs w:val="22"/>
        </w:rPr>
        <w:t>a new set of glazed doors, with similar joinery treatment</w:t>
      </w:r>
      <w:r w:rsidR="007704A7">
        <w:rPr>
          <w:sz w:val="22"/>
          <w:szCs w:val="22"/>
        </w:rPr>
        <w:t xml:space="preserve">. The proposed plan indicates a fixed window and needs amending to show opening </w:t>
      </w:r>
      <w:r w:rsidR="00963C3D">
        <w:rPr>
          <w:sz w:val="22"/>
          <w:szCs w:val="22"/>
        </w:rPr>
        <w:t xml:space="preserve">bi fold doors. </w:t>
      </w:r>
    </w:p>
    <w:p w14:paraId="3A6AA02B" w14:textId="77777777" w:rsidR="00194021" w:rsidRDefault="00194021" w:rsidP="0052246E">
      <w:pPr>
        <w:autoSpaceDE w:val="0"/>
        <w:autoSpaceDN w:val="0"/>
        <w:adjustRightInd w:val="0"/>
        <w:jc w:val="both"/>
        <w:rPr>
          <w:sz w:val="22"/>
          <w:szCs w:val="22"/>
        </w:rPr>
      </w:pPr>
    </w:p>
    <w:p w14:paraId="648C3E9E" w14:textId="0EF0F001" w:rsidR="00E06F9C" w:rsidRDefault="00B61BB6" w:rsidP="0052246E">
      <w:pPr>
        <w:autoSpaceDE w:val="0"/>
        <w:autoSpaceDN w:val="0"/>
        <w:adjustRightInd w:val="0"/>
        <w:jc w:val="both"/>
        <w:rPr>
          <w:sz w:val="22"/>
          <w:szCs w:val="22"/>
        </w:rPr>
      </w:pPr>
      <w:r w:rsidRPr="00194021">
        <w:rPr>
          <w:sz w:val="22"/>
          <w:szCs w:val="22"/>
        </w:rPr>
        <w:t xml:space="preserve">The </w:t>
      </w:r>
      <w:r w:rsidR="00963C3D">
        <w:rPr>
          <w:sz w:val="22"/>
          <w:szCs w:val="22"/>
        </w:rPr>
        <w:t xml:space="preserve">change </w:t>
      </w:r>
      <w:r w:rsidR="00956E25">
        <w:rPr>
          <w:sz w:val="22"/>
          <w:szCs w:val="22"/>
        </w:rPr>
        <w:t xml:space="preserve">of the </w:t>
      </w:r>
      <w:r w:rsidR="00963C3D">
        <w:rPr>
          <w:sz w:val="22"/>
          <w:szCs w:val="22"/>
        </w:rPr>
        <w:t xml:space="preserve">modern </w:t>
      </w:r>
      <w:r w:rsidR="00956E25">
        <w:rPr>
          <w:sz w:val="22"/>
          <w:szCs w:val="22"/>
        </w:rPr>
        <w:t xml:space="preserve">timber </w:t>
      </w:r>
      <w:r w:rsidRPr="00194021">
        <w:rPr>
          <w:sz w:val="22"/>
          <w:szCs w:val="22"/>
        </w:rPr>
        <w:t xml:space="preserve">fenestration </w:t>
      </w:r>
      <w:r w:rsidR="00956E25">
        <w:rPr>
          <w:sz w:val="22"/>
          <w:szCs w:val="22"/>
        </w:rPr>
        <w:t>that dates from</w:t>
      </w:r>
      <w:r w:rsidR="00963C3D">
        <w:rPr>
          <w:sz w:val="22"/>
          <w:szCs w:val="22"/>
        </w:rPr>
        <w:t xml:space="preserve"> the recent conversion to residential use </w:t>
      </w:r>
      <w:r w:rsidR="003D679D">
        <w:rPr>
          <w:sz w:val="22"/>
          <w:szCs w:val="22"/>
        </w:rPr>
        <w:t>is neutral</w:t>
      </w:r>
      <w:r w:rsidR="00E06F9C">
        <w:rPr>
          <w:sz w:val="22"/>
          <w:szCs w:val="22"/>
        </w:rPr>
        <w:t xml:space="preserve">. </w:t>
      </w:r>
    </w:p>
    <w:p w14:paraId="24EDE4CE" w14:textId="77777777" w:rsidR="00E06F9C" w:rsidRDefault="00E06F9C" w:rsidP="0052246E">
      <w:pPr>
        <w:autoSpaceDE w:val="0"/>
        <w:autoSpaceDN w:val="0"/>
        <w:adjustRightInd w:val="0"/>
        <w:jc w:val="both"/>
        <w:rPr>
          <w:sz w:val="22"/>
          <w:szCs w:val="22"/>
        </w:rPr>
      </w:pPr>
    </w:p>
    <w:p w14:paraId="646308D6" w14:textId="77777777" w:rsidR="00462325" w:rsidRDefault="00E06F9C" w:rsidP="0052246E">
      <w:pPr>
        <w:autoSpaceDE w:val="0"/>
        <w:autoSpaceDN w:val="0"/>
        <w:adjustRightInd w:val="0"/>
        <w:jc w:val="both"/>
        <w:rPr>
          <w:sz w:val="22"/>
          <w:szCs w:val="22"/>
        </w:rPr>
      </w:pPr>
      <w:r>
        <w:rPr>
          <w:sz w:val="22"/>
          <w:szCs w:val="22"/>
        </w:rPr>
        <w:t>W</w:t>
      </w:r>
      <w:r w:rsidR="003D679D">
        <w:rPr>
          <w:sz w:val="22"/>
          <w:szCs w:val="22"/>
        </w:rPr>
        <w:t xml:space="preserve">hile the revised and enlarged </w:t>
      </w:r>
      <w:r w:rsidR="00B61BB6" w:rsidRPr="00194021">
        <w:rPr>
          <w:sz w:val="22"/>
          <w:szCs w:val="22"/>
        </w:rPr>
        <w:t xml:space="preserve">window </w:t>
      </w:r>
      <w:r w:rsidR="003D679D">
        <w:rPr>
          <w:sz w:val="22"/>
          <w:szCs w:val="22"/>
        </w:rPr>
        <w:t xml:space="preserve">to door </w:t>
      </w:r>
      <w:r w:rsidR="00B61BB6" w:rsidRPr="00194021">
        <w:rPr>
          <w:sz w:val="22"/>
          <w:szCs w:val="22"/>
        </w:rPr>
        <w:t>openings</w:t>
      </w:r>
      <w:r w:rsidR="003D679D">
        <w:rPr>
          <w:sz w:val="22"/>
          <w:szCs w:val="22"/>
        </w:rPr>
        <w:t xml:space="preserve"> to the east elevation will </w:t>
      </w:r>
      <w:r w:rsidR="00C123D5">
        <w:rPr>
          <w:sz w:val="22"/>
          <w:szCs w:val="22"/>
        </w:rPr>
        <w:t>include some loss of original brick walling</w:t>
      </w:r>
      <w:r w:rsidR="00822429">
        <w:rPr>
          <w:sz w:val="22"/>
          <w:szCs w:val="22"/>
        </w:rPr>
        <w:t xml:space="preserve"> including </w:t>
      </w:r>
      <w:r w:rsidR="00462325">
        <w:rPr>
          <w:sz w:val="22"/>
          <w:szCs w:val="22"/>
        </w:rPr>
        <w:t xml:space="preserve">alteration to the structural connection of the corner of the building. </w:t>
      </w:r>
    </w:p>
    <w:p w14:paraId="1018FD9A" w14:textId="77777777" w:rsidR="00462325" w:rsidRDefault="00462325" w:rsidP="0052246E">
      <w:pPr>
        <w:autoSpaceDE w:val="0"/>
        <w:autoSpaceDN w:val="0"/>
        <w:adjustRightInd w:val="0"/>
        <w:jc w:val="both"/>
        <w:rPr>
          <w:sz w:val="22"/>
          <w:szCs w:val="22"/>
        </w:rPr>
      </w:pPr>
    </w:p>
    <w:p w14:paraId="3D413905" w14:textId="1A748560" w:rsidR="00462325" w:rsidRDefault="00C123D5" w:rsidP="0052246E">
      <w:pPr>
        <w:autoSpaceDE w:val="0"/>
        <w:autoSpaceDN w:val="0"/>
        <w:adjustRightInd w:val="0"/>
        <w:jc w:val="both"/>
        <w:rPr>
          <w:sz w:val="22"/>
          <w:szCs w:val="22"/>
        </w:rPr>
      </w:pPr>
      <w:r>
        <w:rPr>
          <w:sz w:val="22"/>
          <w:szCs w:val="22"/>
        </w:rPr>
        <w:t xml:space="preserve">The </w:t>
      </w:r>
      <w:r w:rsidR="00462325">
        <w:rPr>
          <w:sz w:val="22"/>
          <w:szCs w:val="22"/>
        </w:rPr>
        <w:t xml:space="preserve">proposals </w:t>
      </w:r>
      <w:r w:rsidR="00B855F4">
        <w:rPr>
          <w:sz w:val="22"/>
          <w:szCs w:val="22"/>
        </w:rPr>
        <w:t>involve</w:t>
      </w:r>
      <w:r w:rsidR="00462325">
        <w:rPr>
          <w:sz w:val="22"/>
          <w:szCs w:val="22"/>
        </w:rPr>
        <w:t xml:space="preserve"> a </w:t>
      </w:r>
      <w:r>
        <w:rPr>
          <w:sz w:val="22"/>
          <w:szCs w:val="22"/>
        </w:rPr>
        <w:t xml:space="preserve">minor loss of fabric however </w:t>
      </w:r>
      <w:r w:rsidR="00462325">
        <w:rPr>
          <w:sz w:val="22"/>
          <w:szCs w:val="22"/>
        </w:rPr>
        <w:t>the location of this fabric and the opening use as a an opening bifold doors would mean that it would introduce a weakness to the structural integrity of the corner of the building</w:t>
      </w:r>
      <w:r w:rsidR="002764FC">
        <w:rPr>
          <w:sz w:val="22"/>
          <w:szCs w:val="22"/>
        </w:rPr>
        <w:t xml:space="preserve"> reducing the corner depth to about 400 mm </w:t>
      </w:r>
      <w:r w:rsidR="00CF4FDF">
        <w:rPr>
          <w:sz w:val="22"/>
          <w:szCs w:val="22"/>
        </w:rPr>
        <w:t>reduced from existing 700mm depth between corner and opening.</w:t>
      </w:r>
    </w:p>
    <w:p w14:paraId="38A48563" w14:textId="77777777" w:rsidR="00462325" w:rsidRDefault="00462325" w:rsidP="0052246E">
      <w:pPr>
        <w:autoSpaceDE w:val="0"/>
        <w:autoSpaceDN w:val="0"/>
        <w:adjustRightInd w:val="0"/>
        <w:jc w:val="both"/>
        <w:rPr>
          <w:sz w:val="22"/>
          <w:szCs w:val="22"/>
        </w:rPr>
      </w:pPr>
    </w:p>
    <w:p w14:paraId="5280300E" w14:textId="136A2302" w:rsidR="009B42E3" w:rsidRPr="00194021" w:rsidRDefault="00462325" w:rsidP="0052246E">
      <w:pPr>
        <w:autoSpaceDE w:val="0"/>
        <w:autoSpaceDN w:val="0"/>
        <w:adjustRightInd w:val="0"/>
        <w:jc w:val="both"/>
        <w:rPr>
          <w:sz w:val="22"/>
          <w:szCs w:val="22"/>
        </w:rPr>
      </w:pPr>
      <w:r>
        <w:rPr>
          <w:sz w:val="22"/>
          <w:szCs w:val="22"/>
        </w:rPr>
        <w:lastRenderedPageBreak/>
        <w:t xml:space="preserve">I therefore consider that this opening is not acceptable due to loss of fabric and its impact on the </w:t>
      </w:r>
      <w:r w:rsidR="00BC0E13">
        <w:rPr>
          <w:sz w:val="22"/>
          <w:szCs w:val="22"/>
        </w:rPr>
        <w:t>structural</w:t>
      </w:r>
      <w:r>
        <w:rPr>
          <w:sz w:val="22"/>
          <w:szCs w:val="22"/>
        </w:rPr>
        <w:t xml:space="preserve"> integrity of the opening and corner of the building. This proposed enlarged opening and bi fold doors should be removed form the proposal due </w:t>
      </w:r>
      <w:r w:rsidR="00B94C2C">
        <w:rPr>
          <w:sz w:val="22"/>
          <w:szCs w:val="22"/>
        </w:rPr>
        <w:t>to</w:t>
      </w:r>
      <w:r>
        <w:rPr>
          <w:sz w:val="22"/>
          <w:szCs w:val="22"/>
        </w:rPr>
        <w:t xml:space="preserve"> this harm.</w:t>
      </w:r>
    </w:p>
    <w:p w14:paraId="5DB32F62" w14:textId="77777777" w:rsidR="0052246E" w:rsidRPr="00194021" w:rsidRDefault="0052246E" w:rsidP="0052246E">
      <w:pPr>
        <w:pStyle w:val="Letterbody"/>
        <w:rPr>
          <w:rFonts w:cs="Arial"/>
          <w:bCs/>
          <w:color w:val="FF0000"/>
          <w:sz w:val="22"/>
          <w:szCs w:val="22"/>
        </w:rPr>
      </w:pPr>
    </w:p>
    <w:p w14:paraId="27959DD8" w14:textId="77777777" w:rsidR="0052246E" w:rsidRPr="00B128F9" w:rsidRDefault="0052246E" w:rsidP="0052246E">
      <w:pPr>
        <w:pStyle w:val="Letterbody"/>
        <w:rPr>
          <w:rFonts w:cs="Arial"/>
          <w:sz w:val="22"/>
          <w:szCs w:val="22"/>
        </w:rPr>
      </w:pPr>
      <w:r w:rsidRPr="00B128F9">
        <w:rPr>
          <w:rFonts w:cs="Arial"/>
          <w:b/>
          <w:sz w:val="22"/>
          <w:szCs w:val="22"/>
        </w:rPr>
        <w:t>Summary &amp; conclusion</w:t>
      </w:r>
      <w:r w:rsidRPr="00B128F9">
        <w:rPr>
          <w:rFonts w:cs="Arial"/>
          <w:sz w:val="22"/>
          <w:szCs w:val="22"/>
        </w:rPr>
        <w:t xml:space="preserve">: The NPPF confirms that when considering the </w:t>
      </w:r>
      <w:r>
        <w:rPr>
          <w:rFonts w:cs="Arial"/>
          <w:sz w:val="22"/>
          <w:szCs w:val="22"/>
        </w:rPr>
        <w:t xml:space="preserve">potential </w:t>
      </w:r>
      <w:r w:rsidRPr="00B128F9">
        <w:rPr>
          <w:rFonts w:cs="Arial"/>
          <w:sz w:val="22"/>
          <w:szCs w:val="22"/>
        </w:rPr>
        <w:t xml:space="preserve">impact of a development </w:t>
      </w:r>
      <w:r>
        <w:rPr>
          <w:rFonts w:cs="Arial"/>
          <w:sz w:val="22"/>
          <w:szCs w:val="22"/>
        </w:rPr>
        <w:t xml:space="preserve">proposal </w:t>
      </w:r>
      <w:r w:rsidRPr="00B128F9">
        <w:rPr>
          <w:rFonts w:cs="Arial"/>
          <w:sz w:val="22"/>
          <w:szCs w:val="22"/>
        </w:rPr>
        <w:t xml:space="preserve">on the significance of a designated heritage asset, </w:t>
      </w:r>
      <w:r>
        <w:rPr>
          <w:rFonts w:cs="Arial"/>
          <w:sz w:val="22"/>
          <w:szCs w:val="22"/>
        </w:rPr>
        <w:t>substantial</w:t>
      </w:r>
      <w:r w:rsidRPr="00B128F9">
        <w:rPr>
          <w:rFonts w:cs="Arial"/>
          <w:sz w:val="22"/>
          <w:szCs w:val="22"/>
        </w:rPr>
        <w:t xml:space="preserve"> weight should be given to the asset’s conservation (and the more important the asset, the greater the weight should be). It makes clear that any harm to a designated heritage asset </w:t>
      </w:r>
      <w:r>
        <w:rPr>
          <w:rFonts w:cs="Arial"/>
          <w:sz w:val="22"/>
          <w:szCs w:val="22"/>
        </w:rPr>
        <w:t xml:space="preserve">will be a matter of considerable importance and weight which </w:t>
      </w:r>
      <w:r w:rsidRPr="00B128F9">
        <w:rPr>
          <w:rFonts w:cs="Arial"/>
          <w:sz w:val="22"/>
          <w:szCs w:val="22"/>
        </w:rPr>
        <w:t xml:space="preserve">requires clear and convincing justification. </w:t>
      </w:r>
    </w:p>
    <w:p w14:paraId="1C846235" w14:textId="77777777" w:rsidR="00B94C2C" w:rsidRDefault="00B94C2C" w:rsidP="00B94C2C">
      <w:pPr>
        <w:autoSpaceDE w:val="0"/>
        <w:autoSpaceDN w:val="0"/>
        <w:adjustRightInd w:val="0"/>
        <w:jc w:val="both"/>
        <w:rPr>
          <w:sz w:val="22"/>
          <w:szCs w:val="22"/>
        </w:rPr>
      </w:pPr>
    </w:p>
    <w:p w14:paraId="546B25B7" w14:textId="01119EB1" w:rsidR="00B94C2C" w:rsidRDefault="00B94C2C" w:rsidP="00B94C2C">
      <w:pPr>
        <w:autoSpaceDE w:val="0"/>
        <w:autoSpaceDN w:val="0"/>
        <w:adjustRightInd w:val="0"/>
        <w:jc w:val="both"/>
        <w:rPr>
          <w:sz w:val="22"/>
          <w:szCs w:val="22"/>
        </w:rPr>
      </w:pPr>
      <w:r>
        <w:rPr>
          <w:sz w:val="22"/>
          <w:szCs w:val="22"/>
        </w:rPr>
        <w:t xml:space="preserve">The </w:t>
      </w:r>
      <w:r w:rsidR="00E3709D">
        <w:rPr>
          <w:sz w:val="22"/>
          <w:szCs w:val="22"/>
        </w:rPr>
        <w:t xml:space="preserve">proposal to the south </w:t>
      </w:r>
      <w:r w:rsidR="00E3709D" w:rsidRPr="003F3B59">
        <w:rPr>
          <w:sz w:val="22"/>
          <w:szCs w:val="22"/>
        </w:rPr>
        <w:t xml:space="preserve">gable </w:t>
      </w:r>
      <w:r w:rsidR="00E3709D">
        <w:rPr>
          <w:sz w:val="22"/>
          <w:szCs w:val="22"/>
        </w:rPr>
        <w:t xml:space="preserve">from </w:t>
      </w:r>
      <w:r w:rsidR="00E3709D">
        <w:rPr>
          <w:sz w:val="22"/>
          <w:szCs w:val="22"/>
        </w:rPr>
        <w:t xml:space="preserve">French doors and </w:t>
      </w:r>
      <w:r w:rsidR="00E3709D" w:rsidRPr="003F3B59">
        <w:rPr>
          <w:sz w:val="22"/>
          <w:szCs w:val="22"/>
        </w:rPr>
        <w:t>window</w:t>
      </w:r>
      <w:r w:rsidR="00E3709D">
        <w:rPr>
          <w:sz w:val="22"/>
          <w:szCs w:val="22"/>
        </w:rPr>
        <w:t xml:space="preserve">s to be replaced with bi fold doors </w:t>
      </w:r>
      <w:r w:rsidR="00E3709D" w:rsidRPr="003F3B59">
        <w:rPr>
          <w:sz w:val="22"/>
          <w:szCs w:val="22"/>
        </w:rPr>
        <w:t>in</w:t>
      </w:r>
      <w:r w:rsidR="00E3709D">
        <w:rPr>
          <w:sz w:val="22"/>
          <w:szCs w:val="22"/>
        </w:rPr>
        <w:t xml:space="preserve"> the existing opening with similar timber joinery</w:t>
      </w:r>
      <w:r w:rsidR="00E3709D">
        <w:rPr>
          <w:sz w:val="22"/>
          <w:szCs w:val="22"/>
        </w:rPr>
        <w:t xml:space="preserve"> </w:t>
      </w:r>
      <w:r w:rsidR="00634601">
        <w:rPr>
          <w:sz w:val="22"/>
          <w:szCs w:val="22"/>
        </w:rPr>
        <w:t xml:space="preserve">will have a neutral impact. </w:t>
      </w:r>
    </w:p>
    <w:p w14:paraId="02D783F0" w14:textId="77777777" w:rsidR="00634601" w:rsidRDefault="00634601" w:rsidP="00B94C2C">
      <w:pPr>
        <w:autoSpaceDE w:val="0"/>
        <w:autoSpaceDN w:val="0"/>
        <w:adjustRightInd w:val="0"/>
        <w:jc w:val="both"/>
        <w:rPr>
          <w:sz w:val="22"/>
          <w:szCs w:val="22"/>
        </w:rPr>
      </w:pPr>
    </w:p>
    <w:p w14:paraId="57865490" w14:textId="3D85760E" w:rsidR="000215E5" w:rsidRPr="00194021" w:rsidRDefault="00634601" w:rsidP="000215E5">
      <w:pPr>
        <w:autoSpaceDE w:val="0"/>
        <w:autoSpaceDN w:val="0"/>
        <w:adjustRightInd w:val="0"/>
        <w:jc w:val="both"/>
        <w:rPr>
          <w:sz w:val="22"/>
          <w:szCs w:val="22"/>
        </w:rPr>
      </w:pPr>
      <w:r>
        <w:rPr>
          <w:sz w:val="22"/>
          <w:szCs w:val="22"/>
        </w:rPr>
        <w:t>The new lowered</w:t>
      </w:r>
      <w:r w:rsidR="000215E5">
        <w:rPr>
          <w:sz w:val="22"/>
          <w:szCs w:val="22"/>
        </w:rPr>
        <w:t xml:space="preserve"> </w:t>
      </w:r>
      <w:proofErr w:type="spellStart"/>
      <w:r w:rsidR="000215E5">
        <w:rPr>
          <w:sz w:val="22"/>
          <w:szCs w:val="22"/>
        </w:rPr>
        <w:t>cill</w:t>
      </w:r>
      <w:proofErr w:type="spellEnd"/>
      <w:r w:rsidR="000215E5">
        <w:rPr>
          <w:sz w:val="22"/>
          <w:szCs w:val="22"/>
        </w:rPr>
        <w:t xml:space="preserve"> </w:t>
      </w:r>
      <w:r>
        <w:rPr>
          <w:sz w:val="22"/>
          <w:szCs w:val="22"/>
        </w:rPr>
        <w:t>opening to</w:t>
      </w:r>
      <w:r w:rsidR="000215E5">
        <w:rPr>
          <w:sz w:val="22"/>
          <w:szCs w:val="22"/>
        </w:rPr>
        <w:t xml:space="preserve"> </w:t>
      </w:r>
      <w:r>
        <w:rPr>
          <w:sz w:val="22"/>
          <w:szCs w:val="22"/>
        </w:rPr>
        <w:t>th</w:t>
      </w:r>
      <w:r w:rsidR="000215E5">
        <w:rPr>
          <w:sz w:val="22"/>
          <w:szCs w:val="22"/>
        </w:rPr>
        <w:t xml:space="preserve">e existing window on </w:t>
      </w:r>
      <w:r w:rsidR="00171849">
        <w:rPr>
          <w:sz w:val="22"/>
          <w:szCs w:val="22"/>
        </w:rPr>
        <w:t>the east</w:t>
      </w:r>
      <w:r>
        <w:rPr>
          <w:sz w:val="22"/>
          <w:szCs w:val="22"/>
        </w:rPr>
        <w:t xml:space="preserve"> elevation o</w:t>
      </w:r>
      <w:r w:rsidR="000215E5">
        <w:rPr>
          <w:sz w:val="22"/>
          <w:szCs w:val="22"/>
        </w:rPr>
        <w:t>f</w:t>
      </w:r>
      <w:r>
        <w:rPr>
          <w:sz w:val="22"/>
          <w:szCs w:val="22"/>
        </w:rPr>
        <w:t xml:space="preserve"> the main block </w:t>
      </w:r>
      <w:r w:rsidR="000215E5">
        <w:rPr>
          <w:sz w:val="22"/>
          <w:szCs w:val="22"/>
        </w:rPr>
        <w:t>is not acceptable due to loss of fabric and its impact on the structural integrity of the opening and corner of the building. This proposed enlarged opening and bi fold doors should be removed form the proposal due to this harm.</w:t>
      </w:r>
    </w:p>
    <w:p w14:paraId="5766E9FC" w14:textId="77777777" w:rsidR="000215E5" w:rsidRPr="00194021" w:rsidRDefault="000215E5" w:rsidP="000215E5">
      <w:pPr>
        <w:pStyle w:val="Letterbody"/>
        <w:rPr>
          <w:rFonts w:cs="Arial"/>
          <w:bCs/>
          <w:color w:val="FF0000"/>
          <w:sz w:val="22"/>
          <w:szCs w:val="22"/>
        </w:rPr>
      </w:pPr>
    </w:p>
    <w:p w14:paraId="4B00E138" w14:textId="222B41F0" w:rsidR="00634601" w:rsidRDefault="00634601" w:rsidP="00B94C2C">
      <w:pPr>
        <w:autoSpaceDE w:val="0"/>
        <w:autoSpaceDN w:val="0"/>
        <w:adjustRightInd w:val="0"/>
        <w:jc w:val="both"/>
        <w:rPr>
          <w:sz w:val="22"/>
          <w:szCs w:val="22"/>
        </w:rPr>
      </w:pPr>
    </w:p>
    <w:p w14:paraId="44CDE380" w14:textId="77777777" w:rsidR="00614A53" w:rsidRDefault="00614A53"/>
    <w:sectPr w:rsidR="00614A53" w:rsidSect="0052246E">
      <w:pgSz w:w="11909" w:h="16834" w:code="9"/>
      <w:pgMar w:top="1701" w:right="561" w:bottom="1134" w:left="851" w:header="709" w:footer="709" w:gutter="0"/>
      <w:paperSrc w:first="1" w:other="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D22E74" w14:textId="77777777" w:rsidR="001C3BF4" w:rsidRDefault="001C3BF4" w:rsidP="00922F65">
      <w:r>
        <w:separator/>
      </w:r>
    </w:p>
  </w:endnote>
  <w:endnote w:type="continuationSeparator" w:id="0">
    <w:p w14:paraId="1DDA659D" w14:textId="77777777" w:rsidR="001C3BF4" w:rsidRDefault="001C3BF4" w:rsidP="00922F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5AB1BC" w14:textId="77777777" w:rsidR="001C3BF4" w:rsidRDefault="001C3BF4" w:rsidP="00922F65">
      <w:r>
        <w:separator/>
      </w:r>
    </w:p>
  </w:footnote>
  <w:footnote w:type="continuationSeparator" w:id="0">
    <w:p w14:paraId="6540660E" w14:textId="77777777" w:rsidR="001C3BF4" w:rsidRDefault="001C3BF4" w:rsidP="00922F6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5A63DB8"/>
    <w:multiLevelType w:val="multilevel"/>
    <w:tmpl w:val="138418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481396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246E"/>
    <w:rsid w:val="000215E5"/>
    <w:rsid w:val="000337AB"/>
    <w:rsid w:val="00085C09"/>
    <w:rsid w:val="000C43EB"/>
    <w:rsid w:val="00171849"/>
    <w:rsid w:val="001871BD"/>
    <w:rsid w:val="00194021"/>
    <w:rsid w:val="001C3BF4"/>
    <w:rsid w:val="002764FC"/>
    <w:rsid w:val="002F59BF"/>
    <w:rsid w:val="00337424"/>
    <w:rsid w:val="00346762"/>
    <w:rsid w:val="003C4EBF"/>
    <w:rsid w:val="003D679D"/>
    <w:rsid w:val="003F3B59"/>
    <w:rsid w:val="00462325"/>
    <w:rsid w:val="0052246E"/>
    <w:rsid w:val="005652A4"/>
    <w:rsid w:val="00614A53"/>
    <w:rsid w:val="00634601"/>
    <w:rsid w:val="006648E9"/>
    <w:rsid w:val="006B6698"/>
    <w:rsid w:val="007704A7"/>
    <w:rsid w:val="00822429"/>
    <w:rsid w:val="00922F65"/>
    <w:rsid w:val="00956E25"/>
    <w:rsid w:val="00963C3D"/>
    <w:rsid w:val="00980486"/>
    <w:rsid w:val="009B42E3"/>
    <w:rsid w:val="009D6C90"/>
    <w:rsid w:val="00A40DD6"/>
    <w:rsid w:val="00A66A91"/>
    <w:rsid w:val="00AA02A9"/>
    <w:rsid w:val="00AE4BBF"/>
    <w:rsid w:val="00B5795A"/>
    <w:rsid w:val="00B61BB6"/>
    <w:rsid w:val="00B855F4"/>
    <w:rsid w:val="00B94C2C"/>
    <w:rsid w:val="00BC0E13"/>
    <w:rsid w:val="00C123D5"/>
    <w:rsid w:val="00CA02B1"/>
    <w:rsid w:val="00CF4FDF"/>
    <w:rsid w:val="00D71ED3"/>
    <w:rsid w:val="00DC455D"/>
    <w:rsid w:val="00E06F9C"/>
    <w:rsid w:val="00E37075"/>
    <w:rsid w:val="00E3709D"/>
    <w:rsid w:val="00E80EDA"/>
    <w:rsid w:val="00F44395"/>
    <w:rsid w:val="00F577A5"/>
    <w:rsid w:val="00F85ADE"/>
    <w:rsid w:val="00FB4A3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819EA7"/>
  <w15:chartTrackingRefBased/>
  <w15:docId w15:val="{51C564D9-1104-4EAD-AC86-71D54BC125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2246E"/>
    <w:pPr>
      <w:spacing w:after="0" w:line="240" w:lineRule="auto"/>
    </w:pPr>
    <w:rPr>
      <w:rFonts w:ascii="Arial" w:eastAsia="Times New Roman" w:hAnsi="Arial" w:cs="Times New Roman"/>
      <w:color w:val="000000"/>
      <w:kern w:val="0"/>
      <w:szCs w:val="20"/>
      <w:lang w:eastAsia="en-GB"/>
      <w14:ligatures w14:val="none"/>
    </w:rPr>
  </w:style>
  <w:style w:type="paragraph" w:styleId="Heading1">
    <w:name w:val="heading 1"/>
    <w:basedOn w:val="Normal"/>
    <w:next w:val="Normal"/>
    <w:link w:val="Heading1Char"/>
    <w:uiPriority w:val="9"/>
    <w:qFormat/>
    <w:rsid w:val="0052246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2246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2246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2246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2246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2246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2246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2246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2246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2246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2246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2246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2246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2246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2246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2246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2246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2246E"/>
    <w:rPr>
      <w:rFonts w:eastAsiaTheme="majorEastAsia" w:cstheme="majorBidi"/>
      <w:color w:val="272727" w:themeColor="text1" w:themeTint="D8"/>
    </w:rPr>
  </w:style>
  <w:style w:type="paragraph" w:styleId="Title">
    <w:name w:val="Title"/>
    <w:basedOn w:val="Normal"/>
    <w:next w:val="Normal"/>
    <w:link w:val="TitleChar"/>
    <w:uiPriority w:val="10"/>
    <w:qFormat/>
    <w:rsid w:val="0052246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2246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2246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2246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2246E"/>
    <w:pPr>
      <w:spacing w:before="160"/>
      <w:jc w:val="center"/>
    </w:pPr>
    <w:rPr>
      <w:i/>
      <w:iCs/>
      <w:color w:val="404040" w:themeColor="text1" w:themeTint="BF"/>
    </w:rPr>
  </w:style>
  <w:style w:type="character" w:customStyle="1" w:styleId="QuoteChar">
    <w:name w:val="Quote Char"/>
    <w:basedOn w:val="DefaultParagraphFont"/>
    <w:link w:val="Quote"/>
    <w:uiPriority w:val="29"/>
    <w:rsid w:val="0052246E"/>
    <w:rPr>
      <w:i/>
      <w:iCs/>
      <w:color w:val="404040" w:themeColor="text1" w:themeTint="BF"/>
    </w:rPr>
  </w:style>
  <w:style w:type="paragraph" w:styleId="ListParagraph">
    <w:name w:val="List Paragraph"/>
    <w:basedOn w:val="Normal"/>
    <w:uiPriority w:val="34"/>
    <w:qFormat/>
    <w:rsid w:val="0052246E"/>
    <w:pPr>
      <w:ind w:left="720"/>
      <w:contextualSpacing/>
    </w:pPr>
  </w:style>
  <w:style w:type="character" w:styleId="IntenseEmphasis">
    <w:name w:val="Intense Emphasis"/>
    <w:basedOn w:val="DefaultParagraphFont"/>
    <w:uiPriority w:val="21"/>
    <w:qFormat/>
    <w:rsid w:val="0052246E"/>
    <w:rPr>
      <w:i/>
      <w:iCs/>
      <w:color w:val="0F4761" w:themeColor="accent1" w:themeShade="BF"/>
    </w:rPr>
  </w:style>
  <w:style w:type="paragraph" w:styleId="IntenseQuote">
    <w:name w:val="Intense Quote"/>
    <w:basedOn w:val="Normal"/>
    <w:next w:val="Normal"/>
    <w:link w:val="IntenseQuoteChar"/>
    <w:uiPriority w:val="30"/>
    <w:qFormat/>
    <w:rsid w:val="0052246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2246E"/>
    <w:rPr>
      <w:i/>
      <w:iCs/>
      <w:color w:val="0F4761" w:themeColor="accent1" w:themeShade="BF"/>
    </w:rPr>
  </w:style>
  <w:style w:type="character" w:styleId="IntenseReference">
    <w:name w:val="Intense Reference"/>
    <w:basedOn w:val="DefaultParagraphFont"/>
    <w:uiPriority w:val="32"/>
    <w:qFormat/>
    <w:rsid w:val="0052246E"/>
    <w:rPr>
      <w:b/>
      <w:bCs/>
      <w:smallCaps/>
      <w:color w:val="0F4761" w:themeColor="accent1" w:themeShade="BF"/>
      <w:spacing w:val="5"/>
    </w:rPr>
  </w:style>
  <w:style w:type="paragraph" w:customStyle="1" w:styleId="Letterbody">
    <w:name w:val="Letter body"/>
    <w:basedOn w:val="Normal"/>
    <w:rsid w:val="0052246E"/>
    <w:pPr>
      <w:tabs>
        <w:tab w:val="left" w:pos="1701"/>
      </w:tabs>
      <w:jc w:val="both"/>
    </w:pPr>
    <w:rPr>
      <w:color w:val="auto"/>
    </w:rPr>
  </w:style>
  <w:style w:type="paragraph" w:styleId="NormalWeb">
    <w:name w:val="Normal (Web)"/>
    <w:basedOn w:val="Normal"/>
    <w:uiPriority w:val="99"/>
    <w:unhideWhenUsed/>
    <w:rsid w:val="0052246E"/>
    <w:pPr>
      <w:spacing w:before="100" w:beforeAutospacing="1" w:after="100" w:afterAutospacing="1"/>
    </w:pPr>
    <w:rPr>
      <w:rFonts w:ascii="Times New Roman" w:hAnsi="Times New Roman"/>
      <w:color w:val="auto"/>
      <w:szCs w:val="24"/>
    </w:rPr>
  </w:style>
  <w:style w:type="paragraph" w:styleId="Header">
    <w:name w:val="header"/>
    <w:basedOn w:val="Normal"/>
    <w:link w:val="HeaderChar"/>
    <w:uiPriority w:val="99"/>
    <w:semiHidden/>
    <w:unhideWhenUsed/>
    <w:rsid w:val="00922F65"/>
    <w:pPr>
      <w:tabs>
        <w:tab w:val="center" w:pos="4513"/>
        <w:tab w:val="right" w:pos="9026"/>
      </w:tabs>
    </w:pPr>
  </w:style>
  <w:style w:type="character" w:customStyle="1" w:styleId="HeaderChar">
    <w:name w:val="Header Char"/>
    <w:basedOn w:val="DefaultParagraphFont"/>
    <w:link w:val="Header"/>
    <w:uiPriority w:val="99"/>
    <w:semiHidden/>
    <w:rsid w:val="00922F65"/>
    <w:rPr>
      <w:rFonts w:ascii="Arial" w:eastAsia="Times New Roman" w:hAnsi="Arial" w:cs="Times New Roman"/>
      <w:color w:val="000000"/>
      <w:kern w:val="0"/>
      <w:szCs w:val="20"/>
      <w:lang w:eastAsia="en-GB"/>
      <w14:ligatures w14:val="none"/>
    </w:rPr>
  </w:style>
  <w:style w:type="paragraph" w:styleId="Footer">
    <w:name w:val="footer"/>
    <w:basedOn w:val="Normal"/>
    <w:link w:val="FooterChar"/>
    <w:uiPriority w:val="99"/>
    <w:semiHidden/>
    <w:unhideWhenUsed/>
    <w:rsid w:val="00922F65"/>
    <w:pPr>
      <w:tabs>
        <w:tab w:val="center" w:pos="4513"/>
        <w:tab w:val="right" w:pos="9026"/>
      </w:tabs>
    </w:pPr>
  </w:style>
  <w:style w:type="character" w:customStyle="1" w:styleId="FooterChar">
    <w:name w:val="Footer Char"/>
    <w:basedOn w:val="DefaultParagraphFont"/>
    <w:link w:val="Footer"/>
    <w:uiPriority w:val="99"/>
    <w:semiHidden/>
    <w:rsid w:val="00922F65"/>
    <w:rPr>
      <w:rFonts w:ascii="Arial" w:eastAsia="Times New Roman" w:hAnsi="Arial" w:cs="Times New Roman"/>
      <w:color w:val="000000"/>
      <w:kern w:val="0"/>
      <w:szCs w:val="20"/>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76</TotalTime>
  <Pages>4</Pages>
  <Words>1626</Words>
  <Characters>9274</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Marsh, Alex</dc:creator>
  <cp:keywords/>
  <dc:description/>
  <cp:lastModifiedBy>Marsh, Alex</cp:lastModifiedBy>
  <cp:revision>48</cp:revision>
  <dcterms:created xsi:type="dcterms:W3CDTF">2026-09-23T09:03:00Z</dcterms:created>
  <dcterms:modified xsi:type="dcterms:W3CDTF">2026-09-23T10:19:00Z</dcterms:modified>
</cp:coreProperties>
</file>