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01E75941" w14:textId="77777777" w:rsidR="000E38BA" w:rsidRPr="00097010" w:rsidRDefault="000E38BA" w:rsidP="00A20E02">
      <w:pPr>
        <w:spacing w:line="276" w:lineRule="auto"/>
        <w:rPr>
          <w:rFonts w:ascii="Arial" w:hAnsi="Arial" w:cs="Arial"/>
          <w:b/>
          <w:bCs/>
          <w:sz w:val="28"/>
          <w:szCs w:val="28"/>
        </w:rPr>
      </w:pPr>
      <w:r w:rsidRPr="00097010">
        <w:rPr>
          <w:rFonts w:ascii="Arial" w:hAnsi="Arial" w:cs="Arial"/>
          <w:b/>
          <w:bCs/>
          <w:sz w:val="28"/>
          <w:szCs w:val="28"/>
        </w:rPr>
        <w:t xml:space="preserve">APPLICATION </w:t>
      </w:r>
      <w:r w:rsidRPr="00E3482B">
        <w:rPr>
          <w:rFonts w:ascii="Arial" w:hAnsi="Arial" w:cs="Arial"/>
          <w:b/>
          <w:bCs/>
          <w:sz w:val="28"/>
          <w:szCs w:val="28"/>
        </w:rPr>
        <w:t>FOR HOUSEHOLDER PLANNING PERMISSION</w:t>
      </w:r>
    </w:p>
    <w:p w14:paraId="2357C74A" w14:textId="77777777" w:rsidR="000E38BA" w:rsidRDefault="000E38BA" w:rsidP="00A20E02">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A20E02">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4A5819BE" w:rsidR="000E38BA" w:rsidRPr="00705C11" w:rsidRDefault="001F755D" w:rsidP="00A20E02">
            <w:pPr>
              <w:spacing w:line="276" w:lineRule="auto"/>
              <w:rPr>
                <w:rFonts w:ascii="Arial" w:hAnsi="Arial" w:cs="Arial"/>
                <w:sz w:val="22"/>
                <w:szCs w:val="22"/>
                <w:lang w:eastAsia="en-GB"/>
              </w:rPr>
            </w:pPr>
            <w:r w:rsidRPr="00705C11">
              <w:rPr>
                <w:rFonts w:ascii="Arial" w:hAnsi="Arial" w:cs="Arial"/>
                <w:sz w:val="22"/>
                <w:szCs w:val="22"/>
                <w:lang w:val="en-GB" w:eastAsia="en-GB"/>
              </w:rPr>
              <w:t>PL/2026/04836</w:t>
            </w:r>
          </w:p>
        </w:tc>
      </w:tr>
      <w:tr w:rsidR="000E38BA" w14:paraId="14619158" w14:textId="77777777" w:rsidTr="00A4573C">
        <w:tc>
          <w:tcPr>
            <w:tcW w:w="3681" w:type="dxa"/>
          </w:tcPr>
          <w:p w14:paraId="00A1990E"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67E1ED67" w:rsidR="000E38BA" w:rsidRPr="00705C11" w:rsidRDefault="00A271B5" w:rsidP="00A20E02">
            <w:pPr>
              <w:spacing w:line="276" w:lineRule="auto"/>
              <w:rPr>
                <w:rFonts w:ascii="Arial" w:hAnsi="Arial" w:cs="Arial"/>
                <w:b/>
                <w:bCs/>
                <w:sz w:val="22"/>
                <w:szCs w:val="22"/>
                <w:lang w:eastAsia="en-GB"/>
              </w:rPr>
            </w:pPr>
            <w:r w:rsidRPr="00705C11">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26216DBD" w:rsidR="000E38BA" w:rsidRPr="00705C11" w:rsidRDefault="001F755D" w:rsidP="00A20E02">
            <w:pPr>
              <w:spacing w:line="276" w:lineRule="auto"/>
              <w:rPr>
                <w:rFonts w:ascii="Arial" w:hAnsi="Arial" w:cs="Arial"/>
                <w:b/>
                <w:bCs/>
                <w:sz w:val="22"/>
                <w:szCs w:val="22"/>
                <w:lang w:eastAsia="en-GB"/>
              </w:rPr>
            </w:pPr>
            <w:r w:rsidRPr="00705C11">
              <w:rPr>
                <w:rFonts w:ascii="Arial" w:hAnsi="Arial" w:cs="Arial"/>
                <w:sz w:val="22"/>
                <w:szCs w:val="22"/>
                <w:lang w:val="en-GB" w:eastAsia="en-GB"/>
              </w:rPr>
              <w:t>115 Station Road, Westbury, BA13 4HN</w:t>
            </w:r>
          </w:p>
        </w:tc>
      </w:tr>
      <w:tr w:rsidR="000E38BA" w14:paraId="2AEB40D9" w14:textId="77777777" w:rsidTr="00A4573C">
        <w:tc>
          <w:tcPr>
            <w:tcW w:w="3681" w:type="dxa"/>
          </w:tcPr>
          <w:p w14:paraId="4F8BB377" w14:textId="77777777" w:rsidR="000E38BA" w:rsidRDefault="000E38BA" w:rsidP="00A20E02">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4F363D59" w:rsidR="000E38BA" w:rsidRPr="00705C11" w:rsidRDefault="00705C11" w:rsidP="00A20E02">
            <w:pPr>
              <w:spacing w:line="276" w:lineRule="auto"/>
              <w:rPr>
                <w:rFonts w:ascii="Arial" w:hAnsi="Arial" w:cs="Arial"/>
                <w:b/>
                <w:bCs/>
                <w:sz w:val="22"/>
                <w:szCs w:val="22"/>
                <w:lang w:eastAsia="en-GB"/>
              </w:rPr>
            </w:pPr>
            <w:r w:rsidRPr="00705C11">
              <w:rPr>
                <w:rFonts w:ascii="Arial" w:hAnsi="Arial" w:cs="Arial"/>
                <w:sz w:val="22"/>
                <w:szCs w:val="22"/>
                <w:lang w:val="en-GB" w:eastAsia="en-GB"/>
              </w:rPr>
              <w:t>Proposed Replacement Single Storey Rear/Side Extension</w:t>
            </w:r>
          </w:p>
        </w:tc>
      </w:tr>
      <w:tr w:rsidR="000E38BA" w14:paraId="4BF33E98" w14:textId="77777777" w:rsidTr="00A4573C">
        <w:tc>
          <w:tcPr>
            <w:tcW w:w="3681" w:type="dxa"/>
          </w:tcPr>
          <w:p w14:paraId="1E2382CD"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Pr="00705C11" w:rsidRDefault="000E38BA" w:rsidP="00A20E02">
            <w:pPr>
              <w:spacing w:line="276" w:lineRule="auto"/>
              <w:rPr>
                <w:rFonts w:ascii="Arial" w:hAnsi="Arial" w:cs="Arial"/>
                <w:b/>
                <w:bCs/>
                <w:sz w:val="22"/>
                <w:szCs w:val="22"/>
                <w:lang w:eastAsia="en-GB"/>
              </w:rPr>
            </w:pPr>
            <w:r w:rsidRPr="00705C11">
              <w:rPr>
                <w:rFonts w:ascii="Arial" w:hAnsi="Arial" w:cs="Arial"/>
                <w:b/>
                <w:bCs/>
                <w:sz w:val="22"/>
                <w:szCs w:val="22"/>
                <w:lang w:eastAsia="en-GB"/>
              </w:rPr>
              <w:t>That Planning Permission be GRANTED</w:t>
            </w:r>
          </w:p>
        </w:tc>
      </w:tr>
    </w:tbl>
    <w:p w14:paraId="372C36BE" w14:textId="77777777" w:rsidR="000E38BA" w:rsidRDefault="000E38BA" w:rsidP="00A20E02">
      <w:pPr>
        <w:tabs>
          <w:tab w:val="left" w:pos="2520"/>
        </w:tabs>
        <w:spacing w:line="276" w:lineRule="auto"/>
        <w:rPr>
          <w:rFonts w:ascii="Arial" w:hAnsi="Arial" w:cs="Arial"/>
          <w:b/>
          <w:color w:val="FF0000"/>
          <w:sz w:val="22"/>
          <w:szCs w:val="22"/>
        </w:rPr>
      </w:pPr>
    </w:p>
    <w:p w14:paraId="5A9DC3B5" w14:textId="52BCBD93" w:rsidR="000E38BA" w:rsidRPr="005A66C3" w:rsidRDefault="00264FC0" w:rsidP="00264FC0">
      <w:pPr>
        <w:tabs>
          <w:tab w:val="left" w:pos="2520"/>
        </w:tabs>
        <w:spacing w:line="276" w:lineRule="auto"/>
        <w:jc w:val="center"/>
        <w:rPr>
          <w:rFonts w:ascii="Arial" w:hAnsi="Arial" w:cs="Arial"/>
          <w:bCs/>
          <w:sz w:val="22"/>
          <w:szCs w:val="22"/>
        </w:rPr>
      </w:pPr>
      <w:r w:rsidRPr="00264FC0">
        <w:rPr>
          <w:rFonts w:ascii="Arial" w:hAnsi="Arial" w:cs="Arial"/>
          <w:b/>
          <w:color w:val="FF0000"/>
          <w:sz w:val="22"/>
          <w:szCs w:val="22"/>
        </w:rPr>
        <w:drawing>
          <wp:inline distT="0" distB="0" distL="0" distR="0" wp14:anchorId="2DC1975B" wp14:editId="1E373F2B">
            <wp:extent cx="2337683" cy="2326991"/>
            <wp:effectExtent l="0" t="0" r="5715" b="0"/>
            <wp:docPr id="340197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97142" name=""/>
                    <pic:cNvPicPr/>
                  </pic:nvPicPr>
                  <pic:blipFill>
                    <a:blip r:embed="rId5"/>
                    <a:stretch>
                      <a:fillRect/>
                    </a:stretch>
                  </pic:blipFill>
                  <pic:spPr>
                    <a:xfrm>
                      <a:off x="0" y="0"/>
                      <a:ext cx="2357128" cy="2346347"/>
                    </a:xfrm>
                    <a:prstGeom prst="rect">
                      <a:avLst/>
                    </a:prstGeom>
                  </pic:spPr>
                </pic:pic>
              </a:graphicData>
            </a:graphic>
          </wp:inline>
        </w:drawing>
      </w:r>
    </w:p>
    <w:p w14:paraId="74BDDB32" w14:textId="577B36DE" w:rsidR="00B20C1F" w:rsidRPr="005A66C3" w:rsidRDefault="000E38BA" w:rsidP="005A66C3">
      <w:pPr>
        <w:spacing w:line="276" w:lineRule="auto"/>
        <w:rPr>
          <w:rFonts w:ascii="Arial" w:hAnsi="Arial" w:cs="Arial"/>
          <w:b/>
          <w:bCs/>
          <w:sz w:val="22"/>
          <w:szCs w:val="22"/>
        </w:rPr>
      </w:pPr>
      <w:r w:rsidRPr="005A66C3">
        <w:rPr>
          <w:rFonts w:ascii="Arial" w:hAnsi="Arial" w:cs="Arial"/>
          <w:b/>
          <w:bCs/>
          <w:sz w:val="22"/>
          <w:szCs w:val="22"/>
        </w:rPr>
        <w:t>PROPOSAL</w:t>
      </w:r>
    </w:p>
    <w:p w14:paraId="66AFB07D" w14:textId="77777777" w:rsidR="0081484B" w:rsidRDefault="0081484B" w:rsidP="005A66C3">
      <w:pPr>
        <w:spacing w:line="276" w:lineRule="auto"/>
        <w:rPr>
          <w:rFonts w:ascii="Arial" w:hAnsi="Arial" w:cs="Arial"/>
          <w:sz w:val="22"/>
          <w:szCs w:val="22"/>
        </w:rPr>
      </w:pPr>
    </w:p>
    <w:p w14:paraId="28AE561C" w14:textId="6BE05DC2" w:rsidR="008C2CBB" w:rsidRDefault="00116153" w:rsidP="005A66C3">
      <w:pPr>
        <w:pStyle w:val="NoSpacing"/>
        <w:spacing w:line="276" w:lineRule="auto"/>
      </w:pPr>
      <w:r w:rsidRPr="00116153">
        <w:t>The application seeks planning permission for the replacement of an existing single-storey porch/conservatory-style extension located between the rear elevation of the dwelling and the existing two-storey side extension. The existing structure, comprising primarily uPVC framing above a low brick wall with a lightweight pitched roof, would be removed and replaced with a more substantial single-storey rear extension projecting approximately 1 metre further from the rear elevation. The proposed extension would incorporate red brick elevations, a pitched roof finished with Redland Regent tiles, white uPVC windows and rainwater goods, anthracite aluminium doors, rooflights and associated fenestration alterations to facilitate internal remodelling works. The development would create an enlarged open-plan kitchen and dining area through the reconfiguration of existing internal accommodation.</w:t>
      </w:r>
    </w:p>
    <w:p w14:paraId="750B65B1" w14:textId="77777777" w:rsidR="00116153" w:rsidRPr="005A66C3" w:rsidRDefault="00116153" w:rsidP="005A66C3">
      <w:pPr>
        <w:pStyle w:val="NoSpacing"/>
        <w:spacing w:line="276" w:lineRule="auto"/>
      </w:pPr>
    </w:p>
    <w:p w14:paraId="69CD5645" w14:textId="413B2DC3" w:rsidR="001E210B" w:rsidRPr="005A66C3" w:rsidRDefault="00FB1E29" w:rsidP="005A66C3">
      <w:pPr>
        <w:spacing w:line="276" w:lineRule="auto"/>
        <w:rPr>
          <w:rFonts w:ascii="Arial" w:hAnsi="Arial" w:cs="Arial"/>
          <w:b/>
          <w:bCs/>
          <w:sz w:val="22"/>
          <w:szCs w:val="22"/>
        </w:rPr>
      </w:pPr>
      <w:r w:rsidRPr="005A66C3">
        <w:rPr>
          <w:rFonts w:ascii="Arial" w:hAnsi="Arial" w:cs="Arial"/>
          <w:b/>
          <w:bCs/>
          <w:sz w:val="22"/>
          <w:szCs w:val="22"/>
        </w:rPr>
        <w:t>SITE DESCRIPTION / CONTEXT</w:t>
      </w:r>
    </w:p>
    <w:p w14:paraId="746A2167" w14:textId="77777777" w:rsidR="00C77C50" w:rsidRDefault="00C77C50" w:rsidP="00935D75">
      <w:pPr>
        <w:spacing w:line="276" w:lineRule="auto"/>
        <w:jc w:val="both"/>
        <w:rPr>
          <w:rFonts w:ascii="Arial" w:hAnsi="Arial" w:cs="Arial"/>
          <w:color w:val="FF0000"/>
          <w:sz w:val="22"/>
          <w:szCs w:val="22"/>
        </w:rPr>
      </w:pPr>
    </w:p>
    <w:p w14:paraId="049E92FE" w14:textId="1F2FD60B" w:rsidR="00E218E6" w:rsidRDefault="00935D75" w:rsidP="00935D75">
      <w:pPr>
        <w:spacing w:line="276" w:lineRule="auto"/>
        <w:jc w:val="both"/>
        <w:rPr>
          <w:rFonts w:ascii="Arial" w:hAnsi="Arial" w:cs="Arial"/>
          <w:sz w:val="22"/>
          <w:szCs w:val="22"/>
        </w:rPr>
      </w:pPr>
      <w:r w:rsidRPr="00935D75">
        <w:rPr>
          <w:rFonts w:ascii="Arial" w:hAnsi="Arial" w:cs="Arial"/>
          <w:sz w:val="22"/>
          <w:szCs w:val="22"/>
        </w:rPr>
        <w:t>The application site relates to No. 115 Station Road, a two-storey dwelling situated within an established residential area of Westbury characterised by a mix of detached and semi-detached dwellings of varying ages and designs. The property lies within the Westbury Settlement Boundary, where residential development is supported in principle subject to detailed planning considerations. The site is located within the Salisbury Plain SPA 6.4km Buffer, the Bath and Bradford-on-Avon Bats SAC Core Roost Buffer and the Trowbridge and Westbury Bat Mitigation Strategy Grey Zone. The Council's Strategic Flood Risk Assessment identifies the site as being at negligible risk from surface water and groundwater flooding, while the land is located within Flood Zone 1. The application relates solely to works within the existing residential curtilage.</w:t>
      </w:r>
    </w:p>
    <w:p w14:paraId="5F4D4DFC" w14:textId="77777777" w:rsidR="002D0D78" w:rsidRPr="005A66C3" w:rsidRDefault="002D0D78" w:rsidP="005A66C3">
      <w:pPr>
        <w:spacing w:line="276" w:lineRule="auto"/>
        <w:rPr>
          <w:rFonts w:ascii="Arial" w:hAnsi="Arial" w:cs="Arial"/>
          <w:sz w:val="22"/>
          <w:szCs w:val="22"/>
        </w:rPr>
      </w:pPr>
    </w:p>
    <w:p w14:paraId="7BE08CA6" w14:textId="1BB123C2" w:rsidR="00E85E15" w:rsidRPr="005A66C3" w:rsidRDefault="00E85E15" w:rsidP="005A66C3">
      <w:pPr>
        <w:spacing w:line="276" w:lineRule="auto"/>
        <w:rPr>
          <w:rFonts w:ascii="Arial" w:hAnsi="Arial" w:cs="Arial"/>
          <w:b/>
          <w:bCs/>
          <w:sz w:val="22"/>
          <w:szCs w:val="22"/>
        </w:rPr>
      </w:pPr>
      <w:r w:rsidRPr="005A66C3">
        <w:rPr>
          <w:rFonts w:ascii="Arial" w:hAnsi="Arial" w:cs="Arial"/>
          <w:b/>
          <w:bCs/>
          <w:sz w:val="22"/>
          <w:szCs w:val="22"/>
        </w:rPr>
        <w:lastRenderedPageBreak/>
        <w:t>PLANNING HISTORY</w:t>
      </w:r>
    </w:p>
    <w:p w14:paraId="06669595" w14:textId="77777777" w:rsidR="00C848E4" w:rsidRPr="005A66C3" w:rsidRDefault="00C848E4" w:rsidP="005A66C3">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38"/>
        <w:gridCol w:w="5954"/>
        <w:gridCol w:w="2638"/>
      </w:tblGrid>
      <w:tr w:rsidR="00C848E4" w:rsidRPr="005A66C3" w14:paraId="5463C585" w14:textId="77777777" w:rsidTr="00532E0B">
        <w:tc>
          <w:tcPr>
            <w:tcW w:w="1838" w:type="dxa"/>
            <w:shd w:val="clear" w:color="auto" w:fill="F2F2F2" w:themeFill="background1" w:themeFillShade="F2"/>
          </w:tcPr>
          <w:p w14:paraId="28852B27"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Decision</w:t>
            </w:r>
          </w:p>
        </w:tc>
      </w:tr>
      <w:tr w:rsidR="00C848E4" w:rsidRPr="005A66C3" w14:paraId="6391EEE9" w14:textId="77777777" w:rsidTr="00532E0B">
        <w:tc>
          <w:tcPr>
            <w:tcW w:w="1838" w:type="dxa"/>
          </w:tcPr>
          <w:p w14:paraId="129D6CF1" w14:textId="449468BD" w:rsidR="00C848E4" w:rsidRPr="005A66C3" w:rsidRDefault="00585116" w:rsidP="005A66C3">
            <w:pPr>
              <w:spacing w:line="276" w:lineRule="auto"/>
              <w:rPr>
                <w:rFonts w:ascii="Arial" w:hAnsi="Arial" w:cs="Arial"/>
                <w:sz w:val="22"/>
                <w:szCs w:val="22"/>
              </w:rPr>
            </w:pPr>
            <w:r w:rsidRPr="00585116">
              <w:rPr>
                <w:rFonts w:ascii="Arial" w:hAnsi="Arial" w:cs="Arial"/>
                <w:sz w:val="22"/>
                <w:szCs w:val="22"/>
              </w:rPr>
              <w:t>PL/2026/00222</w:t>
            </w:r>
          </w:p>
        </w:tc>
        <w:tc>
          <w:tcPr>
            <w:tcW w:w="5954" w:type="dxa"/>
          </w:tcPr>
          <w:p w14:paraId="3C690310" w14:textId="789A13EF" w:rsidR="00C848E4" w:rsidRPr="005A66C3" w:rsidRDefault="002C0933" w:rsidP="005A66C3">
            <w:pPr>
              <w:spacing w:line="276" w:lineRule="auto"/>
              <w:rPr>
                <w:rFonts w:ascii="Arial" w:hAnsi="Arial" w:cs="Arial"/>
                <w:sz w:val="22"/>
                <w:szCs w:val="22"/>
              </w:rPr>
            </w:pPr>
            <w:r w:rsidRPr="002C0933">
              <w:rPr>
                <w:rFonts w:ascii="Arial" w:hAnsi="Arial" w:cs="Arial"/>
                <w:sz w:val="22"/>
                <w:szCs w:val="22"/>
              </w:rPr>
              <w:t>Proposed New Dwelling &amp; Associated Landscaping</w:t>
            </w:r>
          </w:p>
        </w:tc>
        <w:tc>
          <w:tcPr>
            <w:tcW w:w="2638" w:type="dxa"/>
          </w:tcPr>
          <w:p w14:paraId="23A7486B" w14:textId="16C62D23" w:rsidR="00C848E4" w:rsidRPr="005A66C3" w:rsidRDefault="002C0933" w:rsidP="005A66C3">
            <w:pPr>
              <w:spacing w:line="276" w:lineRule="auto"/>
              <w:rPr>
                <w:rFonts w:ascii="Arial" w:hAnsi="Arial" w:cs="Arial"/>
                <w:sz w:val="22"/>
                <w:szCs w:val="22"/>
              </w:rPr>
            </w:pPr>
            <w:r>
              <w:rPr>
                <w:rFonts w:ascii="Arial" w:hAnsi="Arial" w:cs="Arial"/>
                <w:sz w:val="22"/>
                <w:szCs w:val="22"/>
              </w:rPr>
              <w:t>Approved</w:t>
            </w:r>
          </w:p>
        </w:tc>
      </w:tr>
    </w:tbl>
    <w:p w14:paraId="09A6C555" w14:textId="4EA4E8A4" w:rsidR="00C25413" w:rsidRPr="005A66C3" w:rsidRDefault="00C25413" w:rsidP="005A66C3">
      <w:pPr>
        <w:spacing w:line="276" w:lineRule="auto"/>
        <w:rPr>
          <w:rFonts w:ascii="Arial" w:hAnsi="Arial" w:cs="Arial"/>
          <w:sz w:val="22"/>
          <w:szCs w:val="22"/>
        </w:rPr>
      </w:pPr>
    </w:p>
    <w:p w14:paraId="572325BE" w14:textId="77777777" w:rsidR="003B136F" w:rsidRPr="005A66C3" w:rsidRDefault="003B136F" w:rsidP="005A66C3">
      <w:pPr>
        <w:spacing w:line="276" w:lineRule="auto"/>
        <w:rPr>
          <w:rFonts w:ascii="Arial" w:hAnsi="Arial" w:cs="Arial"/>
          <w:b/>
          <w:sz w:val="22"/>
          <w:szCs w:val="22"/>
        </w:rPr>
      </w:pPr>
    </w:p>
    <w:p w14:paraId="4EB3B583" w14:textId="104B9481" w:rsidR="005C30A6" w:rsidRPr="005A66C3" w:rsidRDefault="00303570" w:rsidP="005A66C3">
      <w:pPr>
        <w:spacing w:line="276" w:lineRule="auto"/>
        <w:rPr>
          <w:rFonts w:ascii="Arial" w:hAnsi="Arial" w:cs="Arial"/>
          <w:b/>
          <w:bCs/>
          <w:sz w:val="22"/>
          <w:szCs w:val="22"/>
        </w:rPr>
      </w:pPr>
      <w:r w:rsidRPr="005A66C3">
        <w:rPr>
          <w:rFonts w:ascii="Arial" w:hAnsi="Arial" w:cs="Arial"/>
          <w:b/>
          <w:bCs/>
          <w:sz w:val="22"/>
          <w:szCs w:val="22"/>
        </w:rPr>
        <w:t>RELEVANT LEGI</w:t>
      </w:r>
      <w:r w:rsidR="00845779" w:rsidRPr="005A66C3">
        <w:rPr>
          <w:rFonts w:ascii="Arial" w:hAnsi="Arial" w:cs="Arial"/>
          <w:b/>
          <w:bCs/>
          <w:sz w:val="22"/>
          <w:szCs w:val="22"/>
        </w:rPr>
        <w:t>S</w:t>
      </w:r>
      <w:r w:rsidRPr="005A66C3">
        <w:rPr>
          <w:rFonts w:ascii="Arial" w:hAnsi="Arial" w:cs="Arial"/>
          <w:b/>
          <w:bCs/>
          <w:sz w:val="22"/>
          <w:szCs w:val="22"/>
        </w:rPr>
        <w:t xml:space="preserve">LATION, </w:t>
      </w:r>
      <w:r w:rsidR="006325D0" w:rsidRPr="005A66C3">
        <w:rPr>
          <w:rFonts w:ascii="Arial" w:hAnsi="Arial" w:cs="Arial"/>
          <w:b/>
          <w:bCs/>
          <w:sz w:val="22"/>
          <w:szCs w:val="22"/>
        </w:rPr>
        <w:t>POLICIES</w:t>
      </w:r>
      <w:r w:rsidRPr="005A66C3">
        <w:rPr>
          <w:rFonts w:ascii="Arial" w:hAnsi="Arial" w:cs="Arial"/>
          <w:b/>
          <w:bCs/>
          <w:sz w:val="22"/>
          <w:szCs w:val="22"/>
        </w:rPr>
        <w:t xml:space="preserve"> AND GUIDANCE</w:t>
      </w:r>
    </w:p>
    <w:p w14:paraId="50D3C20E" w14:textId="77777777" w:rsidR="006361C6" w:rsidRPr="005A66C3" w:rsidRDefault="006361C6" w:rsidP="005A66C3">
      <w:pPr>
        <w:spacing w:line="276" w:lineRule="auto"/>
        <w:rPr>
          <w:rFonts w:ascii="Arial" w:hAnsi="Arial" w:cs="Arial"/>
          <w:sz w:val="22"/>
          <w:szCs w:val="22"/>
        </w:rPr>
      </w:pPr>
    </w:p>
    <w:p w14:paraId="25EF3109" w14:textId="2A9FB8D3" w:rsidR="00A42C19" w:rsidRPr="005A66C3" w:rsidRDefault="00C53B6A" w:rsidP="005A66C3">
      <w:pPr>
        <w:spacing w:line="276" w:lineRule="auto"/>
        <w:rPr>
          <w:rFonts w:ascii="Arial" w:hAnsi="Arial" w:cs="Arial"/>
          <w:sz w:val="22"/>
          <w:szCs w:val="22"/>
        </w:rPr>
      </w:pPr>
      <w:r w:rsidRPr="005A66C3">
        <w:rPr>
          <w:rFonts w:ascii="Arial" w:hAnsi="Arial" w:cs="Arial"/>
          <w:sz w:val="22"/>
          <w:szCs w:val="22"/>
          <w:u w:val="single"/>
        </w:rPr>
        <w:t>Wiltshire Core Strategy</w:t>
      </w:r>
      <w:r w:rsidR="00303570" w:rsidRPr="005A66C3">
        <w:rPr>
          <w:rFonts w:ascii="Arial" w:hAnsi="Arial" w:cs="Arial"/>
          <w:sz w:val="22"/>
          <w:szCs w:val="22"/>
          <w:u w:val="single"/>
        </w:rPr>
        <w:t>:</w:t>
      </w:r>
    </w:p>
    <w:p w14:paraId="11F00393" w14:textId="77777777" w:rsidR="00C53B6A" w:rsidRPr="00B822C7" w:rsidRDefault="00C53B6A" w:rsidP="005A66C3">
      <w:pPr>
        <w:spacing w:line="276" w:lineRule="auto"/>
        <w:rPr>
          <w:rFonts w:ascii="Arial" w:hAnsi="Arial" w:cs="Arial"/>
          <w:sz w:val="22"/>
          <w:szCs w:val="22"/>
        </w:rPr>
      </w:pPr>
    </w:p>
    <w:p w14:paraId="10B576DA" w14:textId="1112F6FD" w:rsidR="00C53B6A" w:rsidRPr="00B822C7" w:rsidRDefault="00C53B6A" w:rsidP="005A66C3">
      <w:pPr>
        <w:autoSpaceDE w:val="0"/>
        <w:autoSpaceDN w:val="0"/>
        <w:adjustRightInd w:val="0"/>
        <w:spacing w:line="276" w:lineRule="auto"/>
        <w:rPr>
          <w:rFonts w:ascii="Arial" w:hAnsi="Arial" w:cs="Arial"/>
          <w:sz w:val="22"/>
          <w:szCs w:val="22"/>
        </w:rPr>
      </w:pPr>
      <w:r w:rsidRPr="00B822C7">
        <w:rPr>
          <w:rFonts w:ascii="Arial" w:hAnsi="Arial" w:cs="Arial"/>
          <w:sz w:val="22"/>
          <w:szCs w:val="22"/>
        </w:rPr>
        <w:t>Core Policy 1</w:t>
      </w:r>
      <w:r w:rsidR="00601AAD" w:rsidRPr="00B822C7">
        <w:rPr>
          <w:rFonts w:ascii="Arial" w:hAnsi="Arial" w:cs="Arial"/>
          <w:sz w:val="22"/>
          <w:szCs w:val="22"/>
        </w:rPr>
        <w:tab/>
      </w:r>
      <w:r w:rsidR="00601AAD" w:rsidRPr="00B822C7">
        <w:rPr>
          <w:rFonts w:ascii="Arial" w:hAnsi="Arial" w:cs="Arial"/>
          <w:sz w:val="22"/>
          <w:szCs w:val="22"/>
        </w:rPr>
        <w:tab/>
      </w:r>
      <w:r w:rsidRPr="00B822C7">
        <w:rPr>
          <w:rFonts w:ascii="Arial" w:hAnsi="Arial" w:cs="Arial"/>
          <w:sz w:val="22"/>
          <w:szCs w:val="22"/>
        </w:rPr>
        <w:t xml:space="preserve">Settlement </w:t>
      </w:r>
      <w:r w:rsidR="007A61A7" w:rsidRPr="00B822C7">
        <w:rPr>
          <w:rFonts w:ascii="Arial" w:hAnsi="Arial" w:cs="Arial"/>
          <w:sz w:val="22"/>
          <w:szCs w:val="22"/>
        </w:rPr>
        <w:t>S</w:t>
      </w:r>
      <w:r w:rsidRPr="00B822C7">
        <w:rPr>
          <w:rFonts w:ascii="Arial" w:hAnsi="Arial" w:cs="Arial"/>
          <w:sz w:val="22"/>
          <w:szCs w:val="22"/>
        </w:rPr>
        <w:t xml:space="preserve">trategy; </w:t>
      </w:r>
    </w:p>
    <w:p w14:paraId="476E7C45" w14:textId="745033F9" w:rsidR="00DC64E7" w:rsidRPr="00B822C7" w:rsidRDefault="00C53B6A" w:rsidP="005A66C3">
      <w:pPr>
        <w:autoSpaceDE w:val="0"/>
        <w:autoSpaceDN w:val="0"/>
        <w:adjustRightInd w:val="0"/>
        <w:spacing w:line="276" w:lineRule="auto"/>
        <w:rPr>
          <w:rFonts w:ascii="Arial" w:hAnsi="Arial" w:cs="Arial"/>
          <w:sz w:val="22"/>
          <w:szCs w:val="22"/>
        </w:rPr>
      </w:pPr>
      <w:r w:rsidRPr="00B822C7">
        <w:rPr>
          <w:rFonts w:ascii="Arial" w:hAnsi="Arial" w:cs="Arial"/>
          <w:sz w:val="22"/>
          <w:szCs w:val="22"/>
        </w:rPr>
        <w:t>Core Policy 2</w:t>
      </w:r>
      <w:r w:rsidR="00601AAD" w:rsidRPr="00B822C7">
        <w:rPr>
          <w:rFonts w:ascii="Arial" w:hAnsi="Arial" w:cs="Arial"/>
          <w:sz w:val="22"/>
          <w:szCs w:val="22"/>
        </w:rPr>
        <w:t xml:space="preserve"> </w:t>
      </w:r>
      <w:r w:rsidR="00601AAD" w:rsidRPr="00B822C7">
        <w:rPr>
          <w:rFonts w:ascii="Arial" w:hAnsi="Arial" w:cs="Arial"/>
          <w:sz w:val="22"/>
          <w:szCs w:val="22"/>
        </w:rPr>
        <w:tab/>
      </w:r>
      <w:r w:rsidR="00601AAD" w:rsidRPr="00B822C7">
        <w:rPr>
          <w:rFonts w:ascii="Arial" w:hAnsi="Arial" w:cs="Arial"/>
          <w:sz w:val="22"/>
          <w:szCs w:val="22"/>
        </w:rPr>
        <w:tab/>
      </w:r>
      <w:r w:rsidRPr="00B822C7">
        <w:rPr>
          <w:rFonts w:ascii="Arial" w:hAnsi="Arial" w:cs="Arial"/>
          <w:sz w:val="22"/>
          <w:szCs w:val="22"/>
        </w:rPr>
        <w:t xml:space="preserve">Delivery </w:t>
      </w:r>
      <w:r w:rsidR="007A61A7" w:rsidRPr="00B822C7">
        <w:rPr>
          <w:rFonts w:ascii="Arial" w:hAnsi="Arial" w:cs="Arial"/>
          <w:sz w:val="22"/>
          <w:szCs w:val="22"/>
        </w:rPr>
        <w:t>S</w:t>
      </w:r>
      <w:r w:rsidRPr="00B822C7">
        <w:rPr>
          <w:rFonts w:ascii="Arial" w:hAnsi="Arial" w:cs="Arial"/>
          <w:sz w:val="22"/>
          <w:szCs w:val="22"/>
        </w:rPr>
        <w:t>trategy;</w:t>
      </w:r>
    </w:p>
    <w:p w14:paraId="7D8BECCC" w14:textId="3844AADB" w:rsidR="0076074E" w:rsidRPr="00B822C7" w:rsidRDefault="0076074E" w:rsidP="005A66C3">
      <w:pPr>
        <w:autoSpaceDE w:val="0"/>
        <w:autoSpaceDN w:val="0"/>
        <w:adjustRightInd w:val="0"/>
        <w:spacing w:line="276" w:lineRule="auto"/>
        <w:rPr>
          <w:rFonts w:ascii="Arial" w:hAnsi="Arial" w:cs="Arial"/>
          <w:sz w:val="22"/>
          <w:szCs w:val="22"/>
        </w:rPr>
      </w:pPr>
      <w:r w:rsidRPr="00B822C7">
        <w:rPr>
          <w:rFonts w:ascii="Arial" w:hAnsi="Arial" w:cs="Arial"/>
          <w:sz w:val="22"/>
          <w:szCs w:val="22"/>
        </w:rPr>
        <w:t xml:space="preserve">Core Policy </w:t>
      </w:r>
      <w:r w:rsidR="00594C14" w:rsidRPr="00B822C7">
        <w:rPr>
          <w:rFonts w:ascii="Arial" w:hAnsi="Arial" w:cs="Arial"/>
          <w:sz w:val="22"/>
          <w:szCs w:val="22"/>
        </w:rPr>
        <w:t>32</w:t>
      </w:r>
      <w:r w:rsidRPr="00B822C7">
        <w:rPr>
          <w:rFonts w:ascii="Arial" w:hAnsi="Arial" w:cs="Arial"/>
          <w:sz w:val="22"/>
          <w:szCs w:val="22"/>
        </w:rPr>
        <w:t xml:space="preserve"> </w:t>
      </w:r>
      <w:r w:rsidRPr="00B822C7">
        <w:rPr>
          <w:rFonts w:ascii="Arial" w:hAnsi="Arial" w:cs="Arial"/>
          <w:sz w:val="22"/>
          <w:szCs w:val="22"/>
        </w:rPr>
        <w:tab/>
        <w:t>Spatial Strategy:</w:t>
      </w:r>
      <w:r w:rsidR="00594C14" w:rsidRPr="00B822C7">
        <w:rPr>
          <w:rFonts w:ascii="Arial" w:hAnsi="Arial" w:cs="Arial"/>
          <w:sz w:val="22"/>
          <w:szCs w:val="22"/>
        </w:rPr>
        <w:t xml:space="preserve"> Westbury Community Area;</w:t>
      </w:r>
    </w:p>
    <w:p w14:paraId="72359717" w14:textId="5D2923D3" w:rsidR="007336B3" w:rsidRPr="00B822C7" w:rsidRDefault="007336B3" w:rsidP="005A66C3">
      <w:pPr>
        <w:autoSpaceDE w:val="0"/>
        <w:autoSpaceDN w:val="0"/>
        <w:adjustRightInd w:val="0"/>
        <w:spacing w:line="276" w:lineRule="auto"/>
        <w:rPr>
          <w:rFonts w:ascii="Arial" w:hAnsi="Arial" w:cs="Arial"/>
          <w:sz w:val="22"/>
          <w:szCs w:val="22"/>
        </w:rPr>
      </w:pPr>
      <w:r w:rsidRPr="00B822C7">
        <w:rPr>
          <w:rFonts w:ascii="Arial" w:hAnsi="Arial" w:cs="Arial"/>
          <w:sz w:val="22"/>
          <w:szCs w:val="22"/>
        </w:rPr>
        <w:t>Core Policy 50</w:t>
      </w:r>
      <w:r w:rsidRPr="00B822C7">
        <w:rPr>
          <w:rFonts w:ascii="Arial" w:hAnsi="Arial" w:cs="Arial"/>
          <w:sz w:val="22"/>
          <w:szCs w:val="22"/>
        </w:rPr>
        <w:tab/>
      </w:r>
      <w:r w:rsidRPr="00B822C7">
        <w:rPr>
          <w:rFonts w:ascii="Arial" w:hAnsi="Arial" w:cs="Arial"/>
          <w:sz w:val="22"/>
          <w:szCs w:val="22"/>
        </w:rPr>
        <w:tab/>
        <w:t>Biodiversity and Geodiversity;</w:t>
      </w:r>
    </w:p>
    <w:p w14:paraId="2C9A8F56" w14:textId="6C82D516" w:rsidR="00C53B6A" w:rsidRPr="00B822C7" w:rsidRDefault="00C53B6A" w:rsidP="005A66C3">
      <w:pPr>
        <w:autoSpaceDE w:val="0"/>
        <w:autoSpaceDN w:val="0"/>
        <w:adjustRightInd w:val="0"/>
        <w:spacing w:line="276" w:lineRule="auto"/>
        <w:rPr>
          <w:rFonts w:ascii="Arial" w:hAnsi="Arial" w:cs="Arial"/>
          <w:sz w:val="22"/>
          <w:szCs w:val="22"/>
        </w:rPr>
      </w:pPr>
      <w:r w:rsidRPr="00B822C7">
        <w:rPr>
          <w:rFonts w:ascii="Arial" w:hAnsi="Arial" w:cs="Arial"/>
          <w:sz w:val="22"/>
          <w:szCs w:val="22"/>
        </w:rPr>
        <w:t>Core Policy 51</w:t>
      </w:r>
      <w:r w:rsidR="00601AAD" w:rsidRPr="00B822C7">
        <w:rPr>
          <w:rFonts w:ascii="Arial" w:hAnsi="Arial" w:cs="Arial"/>
          <w:sz w:val="22"/>
          <w:szCs w:val="22"/>
        </w:rPr>
        <w:t xml:space="preserve"> </w:t>
      </w:r>
      <w:r w:rsidR="00601AAD" w:rsidRPr="00B822C7">
        <w:rPr>
          <w:rFonts w:ascii="Arial" w:hAnsi="Arial" w:cs="Arial"/>
          <w:sz w:val="22"/>
          <w:szCs w:val="22"/>
        </w:rPr>
        <w:tab/>
      </w:r>
      <w:r w:rsidRPr="00B822C7">
        <w:rPr>
          <w:rFonts w:ascii="Arial" w:hAnsi="Arial" w:cs="Arial"/>
          <w:sz w:val="22"/>
          <w:szCs w:val="22"/>
        </w:rPr>
        <w:t xml:space="preserve">Landscape; </w:t>
      </w:r>
    </w:p>
    <w:p w14:paraId="40D32787" w14:textId="78D7E7D9" w:rsidR="00A938B9" w:rsidRPr="00B822C7" w:rsidRDefault="00C53B6A" w:rsidP="005A66C3">
      <w:pPr>
        <w:autoSpaceDE w:val="0"/>
        <w:autoSpaceDN w:val="0"/>
        <w:adjustRightInd w:val="0"/>
        <w:spacing w:line="276" w:lineRule="auto"/>
        <w:rPr>
          <w:rFonts w:ascii="Arial" w:hAnsi="Arial" w:cs="Arial"/>
          <w:sz w:val="22"/>
          <w:szCs w:val="22"/>
        </w:rPr>
      </w:pPr>
      <w:r w:rsidRPr="00B822C7">
        <w:rPr>
          <w:rFonts w:ascii="Arial" w:hAnsi="Arial" w:cs="Arial"/>
          <w:sz w:val="22"/>
          <w:szCs w:val="22"/>
        </w:rPr>
        <w:t>Core Policy 57</w:t>
      </w:r>
      <w:r w:rsidR="00601AAD" w:rsidRPr="00B822C7">
        <w:rPr>
          <w:rFonts w:ascii="Arial" w:hAnsi="Arial" w:cs="Arial"/>
          <w:sz w:val="22"/>
          <w:szCs w:val="22"/>
        </w:rPr>
        <w:t xml:space="preserve"> </w:t>
      </w:r>
      <w:r w:rsidR="00601AAD" w:rsidRPr="00B822C7">
        <w:rPr>
          <w:rFonts w:ascii="Arial" w:hAnsi="Arial" w:cs="Arial"/>
          <w:sz w:val="22"/>
          <w:szCs w:val="22"/>
        </w:rPr>
        <w:tab/>
      </w:r>
      <w:r w:rsidRPr="00B822C7">
        <w:rPr>
          <w:rFonts w:ascii="Arial" w:hAnsi="Arial" w:cs="Arial"/>
          <w:sz w:val="22"/>
          <w:szCs w:val="22"/>
        </w:rPr>
        <w:t xml:space="preserve">Ensuring </w:t>
      </w:r>
      <w:r w:rsidR="007A61A7" w:rsidRPr="00B822C7">
        <w:rPr>
          <w:rFonts w:ascii="Arial" w:hAnsi="Arial" w:cs="Arial"/>
          <w:sz w:val="22"/>
          <w:szCs w:val="22"/>
        </w:rPr>
        <w:t>H</w:t>
      </w:r>
      <w:r w:rsidRPr="00B822C7">
        <w:rPr>
          <w:rFonts w:ascii="Arial" w:hAnsi="Arial" w:cs="Arial"/>
          <w:sz w:val="22"/>
          <w:szCs w:val="22"/>
        </w:rPr>
        <w:t>igh-</w:t>
      </w:r>
      <w:r w:rsidR="007A61A7" w:rsidRPr="00B822C7">
        <w:rPr>
          <w:rFonts w:ascii="Arial" w:hAnsi="Arial" w:cs="Arial"/>
          <w:sz w:val="22"/>
          <w:szCs w:val="22"/>
        </w:rPr>
        <w:t>Q</w:t>
      </w:r>
      <w:r w:rsidRPr="00B822C7">
        <w:rPr>
          <w:rFonts w:ascii="Arial" w:hAnsi="Arial" w:cs="Arial"/>
          <w:sz w:val="22"/>
          <w:szCs w:val="22"/>
        </w:rPr>
        <w:t xml:space="preserve">uality </w:t>
      </w:r>
      <w:r w:rsidR="007A61A7" w:rsidRPr="00B822C7">
        <w:rPr>
          <w:rFonts w:ascii="Arial" w:hAnsi="Arial" w:cs="Arial"/>
          <w:sz w:val="22"/>
          <w:szCs w:val="22"/>
        </w:rPr>
        <w:t>D</w:t>
      </w:r>
      <w:r w:rsidRPr="00B822C7">
        <w:rPr>
          <w:rFonts w:ascii="Arial" w:hAnsi="Arial" w:cs="Arial"/>
          <w:sz w:val="22"/>
          <w:szCs w:val="22"/>
        </w:rPr>
        <w:t xml:space="preserve">esign and </w:t>
      </w:r>
      <w:r w:rsidR="007A61A7" w:rsidRPr="00B822C7">
        <w:rPr>
          <w:rFonts w:ascii="Arial" w:hAnsi="Arial" w:cs="Arial"/>
          <w:sz w:val="22"/>
          <w:szCs w:val="22"/>
        </w:rPr>
        <w:t>P</w:t>
      </w:r>
      <w:r w:rsidRPr="00B822C7">
        <w:rPr>
          <w:rFonts w:ascii="Arial" w:hAnsi="Arial" w:cs="Arial"/>
          <w:sz w:val="22"/>
          <w:szCs w:val="22"/>
        </w:rPr>
        <w:t xml:space="preserve">lace </w:t>
      </w:r>
      <w:r w:rsidR="007A61A7" w:rsidRPr="00B822C7">
        <w:rPr>
          <w:rFonts w:ascii="Arial" w:hAnsi="Arial" w:cs="Arial"/>
          <w:sz w:val="22"/>
          <w:szCs w:val="22"/>
        </w:rPr>
        <w:t>S</w:t>
      </w:r>
      <w:r w:rsidRPr="00B822C7">
        <w:rPr>
          <w:rFonts w:ascii="Arial" w:hAnsi="Arial" w:cs="Arial"/>
          <w:sz w:val="22"/>
          <w:szCs w:val="22"/>
        </w:rPr>
        <w:t xml:space="preserve">haping; </w:t>
      </w:r>
    </w:p>
    <w:p w14:paraId="11ED6A25" w14:textId="7AF5F23B" w:rsidR="00EB3DCC" w:rsidRPr="00B822C7" w:rsidRDefault="00EB3DCC" w:rsidP="005A66C3">
      <w:pPr>
        <w:autoSpaceDE w:val="0"/>
        <w:autoSpaceDN w:val="0"/>
        <w:adjustRightInd w:val="0"/>
        <w:spacing w:line="276" w:lineRule="auto"/>
        <w:rPr>
          <w:rFonts w:ascii="Arial" w:hAnsi="Arial" w:cs="Arial"/>
          <w:sz w:val="22"/>
          <w:szCs w:val="22"/>
        </w:rPr>
      </w:pPr>
      <w:r w:rsidRPr="00B822C7">
        <w:rPr>
          <w:rFonts w:ascii="Arial" w:hAnsi="Arial" w:cs="Arial"/>
          <w:sz w:val="22"/>
          <w:szCs w:val="22"/>
        </w:rPr>
        <w:t>Core Policy 60</w:t>
      </w:r>
      <w:r w:rsidRPr="00B822C7">
        <w:rPr>
          <w:rFonts w:ascii="Arial" w:hAnsi="Arial" w:cs="Arial"/>
          <w:sz w:val="22"/>
          <w:szCs w:val="22"/>
        </w:rPr>
        <w:tab/>
      </w:r>
      <w:r w:rsidRPr="00B822C7">
        <w:rPr>
          <w:rFonts w:ascii="Arial" w:hAnsi="Arial" w:cs="Arial"/>
          <w:sz w:val="22"/>
          <w:szCs w:val="22"/>
        </w:rPr>
        <w:tab/>
        <w:t>Sustainable Transport;</w:t>
      </w:r>
    </w:p>
    <w:p w14:paraId="77A925A7" w14:textId="333FBA5F" w:rsidR="00C53B6A" w:rsidRPr="00B822C7" w:rsidRDefault="00C53B6A" w:rsidP="005A66C3">
      <w:pPr>
        <w:autoSpaceDE w:val="0"/>
        <w:autoSpaceDN w:val="0"/>
        <w:adjustRightInd w:val="0"/>
        <w:spacing w:line="276" w:lineRule="auto"/>
        <w:rPr>
          <w:rFonts w:ascii="Arial" w:hAnsi="Arial" w:cs="Arial"/>
          <w:sz w:val="22"/>
          <w:szCs w:val="22"/>
        </w:rPr>
      </w:pPr>
      <w:r w:rsidRPr="00B822C7">
        <w:rPr>
          <w:rFonts w:ascii="Arial" w:hAnsi="Arial" w:cs="Arial"/>
          <w:sz w:val="22"/>
          <w:szCs w:val="22"/>
        </w:rPr>
        <w:t>Core Policy 61</w:t>
      </w:r>
      <w:r w:rsidR="00601AAD" w:rsidRPr="00B822C7">
        <w:rPr>
          <w:rFonts w:ascii="Arial" w:hAnsi="Arial" w:cs="Arial"/>
          <w:sz w:val="22"/>
          <w:szCs w:val="22"/>
        </w:rPr>
        <w:t xml:space="preserve"> </w:t>
      </w:r>
      <w:r w:rsidR="00601AAD" w:rsidRPr="00B822C7">
        <w:rPr>
          <w:rFonts w:ascii="Arial" w:hAnsi="Arial" w:cs="Arial"/>
          <w:sz w:val="22"/>
          <w:szCs w:val="22"/>
        </w:rPr>
        <w:tab/>
      </w:r>
      <w:r w:rsidRPr="00B822C7">
        <w:rPr>
          <w:rFonts w:ascii="Arial" w:hAnsi="Arial" w:cs="Arial"/>
          <w:sz w:val="22"/>
          <w:szCs w:val="22"/>
        </w:rPr>
        <w:t xml:space="preserve">Transport and Development; </w:t>
      </w:r>
    </w:p>
    <w:p w14:paraId="2F1672C7" w14:textId="2EDD9E9D" w:rsidR="00C53B6A" w:rsidRPr="00B822C7" w:rsidRDefault="00C53B6A" w:rsidP="005A66C3">
      <w:pPr>
        <w:autoSpaceDE w:val="0"/>
        <w:autoSpaceDN w:val="0"/>
        <w:adjustRightInd w:val="0"/>
        <w:spacing w:line="276" w:lineRule="auto"/>
        <w:rPr>
          <w:rFonts w:ascii="Arial" w:hAnsi="Arial" w:cs="Arial"/>
          <w:sz w:val="22"/>
          <w:szCs w:val="22"/>
        </w:rPr>
      </w:pPr>
      <w:r w:rsidRPr="00B822C7">
        <w:rPr>
          <w:rFonts w:ascii="Arial" w:hAnsi="Arial" w:cs="Arial"/>
          <w:sz w:val="22"/>
          <w:szCs w:val="22"/>
        </w:rPr>
        <w:t>Core Policy 64</w:t>
      </w:r>
      <w:r w:rsidR="00601AAD" w:rsidRPr="00B822C7">
        <w:rPr>
          <w:rFonts w:ascii="Arial" w:hAnsi="Arial" w:cs="Arial"/>
          <w:sz w:val="22"/>
          <w:szCs w:val="22"/>
        </w:rPr>
        <w:t xml:space="preserve"> </w:t>
      </w:r>
      <w:r w:rsidR="00601AAD" w:rsidRPr="00B822C7">
        <w:rPr>
          <w:rFonts w:ascii="Arial" w:hAnsi="Arial" w:cs="Arial"/>
          <w:sz w:val="22"/>
          <w:szCs w:val="22"/>
        </w:rPr>
        <w:tab/>
      </w:r>
      <w:r w:rsidRPr="00B822C7">
        <w:rPr>
          <w:rFonts w:ascii="Arial" w:hAnsi="Arial" w:cs="Arial"/>
          <w:sz w:val="22"/>
          <w:szCs w:val="22"/>
        </w:rPr>
        <w:t xml:space="preserve">Demand Management; </w:t>
      </w:r>
    </w:p>
    <w:p w14:paraId="2911E291" w14:textId="49AA6B9B" w:rsidR="0023524B" w:rsidRPr="00B822C7" w:rsidRDefault="0023524B" w:rsidP="005A66C3">
      <w:pPr>
        <w:autoSpaceDE w:val="0"/>
        <w:autoSpaceDN w:val="0"/>
        <w:adjustRightInd w:val="0"/>
        <w:spacing w:line="276" w:lineRule="auto"/>
        <w:rPr>
          <w:rFonts w:ascii="Arial" w:hAnsi="Arial" w:cs="Arial"/>
          <w:sz w:val="22"/>
          <w:szCs w:val="22"/>
        </w:rPr>
      </w:pPr>
      <w:r w:rsidRPr="00B822C7">
        <w:rPr>
          <w:rFonts w:ascii="Arial" w:hAnsi="Arial" w:cs="Arial"/>
          <w:sz w:val="22"/>
          <w:szCs w:val="22"/>
        </w:rPr>
        <w:t>Core Policy 67</w:t>
      </w:r>
      <w:r w:rsidRPr="00B822C7">
        <w:rPr>
          <w:rFonts w:ascii="Arial" w:hAnsi="Arial" w:cs="Arial"/>
          <w:sz w:val="22"/>
          <w:szCs w:val="22"/>
        </w:rPr>
        <w:tab/>
      </w:r>
      <w:r w:rsidRPr="00B822C7">
        <w:rPr>
          <w:rFonts w:ascii="Arial" w:hAnsi="Arial" w:cs="Arial"/>
          <w:sz w:val="22"/>
          <w:szCs w:val="22"/>
        </w:rPr>
        <w:tab/>
        <w:t>Flood Risk;</w:t>
      </w:r>
    </w:p>
    <w:p w14:paraId="2644B18E" w14:textId="77777777" w:rsidR="00C53B6A" w:rsidRPr="005A66C3" w:rsidRDefault="00C53B6A" w:rsidP="005A66C3">
      <w:pPr>
        <w:spacing w:line="276" w:lineRule="auto"/>
        <w:rPr>
          <w:rFonts w:ascii="Arial" w:hAnsi="Arial" w:cs="Arial"/>
          <w:sz w:val="22"/>
          <w:szCs w:val="22"/>
        </w:rPr>
      </w:pPr>
    </w:p>
    <w:p w14:paraId="3D48D6A0" w14:textId="02B2B3DD" w:rsidR="00DC4F3E" w:rsidRPr="009D14B6" w:rsidRDefault="009D14B6" w:rsidP="005A66C3">
      <w:pPr>
        <w:spacing w:line="276" w:lineRule="auto"/>
        <w:rPr>
          <w:rFonts w:ascii="Arial" w:hAnsi="Arial" w:cs="Arial"/>
          <w:sz w:val="22"/>
          <w:szCs w:val="22"/>
          <w:u w:val="single"/>
        </w:rPr>
      </w:pPr>
      <w:r w:rsidRPr="009D14B6">
        <w:rPr>
          <w:rFonts w:ascii="Arial" w:hAnsi="Arial" w:cs="Arial"/>
          <w:sz w:val="22"/>
          <w:szCs w:val="22"/>
          <w:u w:val="single"/>
        </w:rPr>
        <w:t xml:space="preserve">Westbury </w:t>
      </w:r>
      <w:r w:rsidR="00DC4F3E" w:rsidRPr="009D14B6">
        <w:rPr>
          <w:rFonts w:ascii="Arial" w:hAnsi="Arial" w:cs="Arial"/>
          <w:sz w:val="22"/>
          <w:szCs w:val="22"/>
          <w:u w:val="single"/>
        </w:rPr>
        <w:t xml:space="preserve">Neighbourhood </w:t>
      </w:r>
      <w:r w:rsidRPr="009D14B6">
        <w:rPr>
          <w:rFonts w:ascii="Arial" w:hAnsi="Arial" w:cs="Arial"/>
          <w:sz w:val="22"/>
          <w:szCs w:val="22"/>
          <w:u w:val="single"/>
        </w:rPr>
        <w:t>P</w:t>
      </w:r>
      <w:r w:rsidR="00DC4F3E" w:rsidRPr="009D14B6">
        <w:rPr>
          <w:rFonts w:ascii="Arial" w:hAnsi="Arial" w:cs="Arial"/>
          <w:sz w:val="22"/>
          <w:szCs w:val="22"/>
          <w:u w:val="single"/>
        </w:rPr>
        <w:t>lan</w:t>
      </w:r>
      <w:r w:rsidRPr="009D14B6">
        <w:rPr>
          <w:rFonts w:ascii="Arial" w:hAnsi="Arial" w:cs="Arial"/>
          <w:sz w:val="22"/>
          <w:szCs w:val="22"/>
          <w:u w:val="single"/>
        </w:rPr>
        <w:t xml:space="preserve"> 2023-2036</w:t>
      </w:r>
    </w:p>
    <w:p w14:paraId="64F53B99" w14:textId="77777777" w:rsidR="00DC4F3E" w:rsidRPr="00B822C7" w:rsidRDefault="00DC4F3E" w:rsidP="005A66C3">
      <w:pPr>
        <w:spacing w:line="276" w:lineRule="auto"/>
        <w:rPr>
          <w:rFonts w:ascii="Arial" w:hAnsi="Arial" w:cs="Arial"/>
          <w:sz w:val="22"/>
          <w:szCs w:val="22"/>
          <w:u w:val="single"/>
        </w:rPr>
      </w:pPr>
    </w:p>
    <w:p w14:paraId="1C924897" w14:textId="22AAFF9B" w:rsidR="00DC4F3E" w:rsidRPr="00B822C7" w:rsidRDefault="00DC4F3E" w:rsidP="005A66C3">
      <w:pPr>
        <w:spacing w:line="276" w:lineRule="auto"/>
        <w:rPr>
          <w:rFonts w:ascii="Arial" w:hAnsi="Arial" w:cs="Arial"/>
          <w:sz w:val="22"/>
          <w:szCs w:val="22"/>
          <w:u w:val="single"/>
        </w:rPr>
      </w:pPr>
      <w:bookmarkStart w:id="0" w:name="_Hlk212452795"/>
      <w:bookmarkStart w:id="1" w:name="_Hlk212461860"/>
      <w:r w:rsidRPr="00B822C7">
        <w:rPr>
          <w:rFonts w:ascii="Arial" w:hAnsi="Arial" w:cs="Arial"/>
          <w:sz w:val="22"/>
          <w:szCs w:val="22"/>
          <w:u w:val="single"/>
        </w:rPr>
        <w:t>The National Planning Policy Framework (NPPF)</w:t>
      </w:r>
      <w:r w:rsidR="00735DE1" w:rsidRPr="00B822C7">
        <w:rPr>
          <w:rFonts w:ascii="Arial" w:hAnsi="Arial" w:cs="Arial"/>
          <w:sz w:val="22"/>
          <w:szCs w:val="22"/>
        </w:rPr>
        <w:t xml:space="preserve"> and </w:t>
      </w:r>
      <w:r w:rsidRPr="00B822C7">
        <w:rPr>
          <w:rFonts w:ascii="Arial" w:hAnsi="Arial" w:cs="Arial"/>
          <w:sz w:val="22"/>
          <w:szCs w:val="22"/>
          <w:u w:val="single"/>
        </w:rPr>
        <w:t>The Planning Practice Guidance (PPG)</w:t>
      </w:r>
    </w:p>
    <w:p w14:paraId="4930FB06" w14:textId="77777777" w:rsidR="008D6C52" w:rsidRPr="00B822C7" w:rsidRDefault="008D6C52" w:rsidP="005A66C3">
      <w:pPr>
        <w:spacing w:line="276" w:lineRule="auto"/>
        <w:rPr>
          <w:rFonts w:ascii="Arial" w:hAnsi="Arial" w:cs="Arial"/>
          <w:sz w:val="22"/>
          <w:szCs w:val="22"/>
          <w:u w:val="single"/>
        </w:rPr>
      </w:pPr>
    </w:p>
    <w:p w14:paraId="08D91513" w14:textId="2BED8373" w:rsidR="00561AE7" w:rsidRPr="00B822C7" w:rsidRDefault="008D6C52" w:rsidP="005A66C3">
      <w:pPr>
        <w:spacing w:line="276" w:lineRule="auto"/>
        <w:rPr>
          <w:rFonts w:ascii="Arial" w:hAnsi="Arial" w:cs="Arial"/>
          <w:sz w:val="22"/>
          <w:szCs w:val="22"/>
          <w:u w:val="single"/>
        </w:rPr>
      </w:pPr>
      <w:r w:rsidRPr="00B822C7">
        <w:rPr>
          <w:rFonts w:ascii="Arial" w:hAnsi="Arial" w:cs="Arial"/>
          <w:sz w:val="22"/>
          <w:szCs w:val="22"/>
          <w:u w:val="single"/>
        </w:rPr>
        <w:t xml:space="preserve">Wiltshire Design Guide </w:t>
      </w:r>
      <w:r w:rsidR="00DC4F3E" w:rsidRPr="00B822C7">
        <w:rPr>
          <w:rFonts w:ascii="Arial" w:hAnsi="Arial" w:cs="Arial"/>
          <w:sz w:val="22"/>
          <w:szCs w:val="22"/>
          <w:u w:val="single"/>
        </w:rPr>
        <w:t>- Appendix D – Design Guidance for Householder extensions</w:t>
      </w:r>
    </w:p>
    <w:bookmarkEnd w:id="0"/>
    <w:p w14:paraId="19CD89F3" w14:textId="77777777" w:rsidR="00DC4F3E" w:rsidRPr="00B822C7" w:rsidRDefault="00DC4F3E" w:rsidP="005A66C3">
      <w:pPr>
        <w:spacing w:line="276" w:lineRule="auto"/>
        <w:rPr>
          <w:rFonts w:ascii="Arial" w:hAnsi="Arial" w:cs="Arial"/>
          <w:sz w:val="22"/>
          <w:szCs w:val="22"/>
          <w:u w:val="single"/>
        </w:rPr>
      </w:pPr>
    </w:p>
    <w:p w14:paraId="791E8FB4" w14:textId="79324D54" w:rsidR="00561AE7" w:rsidRPr="00B822C7" w:rsidRDefault="008D6C52" w:rsidP="005A66C3">
      <w:pPr>
        <w:spacing w:line="276" w:lineRule="auto"/>
        <w:rPr>
          <w:rFonts w:ascii="Arial" w:hAnsi="Arial" w:cs="Arial"/>
          <w:sz w:val="22"/>
          <w:szCs w:val="22"/>
          <w:u w:val="single"/>
        </w:rPr>
      </w:pPr>
      <w:r w:rsidRPr="00B822C7">
        <w:rPr>
          <w:rFonts w:ascii="Arial" w:hAnsi="Arial" w:cs="Arial"/>
          <w:sz w:val="22"/>
          <w:szCs w:val="22"/>
          <w:u w:val="single"/>
        </w:rPr>
        <w:t>The Wiltshire Local Transport Plan 201</w:t>
      </w:r>
      <w:r w:rsidR="008D5791" w:rsidRPr="00B822C7">
        <w:rPr>
          <w:rFonts w:ascii="Arial" w:hAnsi="Arial" w:cs="Arial"/>
          <w:sz w:val="22"/>
          <w:szCs w:val="22"/>
          <w:u w:val="single"/>
        </w:rPr>
        <w:t>1</w:t>
      </w:r>
      <w:r w:rsidRPr="00B822C7">
        <w:rPr>
          <w:rFonts w:ascii="Arial" w:hAnsi="Arial" w:cs="Arial"/>
          <w:sz w:val="22"/>
          <w:szCs w:val="22"/>
          <w:u w:val="single"/>
        </w:rPr>
        <w:t xml:space="preserve"> – 2026: Car Parking Strategy (March 2015).</w:t>
      </w:r>
    </w:p>
    <w:p w14:paraId="68198CF8" w14:textId="77777777" w:rsidR="00DC4F3E" w:rsidRPr="00B822C7" w:rsidRDefault="00DC4F3E" w:rsidP="005A66C3">
      <w:pPr>
        <w:spacing w:line="276" w:lineRule="auto"/>
        <w:rPr>
          <w:rFonts w:ascii="Arial" w:hAnsi="Arial" w:cs="Arial"/>
          <w:sz w:val="22"/>
          <w:szCs w:val="22"/>
        </w:rPr>
      </w:pPr>
    </w:p>
    <w:p w14:paraId="7E5B5138" w14:textId="30DA2106" w:rsidR="00CD6B35" w:rsidRPr="00B822C7" w:rsidRDefault="00CD6B35" w:rsidP="005A66C3">
      <w:pPr>
        <w:spacing w:line="276" w:lineRule="auto"/>
        <w:rPr>
          <w:rFonts w:ascii="Arial" w:hAnsi="Arial" w:cs="Arial"/>
          <w:sz w:val="22"/>
          <w:szCs w:val="22"/>
          <w:u w:val="single"/>
        </w:rPr>
      </w:pPr>
      <w:r w:rsidRPr="00B822C7">
        <w:rPr>
          <w:rFonts w:ascii="Arial" w:hAnsi="Arial" w:cs="Arial"/>
          <w:sz w:val="22"/>
          <w:szCs w:val="22"/>
          <w:u w:val="single"/>
        </w:rPr>
        <w:t>The Wiltshire Local Transport Plan 4 (LTP4) (March 2025)</w:t>
      </w:r>
    </w:p>
    <w:bookmarkEnd w:id="1"/>
    <w:p w14:paraId="25DBDA88" w14:textId="77777777" w:rsidR="00CD6B35" w:rsidRPr="005A66C3" w:rsidRDefault="00CD6B35" w:rsidP="005A66C3">
      <w:pPr>
        <w:spacing w:line="276" w:lineRule="auto"/>
        <w:rPr>
          <w:rFonts w:ascii="Arial" w:hAnsi="Arial" w:cs="Arial"/>
          <w:color w:val="FF0000"/>
          <w:sz w:val="22"/>
          <w:szCs w:val="22"/>
        </w:rPr>
      </w:pPr>
    </w:p>
    <w:p w14:paraId="4E88C248" w14:textId="6E877BCF" w:rsidR="00CC6665" w:rsidRPr="005A66C3" w:rsidRDefault="00F25EA7" w:rsidP="005A66C3">
      <w:pPr>
        <w:pStyle w:val="NormalWeb"/>
        <w:spacing w:before="0" w:beforeAutospacing="0" w:after="0" w:afterAutospacing="0" w:line="276" w:lineRule="auto"/>
        <w:jc w:val="both"/>
        <w:rPr>
          <w:rFonts w:ascii="Arial" w:hAnsi="Arial" w:cs="Arial"/>
          <w:sz w:val="22"/>
          <w:szCs w:val="22"/>
          <w:u w:val="single"/>
        </w:rPr>
      </w:pPr>
      <w:r w:rsidRPr="005A66C3">
        <w:rPr>
          <w:rFonts w:ascii="Arial" w:hAnsi="Arial" w:cs="Arial"/>
          <w:sz w:val="22"/>
          <w:szCs w:val="22"/>
          <w:u w:val="single"/>
        </w:rPr>
        <w:t>New</w:t>
      </w:r>
      <w:r w:rsidR="00CC6665" w:rsidRPr="005A66C3">
        <w:rPr>
          <w:rFonts w:ascii="Arial" w:hAnsi="Arial" w:cs="Arial"/>
          <w:sz w:val="22"/>
          <w:szCs w:val="22"/>
          <w:u w:val="single"/>
        </w:rPr>
        <w:t xml:space="preserve"> Wiltshire Local Plan</w:t>
      </w:r>
    </w:p>
    <w:p w14:paraId="6F921899" w14:textId="77777777" w:rsidR="00CC6665" w:rsidRPr="005A66C3" w:rsidRDefault="00CC6665" w:rsidP="005A66C3">
      <w:pPr>
        <w:pStyle w:val="NormalWeb"/>
        <w:spacing w:before="0" w:beforeAutospacing="0" w:after="0" w:afterAutospacing="0" w:line="276" w:lineRule="auto"/>
        <w:jc w:val="both"/>
        <w:rPr>
          <w:rFonts w:ascii="Arial" w:hAnsi="Arial" w:cs="Arial"/>
          <w:sz w:val="22"/>
          <w:szCs w:val="22"/>
        </w:rPr>
      </w:pPr>
    </w:p>
    <w:p w14:paraId="75D1A4E7" w14:textId="77777777" w:rsidR="00F25EA7" w:rsidRPr="005A66C3" w:rsidRDefault="00F25EA7" w:rsidP="005A66C3">
      <w:pPr>
        <w:pStyle w:val="NoSpacing"/>
        <w:spacing w:line="276" w:lineRule="auto"/>
        <w:rPr>
          <w:rFonts w:eastAsiaTheme="minorEastAsia"/>
        </w:rPr>
      </w:pPr>
      <w:r w:rsidRPr="005A66C3">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2DED5EB3" w14:textId="77777777" w:rsidR="00F25EA7" w:rsidRPr="005A66C3" w:rsidRDefault="00F25EA7" w:rsidP="005A66C3">
      <w:pPr>
        <w:pStyle w:val="NoSpacing"/>
        <w:spacing w:line="276" w:lineRule="auto"/>
        <w:rPr>
          <w:rFonts w:eastAsiaTheme="minorEastAsia"/>
        </w:rPr>
      </w:pPr>
    </w:p>
    <w:p w14:paraId="55AB71C7" w14:textId="06B020F7" w:rsidR="00B13966" w:rsidRPr="005A66C3" w:rsidRDefault="00F25EA7" w:rsidP="005A66C3">
      <w:pPr>
        <w:pStyle w:val="NoSpacing"/>
        <w:spacing w:line="276" w:lineRule="auto"/>
        <w:rPr>
          <w:rFonts w:eastAsiaTheme="minorEastAsia"/>
        </w:rPr>
      </w:pPr>
      <w:r w:rsidRPr="005A66C3">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0C249314" w14:textId="77777777" w:rsidR="00F25EA7" w:rsidRPr="005A66C3" w:rsidRDefault="00F25EA7" w:rsidP="005A66C3">
      <w:pPr>
        <w:pStyle w:val="NoSpacing"/>
        <w:spacing w:line="276" w:lineRule="auto"/>
      </w:pPr>
    </w:p>
    <w:p w14:paraId="0A03C8CE" w14:textId="1B851FCE" w:rsidR="003B136F" w:rsidRPr="005A66C3" w:rsidRDefault="003B136F" w:rsidP="005A66C3">
      <w:pPr>
        <w:spacing w:line="276" w:lineRule="auto"/>
        <w:rPr>
          <w:rFonts w:ascii="Arial" w:hAnsi="Arial" w:cs="Arial"/>
          <w:b/>
          <w:bCs/>
          <w:sz w:val="22"/>
          <w:szCs w:val="22"/>
        </w:rPr>
      </w:pPr>
      <w:r w:rsidRPr="005A66C3">
        <w:rPr>
          <w:rFonts w:ascii="Arial" w:hAnsi="Arial" w:cs="Arial"/>
          <w:b/>
          <w:bCs/>
          <w:sz w:val="22"/>
          <w:szCs w:val="22"/>
        </w:rPr>
        <w:t>CONSULTATION</w:t>
      </w:r>
      <w:r w:rsidR="00DC4F3E" w:rsidRPr="005A66C3">
        <w:rPr>
          <w:rFonts w:ascii="Arial" w:hAnsi="Arial" w:cs="Arial"/>
          <w:b/>
          <w:bCs/>
          <w:sz w:val="22"/>
          <w:szCs w:val="22"/>
        </w:rPr>
        <w:t xml:space="preserve"> RESPONSES</w:t>
      </w:r>
    </w:p>
    <w:p w14:paraId="265F2859" w14:textId="77777777" w:rsidR="00F221E9" w:rsidRPr="005A66C3" w:rsidRDefault="00F221E9" w:rsidP="005A66C3">
      <w:pPr>
        <w:spacing w:line="276" w:lineRule="auto"/>
        <w:rPr>
          <w:rFonts w:ascii="Arial" w:hAnsi="Arial" w:cs="Arial"/>
          <w:bCs/>
          <w:sz w:val="22"/>
          <w:szCs w:val="22"/>
        </w:rPr>
      </w:pPr>
    </w:p>
    <w:p w14:paraId="19F00221" w14:textId="4C3CDB80" w:rsidR="0060536A" w:rsidRPr="001979E3" w:rsidRDefault="001979E3" w:rsidP="005A66C3">
      <w:pPr>
        <w:spacing w:line="276" w:lineRule="auto"/>
        <w:rPr>
          <w:rFonts w:ascii="Arial" w:hAnsi="Arial" w:cs="Arial"/>
          <w:bCs/>
          <w:sz w:val="22"/>
          <w:szCs w:val="22"/>
          <w:u w:val="single"/>
        </w:rPr>
      </w:pPr>
      <w:r w:rsidRPr="001979E3">
        <w:rPr>
          <w:rFonts w:ascii="Arial" w:hAnsi="Arial" w:cs="Arial"/>
          <w:bCs/>
          <w:sz w:val="22"/>
          <w:szCs w:val="22"/>
          <w:u w:val="single"/>
        </w:rPr>
        <w:t>Westbury</w:t>
      </w:r>
      <w:r w:rsidR="00DC4F3E" w:rsidRPr="001979E3">
        <w:rPr>
          <w:rFonts w:ascii="Arial" w:hAnsi="Arial" w:cs="Arial"/>
          <w:bCs/>
          <w:sz w:val="22"/>
          <w:szCs w:val="22"/>
          <w:u w:val="single"/>
        </w:rPr>
        <w:t xml:space="preserve"> </w:t>
      </w:r>
      <w:r w:rsidR="005D2581" w:rsidRPr="001979E3">
        <w:rPr>
          <w:rFonts w:ascii="Arial" w:hAnsi="Arial" w:cs="Arial"/>
          <w:bCs/>
          <w:sz w:val="22"/>
          <w:szCs w:val="22"/>
          <w:u w:val="single"/>
        </w:rPr>
        <w:t>Town Council</w:t>
      </w:r>
      <w:r w:rsidR="0060536A" w:rsidRPr="001979E3">
        <w:rPr>
          <w:rFonts w:ascii="Arial" w:hAnsi="Arial" w:cs="Arial"/>
          <w:bCs/>
          <w:sz w:val="22"/>
          <w:szCs w:val="22"/>
          <w:u w:val="single"/>
        </w:rPr>
        <w:t xml:space="preserve"> – </w:t>
      </w:r>
      <w:r w:rsidRPr="001979E3">
        <w:rPr>
          <w:rFonts w:ascii="Arial" w:hAnsi="Arial" w:cs="Arial"/>
          <w:bCs/>
          <w:sz w:val="22"/>
          <w:szCs w:val="22"/>
          <w:u w:val="single"/>
        </w:rPr>
        <w:t>No Objection</w:t>
      </w:r>
    </w:p>
    <w:p w14:paraId="50D4288D" w14:textId="77777777" w:rsidR="00DC4F3E" w:rsidRPr="005A66C3" w:rsidRDefault="00DC4F3E" w:rsidP="005A66C3">
      <w:pPr>
        <w:spacing w:line="276" w:lineRule="auto"/>
        <w:rPr>
          <w:rFonts w:ascii="Arial" w:hAnsi="Arial" w:cs="Arial"/>
          <w:sz w:val="22"/>
          <w:szCs w:val="22"/>
        </w:rPr>
      </w:pPr>
    </w:p>
    <w:p w14:paraId="4105122F" w14:textId="47778FCB" w:rsidR="003B136F"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REPRESENTATIONS</w:t>
      </w:r>
    </w:p>
    <w:p w14:paraId="062733D9" w14:textId="77777777" w:rsidR="005D2581" w:rsidRPr="005A66C3" w:rsidRDefault="005D2581" w:rsidP="005A66C3">
      <w:pPr>
        <w:spacing w:line="276" w:lineRule="auto"/>
        <w:rPr>
          <w:rFonts w:ascii="Arial" w:hAnsi="Arial" w:cs="Arial"/>
          <w:bCs/>
          <w:sz w:val="22"/>
          <w:szCs w:val="22"/>
        </w:rPr>
      </w:pPr>
    </w:p>
    <w:p w14:paraId="1C30F395" w14:textId="76247FD6" w:rsidR="00B15AD7" w:rsidRPr="001979E3" w:rsidRDefault="003A1308" w:rsidP="005A66C3">
      <w:pPr>
        <w:spacing w:line="276" w:lineRule="auto"/>
        <w:rPr>
          <w:rFonts w:ascii="Arial" w:hAnsi="Arial" w:cs="Arial"/>
          <w:bCs/>
          <w:sz w:val="22"/>
          <w:szCs w:val="22"/>
        </w:rPr>
      </w:pPr>
      <w:r w:rsidRPr="001979E3">
        <w:rPr>
          <w:rFonts w:ascii="Arial" w:hAnsi="Arial" w:cs="Arial"/>
          <w:bCs/>
          <w:sz w:val="22"/>
          <w:szCs w:val="22"/>
        </w:rPr>
        <w:lastRenderedPageBreak/>
        <w:t>No</w:t>
      </w:r>
      <w:r w:rsidR="003E43F6" w:rsidRPr="001979E3">
        <w:rPr>
          <w:rFonts w:ascii="Arial" w:hAnsi="Arial" w:cs="Arial"/>
          <w:bCs/>
          <w:sz w:val="22"/>
          <w:szCs w:val="22"/>
        </w:rPr>
        <w:t xml:space="preserve"> comments received.</w:t>
      </w:r>
    </w:p>
    <w:p w14:paraId="1CA26ADF" w14:textId="77777777" w:rsidR="00606E13" w:rsidRPr="005A66C3" w:rsidRDefault="00606E13" w:rsidP="005A66C3">
      <w:pPr>
        <w:spacing w:line="276" w:lineRule="auto"/>
        <w:rPr>
          <w:rFonts w:ascii="Arial" w:hAnsi="Arial" w:cs="Arial"/>
          <w:sz w:val="22"/>
          <w:szCs w:val="22"/>
        </w:rPr>
      </w:pPr>
    </w:p>
    <w:p w14:paraId="5FB3D8C4" w14:textId="2F925A64" w:rsidR="00B15AD7"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ASSESSMENT</w:t>
      </w:r>
    </w:p>
    <w:p w14:paraId="118FBF82" w14:textId="77777777" w:rsidR="006E26D9" w:rsidRPr="005A66C3" w:rsidRDefault="006E26D9" w:rsidP="005A66C3">
      <w:pPr>
        <w:spacing w:line="276" w:lineRule="auto"/>
        <w:rPr>
          <w:rFonts w:ascii="Arial" w:hAnsi="Arial" w:cs="Arial"/>
          <w:sz w:val="22"/>
          <w:szCs w:val="22"/>
        </w:rPr>
      </w:pPr>
    </w:p>
    <w:p w14:paraId="492BD5AC"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Section 38(6) of the Planning and Compulsory Purchase Act 2004 states:</w:t>
      </w:r>
    </w:p>
    <w:p w14:paraId="31B10479" w14:textId="77777777" w:rsidR="00C63478" w:rsidRPr="005A66C3" w:rsidRDefault="00C63478" w:rsidP="005A66C3">
      <w:pPr>
        <w:spacing w:line="276" w:lineRule="auto"/>
        <w:jc w:val="both"/>
        <w:rPr>
          <w:rFonts w:ascii="Arial" w:hAnsi="Arial" w:cs="Arial"/>
          <w:sz w:val="22"/>
          <w:szCs w:val="22"/>
        </w:rPr>
      </w:pPr>
    </w:p>
    <w:p w14:paraId="6F055964"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5A66C3" w:rsidRDefault="00C63478" w:rsidP="005A66C3">
      <w:pPr>
        <w:spacing w:line="276" w:lineRule="auto"/>
        <w:jc w:val="both"/>
        <w:rPr>
          <w:rFonts w:ascii="Arial" w:hAnsi="Arial" w:cs="Arial"/>
          <w:sz w:val="22"/>
          <w:szCs w:val="22"/>
        </w:rPr>
      </w:pPr>
    </w:p>
    <w:p w14:paraId="6DC3D758" w14:textId="1D9942D1" w:rsidR="003E43F6"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Default="006C1101" w:rsidP="005A66C3">
      <w:pPr>
        <w:spacing w:line="276" w:lineRule="auto"/>
        <w:rPr>
          <w:rFonts w:ascii="Arial" w:hAnsi="Arial" w:cs="Arial"/>
          <w:color w:val="FF0000"/>
          <w:sz w:val="22"/>
          <w:szCs w:val="22"/>
        </w:rPr>
      </w:pPr>
    </w:p>
    <w:p w14:paraId="7BC430E6" w14:textId="77777777" w:rsidR="00BB4F23" w:rsidRPr="00BB4F23" w:rsidRDefault="00BB4F23" w:rsidP="00BB4F23">
      <w:pPr>
        <w:spacing w:line="276" w:lineRule="auto"/>
        <w:jc w:val="both"/>
        <w:rPr>
          <w:rFonts w:ascii="Arial" w:hAnsi="Arial" w:cs="Arial"/>
          <w:sz w:val="22"/>
          <w:szCs w:val="22"/>
        </w:rPr>
      </w:pPr>
      <w:r w:rsidRPr="00BB4F23">
        <w:rPr>
          <w:rFonts w:ascii="Arial" w:hAnsi="Arial" w:cs="Arial"/>
          <w:sz w:val="22"/>
          <w:szCs w:val="22"/>
        </w:rPr>
        <w:t>The application relates to the alteration and extension of an existing dwellinghouse within the established residential settlement boundary of Westbury. The proposal would provide improved residential accommodation through the replacement and enlargement of an existing single-storey extension and does not involve the creation of a new dwelling or any change of use. As a form of domestic householder development within an established residential curtilage, the principle of development is considered acceptable, subject to the proposal's compliance with relevant design, amenity, environmental and technical planning considerations, which are assessed below.</w:t>
      </w:r>
    </w:p>
    <w:p w14:paraId="1FF0EE7A" w14:textId="77777777" w:rsidR="00323D7D" w:rsidRDefault="00323D7D" w:rsidP="005A66C3">
      <w:pPr>
        <w:spacing w:line="276" w:lineRule="auto"/>
        <w:rPr>
          <w:rFonts w:ascii="Arial" w:hAnsi="Arial" w:cs="Arial"/>
          <w:color w:val="FF0000"/>
          <w:sz w:val="22"/>
          <w:szCs w:val="22"/>
        </w:rPr>
      </w:pPr>
    </w:p>
    <w:p w14:paraId="16051FF9" w14:textId="77777777" w:rsidR="00323D7D" w:rsidRPr="005A66C3" w:rsidRDefault="00323D7D" w:rsidP="005A66C3">
      <w:pPr>
        <w:spacing w:line="276" w:lineRule="auto"/>
        <w:rPr>
          <w:rFonts w:ascii="Arial" w:hAnsi="Arial" w:cs="Arial"/>
          <w:sz w:val="22"/>
          <w:szCs w:val="22"/>
        </w:rPr>
      </w:pPr>
    </w:p>
    <w:p w14:paraId="013B8DA6" w14:textId="3253489B" w:rsidR="006C1101" w:rsidRPr="005A66C3" w:rsidRDefault="006C1101" w:rsidP="005A66C3">
      <w:pPr>
        <w:spacing w:line="276" w:lineRule="auto"/>
        <w:jc w:val="both"/>
        <w:rPr>
          <w:rFonts w:ascii="Arial" w:hAnsi="Arial" w:cs="Arial"/>
          <w:sz w:val="22"/>
          <w:szCs w:val="22"/>
          <w:u w:val="single"/>
        </w:rPr>
      </w:pPr>
      <w:r w:rsidRPr="005A66C3">
        <w:rPr>
          <w:rFonts w:ascii="Arial" w:hAnsi="Arial" w:cs="Arial"/>
          <w:sz w:val="22"/>
          <w:szCs w:val="22"/>
          <w:u w:val="single"/>
        </w:rPr>
        <w:t>Design and Impact the upon the character and context of the area</w:t>
      </w:r>
    </w:p>
    <w:p w14:paraId="4F1231BD" w14:textId="77777777" w:rsidR="006C1101" w:rsidRPr="005A66C3" w:rsidRDefault="006C1101" w:rsidP="005A66C3">
      <w:pPr>
        <w:spacing w:line="276" w:lineRule="auto"/>
        <w:jc w:val="both"/>
        <w:rPr>
          <w:rFonts w:ascii="Arial" w:hAnsi="Arial" w:cs="Arial"/>
          <w:sz w:val="22"/>
          <w:szCs w:val="22"/>
          <w:u w:val="single"/>
        </w:rPr>
      </w:pPr>
    </w:p>
    <w:p w14:paraId="0188589D" w14:textId="34A0BB50" w:rsidR="00713A31" w:rsidRDefault="0054166A" w:rsidP="0054166A">
      <w:pPr>
        <w:spacing w:line="276" w:lineRule="auto"/>
        <w:jc w:val="both"/>
        <w:rPr>
          <w:rFonts w:ascii="Arial" w:hAnsi="Arial" w:cs="Arial"/>
          <w:sz w:val="22"/>
          <w:szCs w:val="22"/>
        </w:rPr>
      </w:pPr>
      <w:r w:rsidRPr="0054166A">
        <w:rPr>
          <w:rFonts w:ascii="Arial" w:hAnsi="Arial" w:cs="Arial"/>
          <w:sz w:val="22"/>
          <w:szCs w:val="22"/>
        </w:rPr>
        <w:t xml:space="preserve">Core Policy 57 of the Wiltshire Core Strategy seeks to secure </w:t>
      </w:r>
      <w:r w:rsidR="00C577FF" w:rsidRPr="0054166A">
        <w:rPr>
          <w:rFonts w:ascii="Arial" w:hAnsi="Arial" w:cs="Arial"/>
          <w:sz w:val="22"/>
          <w:szCs w:val="22"/>
        </w:rPr>
        <w:t>high-quality</w:t>
      </w:r>
      <w:r w:rsidRPr="0054166A">
        <w:rPr>
          <w:rFonts w:ascii="Arial" w:hAnsi="Arial" w:cs="Arial"/>
          <w:sz w:val="22"/>
          <w:szCs w:val="22"/>
        </w:rPr>
        <w:t xml:space="preserve"> design which responds positively to local character and distinctiveness.</w:t>
      </w:r>
      <w:r>
        <w:rPr>
          <w:rFonts w:ascii="Arial" w:hAnsi="Arial" w:cs="Arial"/>
          <w:sz w:val="22"/>
          <w:szCs w:val="22"/>
        </w:rPr>
        <w:t xml:space="preserve"> </w:t>
      </w:r>
      <w:r w:rsidRPr="0054166A">
        <w:rPr>
          <w:rFonts w:ascii="Arial" w:hAnsi="Arial" w:cs="Arial"/>
          <w:sz w:val="22"/>
          <w:szCs w:val="22"/>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6F240A20" w14:textId="77777777" w:rsidR="0054166A" w:rsidRDefault="0054166A" w:rsidP="0054166A">
      <w:pPr>
        <w:spacing w:line="276" w:lineRule="auto"/>
        <w:jc w:val="both"/>
        <w:rPr>
          <w:rFonts w:ascii="Arial" w:hAnsi="Arial" w:cs="Arial"/>
          <w:color w:val="000000" w:themeColor="text1"/>
          <w:sz w:val="22"/>
          <w:szCs w:val="22"/>
        </w:rPr>
      </w:pPr>
    </w:p>
    <w:p w14:paraId="49E53268" w14:textId="251EE359" w:rsidR="009A7AAA" w:rsidRDefault="009A7AAA" w:rsidP="0054166A">
      <w:pPr>
        <w:spacing w:line="276" w:lineRule="auto"/>
        <w:jc w:val="both"/>
        <w:rPr>
          <w:rFonts w:ascii="Arial" w:hAnsi="Arial" w:cs="Arial"/>
          <w:color w:val="000000" w:themeColor="text1"/>
          <w:sz w:val="22"/>
          <w:szCs w:val="22"/>
        </w:rPr>
      </w:pPr>
      <w:r w:rsidRPr="009A7AAA">
        <w:rPr>
          <w:rFonts w:ascii="Arial" w:hAnsi="Arial" w:cs="Arial"/>
          <w:color w:val="000000" w:themeColor="text1"/>
          <w:sz w:val="22"/>
          <w:szCs w:val="22"/>
        </w:rPr>
        <w:t>The proposed development is considered acceptable in design terms. The extension would replace an existing conservatory-style structure which has a lightweight and somewhat dated appearance with a more permanent and cohesive addition that better reflects the character of the host dwelling. The use of brick elevations and tiled roofing would integrate more successfully with the existing building, while the modest increase in footprint and continued single-storey form ensures the proposal remains clearly subordinate to the principal dwelling. The proposed materials and detailing are considered appropriate to the character of the property and the wider residential area, resulting in a visual improvement over the existing arrangement.</w:t>
      </w:r>
    </w:p>
    <w:p w14:paraId="341F2DF6" w14:textId="77777777" w:rsidR="009A7AAA" w:rsidRPr="005A66C3" w:rsidRDefault="009A7AAA" w:rsidP="0054166A">
      <w:pPr>
        <w:spacing w:line="276" w:lineRule="auto"/>
        <w:jc w:val="both"/>
        <w:rPr>
          <w:rFonts w:ascii="Arial" w:hAnsi="Arial" w:cs="Arial"/>
          <w:color w:val="000000" w:themeColor="text1"/>
          <w:sz w:val="22"/>
          <w:szCs w:val="22"/>
        </w:rPr>
      </w:pPr>
    </w:p>
    <w:p w14:paraId="66BC3641" w14:textId="714E187E" w:rsidR="00713A31" w:rsidRPr="005A66C3" w:rsidRDefault="00713A31"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 xml:space="preserve">Having regard to the above, the proposal complies with the design principles set out in </w:t>
      </w:r>
      <w:r w:rsidR="0054166A">
        <w:rPr>
          <w:rFonts w:ascii="Arial" w:hAnsi="Arial" w:cs="Arial"/>
          <w:color w:val="000000" w:themeColor="text1"/>
          <w:sz w:val="22"/>
          <w:szCs w:val="22"/>
        </w:rPr>
        <w:t>the</w:t>
      </w:r>
      <w:r w:rsidR="00C577FF">
        <w:rPr>
          <w:rFonts w:ascii="Arial" w:hAnsi="Arial" w:cs="Arial"/>
          <w:color w:val="000000" w:themeColor="text1"/>
          <w:sz w:val="22"/>
          <w:szCs w:val="22"/>
        </w:rPr>
        <w:t xml:space="preserve"> NPPF Policy DP3, </w:t>
      </w:r>
      <w:r w:rsidRPr="005A66C3">
        <w:rPr>
          <w:rFonts w:ascii="Arial" w:hAnsi="Arial" w:cs="Arial"/>
          <w:color w:val="000000" w:themeColor="text1"/>
          <w:sz w:val="22"/>
          <w:szCs w:val="22"/>
        </w:rPr>
        <w:t>Core Policy 57 of the Wiltshire Core Strategy</w:t>
      </w:r>
      <w:r w:rsidR="00C577FF">
        <w:rPr>
          <w:rFonts w:ascii="Arial" w:hAnsi="Arial" w:cs="Arial"/>
          <w:color w:val="000000" w:themeColor="text1"/>
          <w:sz w:val="22"/>
          <w:szCs w:val="22"/>
        </w:rPr>
        <w:t>,</w:t>
      </w:r>
      <w:r w:rsidRPr="005A66C3">
        <w:rPr>
          <w:rFonts w:ascii="Arial" w:hAnsi="Arial" w:cs="Arial"/>
          <w:color w:val="000000" w:themeColor="text1"/>
          <w:sz w:val="22"/>
          <w:szCs w:val="22"/>
        </w:rPr>
        <w:t xml:space="preserve"> and Appendix D of the Wiltshire Design Guide.</w:t>
      </w:r>
    </w:p>
    <w:p w14:paraId="43E0AE03" w14:textId="77777777" w:rsidR="00C94CB8" w:rsidRDefault="00C94CB8" w:rsidP="005A66C3">
      <w:pPr>
        <w:spacing w:line="276" w:lineRule="auto"/>
        <w:rPr>
          <w:rFonts w:ascii="Arial" w:hAnsi="Arial" w:cs="Arial"/>
          <w:sz w:val="22"/>
          <w:szCs w:val="22"/>
        </w:rPr>
      </w:pPr>
    </w:p>
    <w:p w14:paraId="6E241BFB" w14:textId="45515EB4" w:rsidR="003E7ABA" w:rsidRDefault="003E7ABA" w:rsidP="005A66C3">
      <w:pPr>
        <w:spacing w:line="276" w:lineRule="auto"/>
        <w:rPr>
          <w:rFonts w:ascii="Arial" w:hAnsi="Arial" w:cs="Arial"/>
          <w:sz w:val="22"/>
          <w:szCs w:val="22"/>
        </w:rPr>
      </w:pPr>
      <w:r w:rsidRPr="003E7ABA">
        <w:rPr>
          <w:rFonts w:ascii="Arial" w:hAnsi="Arial" w:cs="Arial"/>
          <w:sz w:val="22"/>
          <w:szCs w:val="22"/>
        </w:rPr>
        <w:lastRenderedPageBreak/>
        <w:drawing>
          <wp:inline distT="0" distB="0" distL="0" distR="0" wp14:anchorId="5DAAEA2B" wp14:editId="2E34B88B">
            <wp:extent cx="6629400" cy="2477770"/>
            <wp:effectExtent l="0" t="0" r="0" b="0"/>
            <wp:docPr id="800104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04382" name=""/>
                    <pic:cNvPicPr/>
                  </pic:nvPicPr>
                  <pic:blipFill>
                    <a:blip r:embed="rId6"/>
                    <a:stretch>
                      <a:fillRect/>
                    </a:stretch>
                  </pic:blipFill>
                  <pic:spPr>
                    <a:xfrm>
                      <a:off x="0" y="0"/>
                      <a:ext cx="6629400" cy="2477770"/>
                    </a:xfrm>
                    <a:prstGeom prst="rect">
                      <a:avLst/>
                    </a:prstGeom>
                  </pic:spPr>
                </pic:pic>
              </a:graphicData>
            </a:graphic>
          </wp:inline>
        </w:drawing>
      </w:r>
    </w:p>
    <w:p w14:paraId="702FF0E1" w14:textId="6083C63E" w:rsidR="003E7ABA" w:rsidRPr="003E7ABA" w:rsidRDefault="003E7ABA" w:rsidP="003E7ABA">
      <w:pPr>
        <w:spacing w:line="276" w:lineRule="auto"/>
        <w:jc w:val="center"/>
        <w:rPr>
          <w:rFonts w:ascii="Arial" w:hAnsi="Arial" w:cs="Arial"/>
          <w:i/>
          <w:iCs/>
          <w:sz w:val="22"/>
          <w:szCs w:val="22"/>
        </w:rPr>
      </w:pPr>
      <w:r w:rsidRPr="003E7ABA">
        <w:rPr>
          <w:rFonts w:ascii="Arial" w:hAnsi="Arial" w:cs="Arial"/>
          <w:i/>
          <w:iCs/>
          <w:sz w:val="22"/>
          <w:szCs w:val="22"/>
        </w:rPr>
        <w:t>Existing and Proposed Elevations</w:t>
      </w:r>
    </w:p>
    <w:p w14:paraId="09B74235" w14:textId="77777777" w:rsidR="003E7ABA" w:rsidRDefault="003E7ABA" w:rsidP="005A66C3">
      <w:pPr>
        <w:spacing w:line="276" w:lineRule="auto"/>
        <w:rPr>
          <w:rFonts w:ascii="Arial" w:hAnsi="Arial" w:cs="Arial"/>
          <w:sz w:val="22"/>
          <w:szCs w:val="22"/>
        </w:rPr>
      </w:pPr>
    </w:p>
    <w:p w14:paraId="3126E144" w14:textId="166987DE" w:rsidR="00EE2733" w:rsidRDefault="00EE2733" w:rsidP="005A66C3">
      <w:pPr>
        <w:spacing w:line="276" w:lineRule="auto"/>
        <w:rPr>
          <w:rFonts w:ascii="Arial" w:hAnsi="Arial" w:cs="Arial"/>
          <w:sz w:val="22"/>
          <w:szCs w:val="22"/>
        </w:rPr>
      </w:pPr>
      <w:r w:rsidRPr="00EE2733">
        <w:rPr>
          <w:rFonts w:ascii="Arial" w:hAnsi="Arial" w:cs="Arial"/>
          <w:sz w:val="22"/>
          <w:szCs w:val="22"/>
        </w:rPr>
        <w:drawing>
          <wp:inline distT="0" distB="0" distL="0" distR="0" wp14:anchorId="698DFB8E" wp14:editId="7DA980C0">
            <wp:extent cx="6629400" cy="2214052"/>
            <wp:effectExtent l="0" t="0" r="0" b="0"/>
            <wp:docPr id="1468850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850404" name=""/>
                    <pic:cNvPicPr/>
                  </pic:nvPicPr>
                  <pic:blipFill rotWithShape="1">
                    <a:blip r:embed="rId7"/>
                    <a:srcRect t="11729"/>
                    <a:stretch>
                      <a:fillRect/>
                    </a:stretch>
                  </pic:blipFill>
                  <pic:spPr bwMode="auto">
                    <a:xfrm>
                      <a:off x="0" y="0"/>
                      <a:ext cx="6629400" cy="2214052"/>
                    </a:xfrm>
                    <a:prstGeom prst="rect">
                      <a:avLst/>
                    </a:prstGeom>
                    <a:ln>
                      <a:noFill/>
                    </a:ln>
                    <a:extLst>
                      <a:ext uri="{53640926-AAD7-44D8-BBD7-CCE9431645EC}">
                        <a14:shadowObscured xmlns:a14="http://schemas.microsoft.com/office/drawing/2010/main"/>
                      </a:ext>
                    </a:extLst>
                  </pic:spPr>
                </pic:pic>
              </a:graphicData>
            </a:graphic>
          </wp:inline>
        </w:drawing>
      </w:r>
    </w:p>
    <w:p w14:paraId="26CF123C" w14:textId="477F7EC3" w:rsidR="00EE2733" w:rsidRPr="00EE2733" w:rsidRDefault="00EE2733" w:rsidP="00EE2733">
      <w:pPr>
        <w:spacing w:line="276" w:lineRule="auto"/>
        <w:jc w:val="center"/>
        <w:rPr>
          <w:rFonts w:ascii="Arial" w:hAnsi="Arial" w:cs="Arial"/>
          <w:i/>
          <w:iCs/>
          <w:sz w:val="22"/>
          <w:szCs w:val="22"/>
        </w:rPr>
      </w:pPr>
      <w:r w:rsidRPr="00EE2733">
        <w:rPr>
          <w:rFonts w:ascii="Arial" w:hAnsi="Arial" w:cs="Arial"/>
          <w:i/>
          <w:iCs/>
          <w:sz w:val="22"/>
          <w:szCs w:val="22"/>
        </w:rPr>
        <w:t>Site Visit (Rear Elevation)</w:t>
      </w:r>
    </w:p>
    <w:p w14:paraId="7AEE1764" w14:textId="77777777" w:rsidR="00EE2733" w:rsidRDefault="00EE2733" w:rsidP="005A66C3">
      <w:pPr>
        <w:spacing w:line="276" w:lineRule="auto"/>
        <w:rPr>
          <w:rFonts w:ascii="Arial" w:hAnsi="Arial" w:cs="Arial"/>
          <w:sz w:val="22"/>
          <w:szCs w:val="22"/>
        </w:rPr>
      </w:pPr>
    </w:p>
    <w:p w14:paraId="073EF597" w14:textId="7933E686" w:rsidR="00630A16" w:rsidRDefault="00630A16" w:rsidP="005A66C3">
      <w:pPr>
        <w:spacing w:line="276" w:lineRule="auto"/>
        <w:rPr>
          <w:rFonts w:ascii="Arial" w:hAnsi="Arial" w:cs="Arial"/>
          <w:sz w:val="22"/>
          <w:szCs w:val="22"/>
        </w:rPr>
      </w:pPr>
      <w:r w:rsidRPr="00630A16">
        <w:rPr>
          <w:rFonts w:ascii="Arial" w:hAnsi="Arial" w:cs="Arial"/>
          <w:sz w:val="22"/>
          <w:szCs w:val="22"/>
        </w:rPr>
        <w:drawing>
          <wp:inline distT="0" distB="0" distL="0" distR="0" wp14:anchorId="571FA774" wp14:editId="75CA7D4D">
            <wp:extent cx="6629400" cy="2785110"/>
            <wp:effectExtent l="0" t="0" r="0" b="0"/>
            <wp:docPr id="71599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9214" name=""/>
                    <pic:cNvPicPr/>
                  </pic:nvPicPr>
                  <pic:blipFill>
                    <a:blip r:embed="rId8"/>
                    <a:stretch>
                      <a:fillRect/>
                    </a:stretch>
                  </pic:blipFill>
                  <pic:spPr>
                    <a:xfrm>
                      <a:off x="0" y="0"/>
                      <a:ext cx="6629400" cy="2785110"/>
                    </a:xfrm>
                    <a:prstGeom prst="rect">
                      <a:avLst/>
                    </a:prstGeom>
                  </pic:spPr>
                </pic:pic>
              </a:graphicData>
            </a:graphic>
          </wp:inline>
        </w:drawing>
      </w:r>
    </w:p>
    <w:p w14:paraId="55CA2AFE" w14:textId="5FABA555" w:rsidR="00630A16" w:rsidRPr="00630A16" w:rsidRDefault="00630A16" w:rsidP="00630A16">
      <w:pPr>
        <w:spacing w:line="276" w:lineRule="auto"/>
        <w:jc w:val="center"/>
        <w:rPr>
          <w:rFonts w:ascii="Arial" w:hAnsi="Arial" w:cs="Arial"/>
          <w:i/>
          <w:iCs/>
          <w:sz w:val="22"/>
          <w:szCs w:val="22"/>
        </w:rPr>
      </w:pPr>
      <w:r w:rsidRPr="00630A16">
        <w:rPr>
          <w:rFonts w:ascii="Arial" w:hAnsi="Arial" w:cs="Arial"/>
          <w:i/>
          <w:iCs/>
          <w:sz w:val="22"/>
          <w:szCs w:val="22"/>
        </w:rPr>
        <w:t>Site Visit (Front Elevation)</w:t>
      </w:r>
    </w:p>
    <w:p w14:paraId="3535C283" w14:textId="77777777" w:rsidR="00630A16" w:rsidRPr="005A66C3" w:rsidRDefault="00630A16" w:rsidP="005A66C3">
      <w:pPr>
        <w:spacing w:line="276" w:lineRule="auto"/>
        <w:rPr>
          <w:rFonts w:ascii="Arial" w:hAnsi="Arial" w:cs="Arial"/>
          <w:sz w:val="22"/>
          <w:szCs w:val="22"/>
        </w:rPr>
      </w:pPr>
    </w:p>
    <w:p w14:paraId="2D95CBD1" w14:textId="69364EA8" w:rsidR="007A5705" w:rsidRPr="005A66C3" w:rsidRDefault="006C1101" w:rsidP="005A66C3">
      <w:pPr>
        <w:spacing w:line="276" w:lineRule="auto"/>
        <w:rPr>
          <w:rFonts w:ascii="Arial" w:hAnsi="Arial" w:cs="Arial"/>
          <w:sz w:val="22"/>
          <w:szCs w:val="22"/>
          <w:u w:val="single"/>
        </w:rPr>
      </w:pPr>
      <w:r w:rsidRPr="005A66C3">
        <w:rPr>
          <w:rFonts w:ascii="Arial" w:hAnsi="Arial" w:cs="Arial"/>
          <w:sz w:val="22"/>
          <w:szCs w:val="22"/>
          <w:u w:val="single"/>
        </w:rPr>
        <w:lastRenderedPageBreak/>
        <w:t>Amenity</w:t>
      </w:r>
    </w:p>
    <w:p w14:paraId="2115ADE5" w14:textId="77777777" w:rsidR="00BA0474" w:rsidRPr="005A66C3" w:rsidRDefault="00BA0474" w:rsidP="005A66C3">
      <w:pPr>
        <w:spacing w:line="276" w:lineRule="auto"/>
        <w:rPr>
          <w:rFonts w:ascii="Arial" w:hAnsi="Arial" w:cs="Arial"/>
          <w:sz w:val="22"/>
          <w:szCs w:val="22"/>
          <w:u w:val="single"/>
        </w:rPr>
      </w:pPr>
    </w:p>
    <w:p w14:paraId="4B1279BD" w14:textId="0473A240" w:rsidR="00BA0474" w:rsidRDefault="004F4B97" w:rsidP="004F4B97">
      <w:pPr>
        <w:spacing w:line="276" w:lineRule="auto"/>
        <w:jc w:val="both"/>
        <w:rPr>
          <w:rFonts w:ascii="Arial" w:hAnsi="Arial" w:cs="Arial"/>
          <w:sz w:val="22"/>
          <w:szCs w:val="22"/>
        </w:rPr>
      </w:pPr>
      <w:r w:rsidRPr="004F4B97">
        <w:rPr>
          <w:rFonts w:ascii="Arial" w:hAnsi="Arial" w:cs="Arial"/>
          <w:sz w:val="22"/>
          <w:szCs w:val="22"/>
        </w:rPr>
        <w:t>Core Policy 57 criterion vii seeks to ensure development does not have an unacceptable impact upon the amenities of neighbouring occupiers.</w:t>
      </w:r>
      <w:r>
        <w:rPr>
          <w:rFonts w:ascii="Arial" w:hAnsi="Arial" w:cs="Arial"/>
          <w:sz w:val="22"/>
          <w:szCs w:val="22"/>
        </w:rPr>
        <w:t xml:space="preserve"> </w:t>
      </w:r>
      <w:r w:rsidRPr="004F4B97">
        <w:rPr>
          <w:rFonts w:ascii="Arial" w:hAnsi="Arial" w:cs="Arial"/>
          <w:sz w:val="22"/>
          <w:szCs w:val="22"/>
        </w:rPr>
        <w:t>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w:t>
      </w:r>
      <w:r>
        <w:rPr>
          <w:rFonts w:ascii="Arial" w:hAnsi="Arial" w:cs="Arial"/>
          <w:sz w:val="22"/>
          <w:szCs w:val="22"/>
        </w:rPr>
        <w:t xml:space="preserve"> </w:t>
      </w:r>
      <w:r w:rsidRPr="004F4B97">
        <w:rPr>
          <w:rFonts w:ascii="Arial" w:hAnsi="Arial" w:cs="Arial"/>
          <w:sz w:val="22"/>
          <w:szCs w:val="22"/>
        </w:rPr>
        <w:t>Accordingly, the assessment below considers the effect of the proposal upon neighbouring occupiers and whether acceptable living conditions would be maintained.</w:t>
      </w:r>
    </w:p>
    <w:p w14:paraId="39A5476A" w14:textId="77777777" w:rsidR="004F4B97" w:rsidRPr="005A66C3" w:rsidRDefault="004F4B97" w:rsidP="004F4B97">
      <w:pPr>
        <w:spacing w:line="276" w:lineRule="auto"/>
        <w:jc w:val="both"/>
        <w:rPr>
          <w:rFonts w:ascii="Arial" w:hAnsi="Arial" w:cs="Arial"/>
          <w:color w:val="000000" w:themeColor="text1"/>
          <w:sz w:val="22"/>
          <w:szCs w:val="22"/>
        </w:rPr>
      </w:pPr>
    </w:p>
    <w:p w14:paraId="73980478" w14:textId="0A3346F3" w:rsidR="00BA0474" w:rsidRDefault="00F108A5" w:rsidP="005A66C3">
      <w:pPr>
        <w:spacing w:line="276" w:lineRule="auto"/>
        <w:jc w:val="both"/>
        <w:rPr>
          <w:rFonts w:ascii="Arial" w:hAnsi="Arial" w:cs="Arial"/>
          <w:color w:val="000000" w:themeColor="text1"/>
          <w:sz w:val="22"/>
          <w:szCs w:val="22"/>
        </w:rPr>
      </w:pPr>
      <w:r w:rsidRPr="00F108A5">
        <w:rPr>
          <w:rFonts w:ascii="Arial" w:hAnsi="Arial" w:cs="Arial"/>
          <w:color w:val="000000" w:themeColor="text1"/>
          <w:sz w:val="22"/>
          <w:szCs w:val="22"/>
        </w:rPr>
        <w:t>The proposal would not result in any unacceptable impacts upon the living conditions of neighbouring occupiers. The extension is wholly single-storey in scale and would be positioned on the side of the dwelling where there are no neighbouring residential properties. As such, its limited height and modest projection would not give rise to material overlooking, overshadowing or overbearing effects. The proposed windows, doors and rooflights would principally serve the applicant's own property and garden areas and would not introduce opportunities for harmful loss of privacy. It is therefore considered that the development would preserve the amenity of surrounding residents.</w:t>
      </w:r>
    </w:p>
    <w:p w14:paraId="422D8B10" w14:textId="77777777" w:rsidR="00F108A5" w:rsidRPr="005A66C3" w:rsidRDefault="00F108A5" w:rsidP="005A66C3">
      <w:pPr>
        <w:spacing w:line="276" w:lineRule="auto"/>
        <w:jc w:val="both"/>
        <w:rPr>
          <w:rFonts w:ascii="Arial" w:hAnsi="Arial" w:cs="Arial"/>
          <w:color w:val="000000" w:themeColor="text1"/>
          <w:sz w:val="22"/>
          <w:szCs w:val="22"/>
        </w:rPr>
      </w:pPr>
    </w:p>
    <w:p w14:paraId="29F05B7E" w14:textId="77777777" w:rsidR="00BA0474" w:rsidRPr="005A66C3" w:rsidRDefault="00BA0474"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29B424F" w14:textId="77777777" w:rsidR="002C01FA" w:rsidRPr="005A66C3" w:rsidRDefault="002C01FA" w:rsidP="002C01FA">
      <w:pPr>
        <w:spacing w:line="276" w:lineRule="auto"/>
        <w:rPr>
          <w:rFonts w:ascii="Arial" w:hAnsi="Arial" w:cs="Arial"/>
          <w:sz w:val="22"/>
          <w:szCs w:val="22"/>
        </w:rPr>
      </w:pPr>
    </w:p>
    <w:p w14:paraId="4AE439C7" w14:textId="5926B438" w:rsidR="002A73D1" w:rsidRPr="005A66C3" w:rsidRDefault="00212E9D" w:rsidP="005A66C3">
      <w:pPr>
        <w:spacing w:line="276" w:lineRule="auto"/>
        <w:rPr>
          <w:rFonts w:ascii="Arial" w:hAnsi="Arial" w:cs="Arial"/>
          <w:b/>
          <w:bCs/>
          <w:i/>
          <w:iCs/>
          <w:sz w:val="22"/>
          <w:szCs w:val="22"/>
          <w:u w:val="single"/>
        </w:rPr>
      </w:pPr>
      <w:r w:rsidRPr="005A66C3">
        <w:rPr>
          <w:rFonts w:ascii="Arial" w:hAnsi="Arial" w:cs="Arial"/>
          <w:sz w:val="22"/>
          <w:szCs w:val="22"/>
          <w:u w:val="single"/>
        </w:rPr>
        <w:t xml:space="preserve">Transport and </w:t>
      </w:r>
      <w:r w:rsidR="00AB1E61" w:rsidRPr="005A66C3">
        <w:rPr>
          <w:rFonts w:ascii="Arial" w:hAnsi="Arial" w:cs="Arial"/>
          <w:sz w:val="22"/>
          <w:szCs w:val="22"/>
          <w:u w:val="single"/>
        </w:rPr>
        <w:t>H</w:t>
      </w:r>
      <w:r w:rsidRPr="005A66C3">
        <w:rPr>
          <w:rFonts w:ascii="Arial" w:hAnsi="Arial" w:cs="Arial"/>
          <w:sz w:val="22"/>
          <w:szCs w:val="22"/>
          <w:u w:val="single"/>
        </w:rPr>
        <w:t>ighways</w:t>
      </w:r>
    </w:p>
    <w:p w14:paraId="7B6350F3" w14:textId="77777777" w:rsidR="0066611A" w:rsidRDefault="0066611A" w:rsidP="005A66C3">
      <w:pPr>
        <w:spacing w:line="276" w:lineRule="auto"/>
        <w:rPr>
          <w:rFonts w:ascii="Arial" w:hAnsi="Arial" w:cs="Arial"/>
          <w:color w:val="FF0000"/>
          <w:sz w:val="22"/>
          <w:szCs w:val="22"/>
        </w:rPr>
      </w:pPr>
    </w:p>
    <w:p w14:paraId="236F1B6D" w14:textId="28711AA2" w:rsidR="00441C5A" w:rsidRPr="001A5972" w:rsidRDefault="001A5972" w:rsidP="001A5972">
      <w:pPr>
        <w:spacing w:line="276" w:lineRule="auto"/>
        <w:jc w:val="both"/>
        <w:rPr>
          <w:rFonts w:ascii="Arial" w:hAnsi="Arial" w:cs="Arial"/>
          <w:sz w:val="22"/>
          <w:szCs w:val="22"/>
        </w:rPr>
      </w:pPr>
      <w:r w:rsidRPr="001A5972">
        <w:rPr>
          <w:rFonts w:ascii="Arial" w:hAnsi="Arial" w:cs="Arial"/>
          <w:sz w:val="22"/>
          <w:szCs w:val="22"/>
        </w:rPr>
        <w:t>Core Policies 60, 61 and 64 of the Wiltshire Core Strategy seek to promote sustainable transport, secure safe access arrangements and ensure adequate parking provision. Nationally, Policies TR3 and TR4 of the National Planning Policy Framework require development to be located in sustainable locations where appropriate, provide safe access arrangements, prioritise walking, wheeling and cycling, and provide suitable 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1B355C47" w14:textId="77777777" w:rsidR="001A5972" w:rsidRDefault="001A5972" w:rsidP="005A66C3">
      <w:pPr>
        <w:spacing w:line="276" w:lineRule="auto"/>
        <w:jc w:val="both"/>
        <w:rPr>
          <w:rFonts w:ascii="Arial" w:hAnsi="Arial" w:cs="Arial"/>
          <w:color w:val="FF0000"/>
          <w:sz w:val="22"/>
          <w:szCs w:val="22"/>
        </w:rPr>
      </w:pPr>
    </w:p>
    <w:p w14:paraId="64FE3675" w14:textId="77777777" w:rsidR="00264C1A" w:rsidRPr="00264C1A" w:rsidRDefault="00264C1A" w:rsidP="00264C1A">
      <w:pPr>
        <w:spacing w:line="276" w:lineRule="auto"/>
        <w:jc w:val="both"/>
        <w:rPr>
          <w:rFonts w:ascii="Arial" w:hAnsi="Arial" w:cs="Arial"/>
          <w:sz w:val="22"/>
          <w:szCs w:val="22"/>
        </w:rPr>
      </w:pPr>
      <w:r w:rsidRPr="00264C1A">
        <w:rPr>
          <w:rFonts w:ascii="Arial" w:hAnsi="Arial" w:cs="Arial"/>
          <w:sz w:val="22"/>
          <w:szCs w:val="22"/>
        </w:rPr>
        <w:t>The proposed development would not adversely affect highway safety or parking provision. The application relates solely to alterations and extensions to an existing dwelling and would not create any additional residential units or bedrooms that would increase parking demand. No changes are proposed to the existing access arrangements, parking areas or vehicle movements associated with the site. Accordingly, the proposal is considered acceptable from a highways perspective.</w:t>
      </w:r>
    </w:p>
    <w:p w14:paraId="1D84EB61" w14:textId="77777777" w:rsidR="002A73D1" w:rsidRPr="005A66C3" w:rsidRDefault="002A73D1" w:rsidP="005A66C3">
      <w:pPr>
        <w:spacing w:line="276" w:lineRule="auto"/>
        <w:rPr>
          <w:rFonts w:ascii="Arial" w:hAnsi="Arial" w:cs="Arial"/>
          <w:sz w:val="22"/>
          <w:szCs w:val="22"/>
        </w:rPr>
      </w:pPr>
    </w:p>
    <w:p w14:paraId="4F59081F" w14:textId="3F354385"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Ecology</w:t>
      </w:r>
    </w:p>
    <w:p w14:paraId="365F80D8" w14:textId="77777777" w:rsidR="0066611A" w:rsidRDefault="0066611A" w:rsidP="005A66C3">
      <w:pPr>
        <w:spacing w:line="276" w:lineRule="auto"/>
        <w:jc w:val="both"/>
        <w:rPr>
          <w:rFonts w:ascii="Arial" w:hAnsi="Arial" w:cs="Arial"/>
          <w:color w:val="FF0000"/>
          <w:sz w:val="22"/>
          <w:szCs w:val="22"/>
        </w:rPr>
      </w:pPr>
    </w:p>
    <w:p w14:paraId="19FD70BD" w14:textId="2C3BBFC8" w:rsidR="0050269B" w:rsidRPr="00264C1A" w:rsidRDefault="0054447E" w:rsidP="0071327B">
      <w:pPr>
        <w:spacing w:line="276" w:lineRule="auto"/>
        <w:jc w:val="both"/>
        <w:rPr>
          <w:rFonts w:ascii="Arial" w:hAnsi="Arial" w:cs="Arial"/>
          <w:sz w:val="22"/>
          <w:szCs w:val="22"/>
        </w:rPr>
      </w:pPr>
      <w:r w:rsidRPr="00264C1A">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w:t>
      </w:r>
      <w:r w:rsidR="0071327B" w:rsidRPr="00264C1A">
        <w:rPr>
          <w:rFonts w:ascii="Arial" w:hAnsi="Arial" w:cs="Arial"/>
          <w:sz w:val="22"/>
          <w:szCs w:val="22"/>
        </w:rPr>
        <w:t xml:space="preserve"> </w:t>
      </w:r>
      <w:r w:rsidR="00640499" w:rsidRPr="00264C1A">
        <w:rPr>
          <w:rFonts w:ascii="Arial" w:hAnsi="Arial" w:cs="Arial"/>
          <w:sz w:val="22"/>
          <w:szCs w:val="22"/>
        </w:rPr>
        <w:t>Biodiversity Net Gain (BNG) was established as a mandatory aspect of planning evaluation through Schedule 7A of the Town and Country Planning Act 1990 (as amended by the Environment Act 2021 Schedule 14).</w:t>
      </w:r>
      <w:r w:rsidR="00264C1A" w:rsidRPr="00264C1A">
        <w:rPr>
          <w:rFonts w:ascii="Arial" w:hAnsi="Arial" w:cs="Arial"/>
          <w:sz w:val="22"/>
          <w:szCs w:val="22"/>
        </w:rPr>
        <w:t xml:space="preserve"> </w:t>
      </w:r>
      <w:r w:rsidR="0071327B" w:rsidRPr="00264C1A">
        <w:rPr>
          <w:rFonts w:ascii="Arial" w:hAnsi="Arial" w:cs="Arial"/>
          <w:sz w:val="22"/>
          <w:szCs w:val="22"/>
        </w:rPr>
        <w:t xml:space="preserve">Householder development is exempt from </w:t>
      </w:r>
      <w:r w:rsidR="0071327B" w:rsidRPr="00264C1A">
        <w:rPr>
          <w:rFonts w:ascii="Arial" w:hAnsi="Arial" w:cs="Arial"/>
          <w:sz w:val="22"/>
          <w:szCs w:val="22"/>
        </w:rPr>
        <w:lastRenderedPageBreak/>
        <w:t>the statutory Biodiversity Net Gain requirements introduced through Schedule 7A of the Town and Country Planning Act 1990 (as amended). Nevertheless, proposals should seek to avoid ecological harm and incorporate biodiversity enhancements where appropriate.</w:t>
      </w:r>
    </w:p>
    <w:p w14:paraId="0096CB2B" w14:textId="77777777" w:rsidR="0071327B" w:rsidRPr="00264C1A" w:rsidRDefault="0071327B" w:rsidP="00264C1A">
      <w:pPr>
        <w:spacing w:line="276" w:lineRule="auto"/>
        <w:jc w:val="both"/>
        <w:rPr>
          <w:rFonts w:ascii="Arial" w:hAnsi="Arial" w:cs="Arial"/>
          <w:sz w:val="22"/>
          <w:szCs w:val="22"/>
        </w:rPr>
      </w:pPr>
    </w:p>
    <w:p w14:paraId="6A3DBA89" w14:textId="77777777" w:rsidR="00264C1A" w:rsidRPr="00264C1A" w:rsidRDefault="00264C1A" w:rsidP="00264C1A">
      <w:pPr>
        <w:spacing w:line="276" w:lineRule="auto"/>
        <w:jc w:val="both"/>
        <w:rPr>
          <w:rFonts w:ascii="Arial" w:hAnsi="Arial" w:cs="Arial"/>
          <w:sz w:val="22"/>
          <w:szCs w:val="22"/>
        </w:rPr>
      </w:pPr>
      <w:r w:rsidRPr="00264C1A">
        <w:rPr>
          <w:rFonts w:ascii="Arial" w:hAnsi="Arial" w:cs="Arial"/>
          <w:sz w:val="22"/>
          <w:szCs w:val="22"/>
        </w:rPr>
        <w:t>The site falls within a number of ecological consultation zones, including the Bath and Bradford-on-Avon Bats SAC Core Roost Buffer and the Trowbridge and Westbury Bat Mitigation Strategy Grey Zone. However, the proposal involves the replacement of an existing domestic conservatory-style extension within an established residential curtilage and does not entail the loss of habitats of known ecological value. The works would represent a replacement of an existing built form with a similarly positioned extension and there is no evidence to indicate likely significant effects on protected species, the SAC or other designated ecological interests. Having regard to the nature and scale of the proposal, the development is considered acceptable in ecology terms.</w:t>
      </w:r>
    </w:p>
    <w:p w14:paraId="26558037" w14:textId="77777777" w:rsidR="002A73D1" w:rsidRPr="005A66C3" w:rsidRDefault="002A73D1" w:rsidP="005A66C3">
      <w:pPr>
        <w:spacing w:line="276" w:lineRule="auto"/>
        <w:rPr>
          <w:rFonts w:ascii="Arial" w:hAnsi="Arial" w:cs="Arial"/>
          <w:sz w:val="22"/>
          <w:szCs w:val="22"/>
        </w:rPr>
      </w:pPr>
    </w:p>
    <w:p w14:paraId="5868754C" w14:textId="30F6DF58"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Flooding and Drainage</w:t>
      </w:r>
    </w:p>
    <w:p w14:paraId="60CABD78" w14:textId="77777777" w:rsidR="0066611A" w:rsidRDefault="0066611A" w:rsidP="00DE3E46">
      <w:pPr>
        <w:spacing w:line="276" w:lineRule="auto"/>
        <w:jc w:val="both"/>
        <w:rPr>
          <w:rFonts w:ascii="Arial" w:hAnsi="Arial" w:cs="Arial"/>
          <w:sz w:val="22"/>
          <w:szCs w:val="22"/>
        </w:rPr>
      </w:pPr>
    </w:p>
    <w:p w14:paraId="5781F7A4" w14:textId="609698DD" w:rsidR="00C922CA" w:rsidRPr="006F59EB" w:rsidRDefault="00DE3E46" w:rsidP="006F59EB">
      <w:pPr>
        <w:spacing w:line="276" w:lineRule="auto"/>
        <w:jc w:val="both"/>
        <w:rPr>
          <w:rFonts w:ascii="Arial" w:hAnsi="Arial" w:cs="Arial"/>
          <w:sz w:val="22"/>
          <w:szCs w:val="22"/>
        </w:rPr>
      </w:pPr>
      <w:r w:rsidRPr="00DE3E46">
        <w:rPr>
          <w:rFonts w:ascii="Arial" w:hAnsi="Arial" w:cs="Arial"/>
          <w:sz w:val="22"/>
          <w:szCs w:val="22"/>
        </w:rPr>
        <w:t>Core Policy 67 of the Wiltshire Core Strategy seeks to ensure that development is directed away from areas at greatest risk of flooding and is designed to minimise vulnerability to flooding whilst avoiding any increase in flood risk elsewhere.</w:t>
      </w:r>
      <w:r>
        <w:rPr>
          <w:rFonts w:ascii="Arial" w:hAnsi="Arial" w:cs="Arial"/>
          <w:sz w:val="22"/>
          <w:szCs w:val="22"/>
        </w:rPr>
        <w:t xml:space="preserve"> </w:t>
      </w:r>
      <w:r w:rsidRPr="00DE3E46">
        <w:rPr>
          <w:rFonts w:ascii="Arial" w:hAnsi="Arial" w:cs="Arial"/>
          <w:sz w:val="22"/>
          <w:szCs w:val="22"/>
        </w:rPr>
        <w:t xml:space="preserve">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in order to manage surface water runoff </w:t>
      </w:r>
      <w:r w:rsidRPr="006F59EB">
        <w:rPr>
          <w:rFonts w:ascii="Arial" w:hAnsi="Arial" w:cs="Arial"/>
          <w:sz w:val="22"/>
          <w:szCs w:val="22"/>
        </w:rPr>
        <w:t>and reduce the potential for flooding.</w:t>
      </w:r>
    </w:p>
    <w:p w14:paraId="482AF280" w14:textId="77777777" w:rsidR="00DE3E46" w:rsidRPr="006F59EB" w:rsidRDefault="00DE3E46" w:rsidP="006F59EB">
      <w:pPr>
        <w:spacing w:line="276" w:lineRule="auto"/>
        <w:jc w:val="both"/>
        <w:rPr>
          <w:rFonts w:ascii="Arial" w:hAnsi="Arial" w:cs="Arial"/>
          <w:sz w:val="22"/>
          <w:szCs w:val="22"/>
        </w:rPr>
      </w:pPr>
    </w:p>
    <w:p w14:paraId="721AF1B7" w14:textId="3F91286A" w:rsidR="00C922CA" w:rsidRPr="006F59EB" w:rsidRDefault="006F59EB" w:rsidP="006F59EB">
      <w:pPr>
        <w:spacing w:line="276" w:lineRule="auto"/>
        <w:jc w:val="both"/>
        <w:rPr>
          <w:rFonts w:ascii="Arial" w:hAnsi="Arial" w:cs="Arial"/>
          <w:sz w:val="22"/>
          <w:szCs w:val="22"/>
        </w:rPr>
      </w:pPr>
      <w:r w:rsidRPr="006F59EB">
        <w:rPr>
          <w:rFonts w:ascii="Arial" w:hAnsi="Arial" w:cs="Arial"/>
          <w:sz w:val="22"/>
          <w:szCs w:val="22"/>
        </w:rPr>
        <w:t>The site is located within Flood Zone 1 and is identified by the Council's Strategic Flood Risk Assessment as being at negligible risk of surface water and groundwater flooding. The development would largely replace an existing built structure and associated hard surfacing, with only a modest increase in the overall footprint of development. Given the limited scale of the proposal and its domestic nature, it is not considered that the works would materially increase flood risk on or off site or give rise to adverse drainage impacts. The proposal is therefore acceptable with regard to drainage and flood risk considerations.</w:t>
      </w:r>
    </w:p>
    <w:p w14:paraId="42905E98" w14:textId="77777777" w:rsidR="00C2367F" w:rsidRPr="005A66C3" w:rsidRDefault="00C2367F" w:rsidP="00C2367F">
      <w:pPr>
        <w:pStyle w:val="NormalWeb"/>
        <w:spacing w:before="0" w:beforeAutospacing="0" w:after="0" w:afterAutospacing="0" w:line="276" w:lineRule="auto"/>
        <w:jc w:val="both"/>
        <w:rPr>
          <w:rFonts w:ascii="Arial" w:hAnsi="Arial" w:cs="Arial"/>
          <w:sz w:val="22"/>
          <w:szCs w:val="22"/>
        </w:rPr>
      </w:pPr>
    </w:p>
    <w:p w14:paraId="70FB5521" w14:textId="712CE07B" w:rsidR="00075C07" w:rsidRPr="005A66C3" w:rsidRDefault="00075C07" w:rsidP="00C2367F">
      <w:pPr>
        <w:spacing w:line="276" w:lineRule="auto"/>
        <w:rPr>
          <w:rFonts w:ascii="Arial" w:hAnsi="Arial" w:cs="Arial"/>
          <w:b/>
          <w:bCs/>
          <w:sz w:val="22"/>
          <w:szCs w:val="22"/>
        </w:rPr>
      </w:pPr>
      <w:r w:rsidRPr="005A66C3">
        <w:rPr>
          <w:rFonts w:ascii="Arial" w:hAnsi="Arial" w:cs="Arial"/>
          <w:b/>
          <w:bCs/>
          <w:sz w:val="22"/>
          <w:szCs w:val="22"/>
        </w:rPr>
        <w:t>CONCLUSION</w:t>
      </w:r>
    </w:p>
    <w:p w14:paraId="4BA26257" w14:textId="77777777" w:rsidR="006C3E6E" w:rsidRPr="005A66C3" w:rsidRDefault="006C3E6E" w:rsidP="005A66C3">
      <w:pPr>
        <w:spacing w:line="276" w:lineRule="auto"/>
        <w:rPr>
          <w:rFonts w:ascii="Arial" w:hAnsi="Arial" w:cs="Arial"/>
          <w:sz w:val="22"/>
          <w:szCs w:val="22"/>
        </w:rPr>
      </w:pPr>
    </w:p>
    <w:p w14:paraId="2258E64B" w14:textId="77777777" w:rsidR="00781596" w:rsidRPr="00781596" w:rsidRDefault="00781596" w:rsidP="00781596">
      <w:pPr>
        <w:spacing w:line="276" w:lineRule="auto"/>
        <w:jc w:val="both"/>
        <w:rPr>
          <w:rFonts w:ascii="Arial" w:hAnsi="Arial" w:cs="Arial"/>
          <w:color w:val="000000" w:themeColor="text1"/>
          <w:sz w:val="22"/>
          <w:szCs w:val="22"/>
        </w:rPr>
      </w:pPr>
      <w:r w:rsidRPr="00781596">
        <w:rPr>
          <w:rFonts w:ascii="Arial" w:hAnsi="Arial" w:cs="Arial"/>
          <w:color w:val="000000" w:themeColor="text1"/>
          <w:sz w:val="22"/>
          <w:szCs w:val="22"/>
        </w:rPr>
        <w:t>The proposed replacement extension represents a modest and sympathetic form of domestic development that would improve the appearance of the existing dwelling while providing enhanced internal living accommodation. The development would preserve the character of the area, would not result in unacceptable impacts on neighbouring amenity, highway safety, ecology, drainage or flood risk, and is considered to accord with the relevant provisions of the development plan. Accordingly, the application is recommended for approval subject to appropriate planning conditions.</w:t>
      </w:r>
    </w:p>
    <w:p w14:paraId="2CCDF61B" w14:textId="77777777" w:rsidR="00C00B65" w:rsidRPr="005A66C3" w:rsidRDefault="00C00B65" w:rsidP="005A66C3">
      <w:pPr>
        <w:spacing w:line="276" w:lineRule="auto"/>
        <w:jc w:val="both"/>
        <w:rPr>
          <w:rFonts w:ascii="Arial" w:hAnsi="Arial" w:cs="Arial"/>
          <w:b/>
          <w:bCs/>
          <w:color w:val="FF0000"/>
          <w:sz w:val="22"/>
          <w:szCs w:val="22"/>
        </w:rPr>
      </w:pPr>
    </w:p>
    <w:p w14:paraId="4E5870C7" w14:textId="77777777" w:rsidR="00FE203F" w:rsidRPr="005A66C3" w:rsidRDefault="00FE203F" w:rsidP="005A66C3">
      <w:pPr>
        <w:spacing w:line="276" w:lineRule="auto"/>
        <w:jc w:val="both"/>
        <w:rPr>
          <w:rFonts w:ascii="Arial" w:hAnsi="Arial" w:cs="Arial"/>
          <w:color w:val="FF0000"/>
          <w:sz w:val="22"/>
          <w:szCs w:val="22"/>
        </w:rPr>
      </w:pPr>
    </w:p>
    <w:p w14:paraId="2C632DB2" w14:textId="645BCDDE" w:rsidR="00075C07" w:rsidRPr="005A66C3" w:rsidRDefault="00075C07" w:rsidP="005A66C3">
      <w:pPr>
        <w:spacing w:line="276" w:lineRule="auto"/>
        <w:jc w:val="both"/>
        <w:rPr>
          <w:rFonts w:ascii="Arial" w:hAnsi="Arial" w:cs="Arial"/>
          <w:b/>
          <w:bCs/>
          <w:sz w:val="22"/>
          <w:szCs w:val="22"/>
        </w:rPr>
      </w:pPr>
      <w:r w:rsidRPr="005A66C3">
        <w:rPr>
          <w:rFonts w:ascii="Arial" w:hAnsi="Arial" w:cs="Arial"/>
          <w:b/>
          <w:bCs/>
          <w:sz w:val="22"/>
          <w:szCs w:val="22"/>
        </w:rPr>
        <w:t>RECOMMENDATION:  That Planning Permission be GRANTED subject to conditions</w:t>
      </w:r>
    </w:p>
    <w:p w14:paraId="7F9290E1" w14:textId="77777777" w:rsidR="00075C07" w:rsidRPr="005A66C3" w:rsidRDefault="00075C07" w:rsidP="005A66C3">
      <w:pPr>
        <w:spacing w:line="276" w:lineRule="auto"/>
        <w:jc w:val="both"/>
        <w:rPr>
          <w:rFonts w:ascii="Arial" w:hAnsi="Arial" w:cs="Arial"/>
          <w:color w:val="FF0000"/>
          <w:sz w:val="22"/>
          <w:szCs w:val="22"/>
        </w:rPr>
      </w:pPr>
    </w:p>
    <w:p w14:paraId="0A064A34" w14:textId="3E2B7F3B" w:rsidR="006B4ED4" w:rsidRPr="006B4ED4" w:rsidRDefault="006B4ED4" w:rsidP="005A66C3">
      <w:pPr>
        <w:spacing w:line="276" w:lineRule="auto"/>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969"/>
    <w:rsid w:val="00005FDC"/>
    <w:rsid w:val="00011F00"/>
    <w:rsid w:val="00015622"/>
    <w:rsid w:val="00015C0D"/>
    <w:rsid w:val="00031287"/>
    <w:rsid w:val="00044328"/>
    <w:rsid w:val="000456D0"/>
    <w:rsid w:val="0006177E"/>
    <w:rsid w:val="00062A40"/>
    <w:rsid w:val="0007364A"/>
    <w:rsid w:val="00075C07"/>
    <w:rsid w:val="00081734"/>
    <w:rsid w:val="0008663E"/>
    <w:rsid w:val="00087823"/>
    <w:rsid w:val="00091BAE"/>
    <w:rsid w:val="000B0456"/>
    <w:rsid w:val="000B3CAF"/>
    <w:rsid w:val="000B4C9C"/>
    <w:rsid w:val="000B4D97"/>
    <w:rsid w:val="000C6EF7"/>
    <w:rsid w:val="000D01DA"/>
    <w:rsid w:val="000D0E39"/>
    <w:rsid w:val="000E3596"/>
    <w:rsid w:val="000E38BA"/>
    <w:rsid w:val="000F1D22"/>
    <w:rsid w:val="001003C2"/>
    <w:rsid w:val="00102137"/>
    <w:rsid w:val="00102E92"/>
    <w:rsid w:val="00110FD1"/>
    <w:rsid w:val="00113A8D"/>
    <w:rsid w:val="00115CDB"/>
    <w:rsid w:val="00116153"/>
    <w:rsid w:val="0012283E"/>
    <w:rsid w:val="0012332F"/>
    <w:rsid w:val="001251AE"/>
    <w:rsid w:val="00131B65"/>
    <w:rsid w:val="001424D4"/>
    <w:rsid w:val="001465A6"/>
    <w:rsid w:val="0015620C"/>
    <w:rsid w:val="00157E20"/>
    <w:rsid w:val="001602BB"/>
    <w:rsid w:val="0016397C"/>
    <w:rsid w:val="00164DC7"/>
    <w:rsid w:val="0017440C"/>
    <w:rsid w:val="0018465E"/>
    <w:rsid w:val="001929B3"/>
    <w:rsid w:val="00193EC7"/>
    <w:rsid w:val="00194FD1"/>
    <w:rsid w:val="001979E3"/>
    <w:rsid w:val="001A0A2E"/>
    <w:rsid w:val="001A0F50"/>
    <w:rsid w:val="001A14B2"/>
    <w:rsid w:val="001A5972"/>
    <w:rsid w:val="001B17F8"/>
    <w:rsid w:val="001B2AF4"/>
    <w:rsid w:val="001B5749"/>
    <w:rsid w:val="001C4291"/>
    <w:rsid w:val="001C770A"/>
    <w:rsid w:val="001D3680"/>
    <w:rsid w:val="001E210B"/>
    <w:rsid w:val="001F52AF"/>
    <w:rsid w:val="001F69D5"/>
    <w:rsid w:val="001F755D"/>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64C1A"/>
    <w:rsid w:val="00264FC0"/>
    <w:rsid w:val="002755A2"/>
    <w:rsid w:val="0028102A"/>
    <w:rsid w:val="002A0353"/>
    <w:rsid w:val="002A1715"/>
    <w:rsid w:val="002A73D1"/>
    <w:rsid w:val="002B2380"/>
    <w:rsid w:val="002B5192"/>
    <w:rsid w:val="002B7A9A"/>
    <w:rsid w:val="002C01FA"/>
    <w:rsid w:val="002C0933"/>
    <w:rsid w:val="002C4607"/>
    <w:rsid w:val="002C650A"/>
    <w:rsid w:val="002D0D78"/>
    <w:rsid w:val="002E02F9"/>
    <w:rsid w:val="002E0818"/>
    <w:rsid w:val="002E6332"/>
    <w:rsid w:val="002E6872"/>
    <w:rsid w:val="002E6BC0"/>
    <w:rsid w:val="002F4101"/>
    <w:rsid w:val="002F53F9"/>
    <w:rsid w:val="00303570"/>
    <w:rsid w:val="00304DA1"/>
    <w:rsid w:val="00306089"/>
    <w:rsid w:val="00313982"/>
    <w:rsid w:val="00323D7D"/>
    <w:rsid w:val="003240DB"/>
    <w:rsid w:val="00327F1B"/>
    <w:rsid w:val="0033669A"/>
    <w:rsid w:val="00341989"/>
    <w:rsid w:val="0035771C"/>
    <w:rsid w:val="00363BD7"/>
    <w:rsid w:val="00371825"/>
    <w:rsid w:val="00371AAC"/>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3E7ABA"/>
    <w:rsid w:val="00402BA4"/>
    <w:rsid w:val="00403FEB"/>
    <w:rsid w:val="00406E82"/>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41D1"/>
    <w:rsid w:val="004A59AA"/>
    <w:rsid w:val="004B0D89"/>
    <w:rsid w:val="004D1B58"/>
    <w:rsid w:val="004D20B5"/>
    <w:rsid w:val="004D29B9"/>
    <w:rsid w:val="004E5366"/>
    <w:rsid w:val="004E5947"/>
    <w:rsid w:val="004E7A6C"/>
    <w:rsid w:val="004F26D5"/>
    <w:rsid w:val="004F4B97"/>
    <w:rsid w:val="004F57B4"/>
    <w:rsid w:val="004F68ED"/>
    <w:rsid w:val="0050043D"/>
    <w:rsid w:val="0050269B"/>
    <w:rsid w:val="0051231F"/>
    <w:rsid w:val="0051622F"/>
    <w:rsid w:val="005214B8"/>
    <w:rsid w:val="00522A6A"/>
    <w:rsid w:val="0053334B"/>
    <w:rsid w:val="00540D8E"/>
    <w:rsid w:val="0054166A"/>
    <w:rsid w:val="005435B4"/>
    <w:rsid w:val="0054447E"/>
    <w:rsid w:val="00552306"/>
    <w:rsid w:val="00554E40"/>
    <w:rsid w:val="00556B5B"/>
    <w:rsid w:val="00557B1E"/>
    <w:rsid w:val="00561AE7"/>
    <w:rsid w:val="0056508E"/>
    <w:rsid w:val="00580DA8"/>
    <w:rsid w:val="00585116"/>
    <w:rsid w:val="00594C14"/>
    <w:rsid w:val="005A3D8E"/>
    <w:rsid w:val="005A6526"/>
    <w:rsid w:val="005A66C3"/>
    <w:rsid w:val="005A7264"/>
    <w:rsid w:val="005B1CA8"/>
    <w:rsid w:val="005B7582"/>
    <w:rsid w:val="005C05F6"/>
    <w:rsid w:val="005C0C82"/>
    <w:rsid w:val="005C30A6"/>
    <w:rsid w:val="005C5A46"/>
    <w:rsid w:val="005D2581"/>
    <w:rsid w:val="005D7F1D"/>
    <w:rsid w:val="005E45CE"/>
    <w:rsid w:val="005F0C1A"/>
    <w:rsid w:val="005F0F03"/>
    <w:rsid w:val="005F4AFC"/>
    <w:rsid w:val="00601AAD"/>
    <w:rsid w:val="0060536A"/>
    <w:rsid w:val="00606E13"/>
    <w:rsid w:val="00611D0C"/>
    <w:rsid w:val="00614357"/>
    <w:rsid w:val="0062080E"/>
    <w:rsid w:val="00630A16"/>
    <w:rsid w:val="006325D0"/>
    <w:rsid w:val="006361C6"/>
    <w:rsid w:val="00640499"/>
    <w:rsid w:val="0064099D"/>
    <w:rsid w:val="0064468A"/>
    <w:rsid w:val="006475CE"/>
    <w:rsid w:val="00650186"/>
    <w:rsid w:val="00652B96"/>
    <w:rsid w:val="00653201"/>
    <w:rsid w:val="006646C2"/>
    <w:rsid w:val="0066611A"/>
    <w:rsid w:val="0067097F"/>
    <w:rsid w:val="006765B6"/>
    <w:rsid w:val="00685272"/>
    <w:rsid w:val="00687041"/>
    <w:rsid w:val="00694DDA"/>
    <w:rsid w:val="00695E40"/>
    <w:rsid w:val="006968E4"/>
    <w:rsid w:val="00696DB1"/>
    <w:rsid w:val="006A046D"/>
    <w:rsid w:val="006A676B"/>
    <w:rsid w:val="006B4ED4"/>
    <w:rsid w:val="006C0878"/>
    <w:rsid w:val="006C1101"/>
    <w:rsid w:val="006C3E6E"/>
    <w:rsid w:val="006C68D8"/>
    <w:rsid w:val="006D2DAA"/>
    <w:rsid w:val="006E26D9"/>
    <w:rsid w:val="006E7161"/>
    <w:rsid w:val="006F3CE5"/>
    <w:rsid w:val="006F59EB"/>
    <w:rsid w:val="006F6EEE"/>
    <w:rsid w:val="00701E79"/>
    <w:rsid w:val="00703B1E"/>
    <w:rsid w:val="00705C11"/>
    <w:rsid w:val="00710117"/>
    <w:rsid w:val="007126AD"/>
    <w:rsid w:val="0071327B"/>
    <w:rsid w:val="00713A31"/>
    <w:rsid w:val="00714DA1"/>
    <w:rsid w:val="00724032"/>
    <w:rsid w:val="0072500F"/>
    <w:rsid w:val="0072605C"/>
    <w:rsid w:val="007336B3"/>
    <w:rsid w:val="0073376C"/>
    <w:rsid w:val="00735DE1"/>
    <w:rsid w:val="00751CD6"/>
    <w:rsid w:val="0076074E"/>
    <w:rsid w:val="00765813"/>
    <w:rsid w:val="00773C1F"/>
    <w:rsid w:val="00774BF0"/>
    <w:rsid w:val="00777F61"/>
    <w:rsid w:val="00781596"/>
    <w:rsid w:val="0078630E"/>
    <w:rsid w:val="00794688"/>
    <w:rsid w:val="007A3D0E"/>
    <w:rsid w:val="007A5705"/>
    <w:rsid w:val="007A61A7"/>
    <w:rsid w:val="007B2237"/>
    <w:rsid w:val="007B2589"/>
    <w:rsid w:val="007B3765"/>
    <w:rsid w:val="007C4434"/>
    <w:rsid w:val="007C5693"/>
    <w:rsid w:val="007D167B"/>
    <w:rsid w:val="007D69FB"/>
    <w:rsid w:val="007E0B02"/>
    <w:rsid w:val="007E19A1"/>
    <w:rsid w:val="007F204C"/>
    <w:rsid w:val="00812AF8"/>
    <w:rsid w:val="0081484B"/>
    <w:rsid w:val="00820464"/>
    <w:rsid w:val="00824948"/>
    <w:rsid w:val="00826B63"/>
    <w:rsid w:val="00827534"/>
    <w:rsid w:val="00827906"/>
    <w:rsid w:val="00830784"/>
    <w:rsid w:val="00831793"/>
    <w:rsid w:val="00841628"/>
    <w:rsid w:val="00845779"/>
    <w:rsid w:val="00856BF8"/>
    <w:rsid w:val="008610E2"/>
    <w:rsid w:val="0086349B"/>
    <w:rsid w:val="0086459F"/>
    <w:rsid w:val="00871565"/>
    <w:rsid w:val="00874E1A"/>
    <w:rsid w:val="008806E9"/>
    <w:rsid w:val="00880ECF"/>
    <w:rsid w:val="0088368E"/>
    <w:rsid w:val="00890257"/>
    <w:rsid w:val="0089746E"/>
    <w:rsid w:val="0089794B"/>
    <w:rsid w:val="008A6179"/>
    <w:rsid w:val="008B16FB"/>
    <w:rsid w:val="008B1BB2"/>
    <w:rsid w:val="008B6D55"/>
    <w:rsid w:val="008B781F"/>
    <w:rsid w:val="008C2CBB"/>
    <w:rsid w:val="008D5791"/>
    <w:rsid w:val="008D6C52"/>
    <w:rsid w:val="008E5C53"/>
    <w:rsid w:val="008F1CFF"/>
    <w:rsid w:val="00905C36"/>
    <w:rsid w:val="00911C57"/>
    <w:rsid w:val="00914E93"/>
    <w:rsid w:val="00921213"/>
    <w:rsid w:val="00921461"/>
    <w:rsid w:val="00935D75"/>
    <w:rsid w:val="00937BE7"/>
    <w:rsid w:val="009403D1"/>
    <w:rsid w:val="00944708"/>
    <w:rsid w:val="00946DDB"/>
    <w:rsid w:val="009564F0"/>
    <w:rsid w:val="00960475"/>
    <w:rsid w:val="009753A2"/>
    <w:rsid w:val="009803C6"/>
    <w:rsid w:val="0098148F"/>
    <w:rsid w:val="00982397"/>
    <w:rsid w:val="00982730"/>
    <w:rsid w:val="00982EB1"/>
    <w:rsid w:val="00990E62"/>
    <w:rsid w:val="00995309"/>
    <w:rsid w:val="009969D7"/>
    <w:rsid w:val="00997306"/>
    <w:rsid w:val="009A5A55"/>
    <w:rsid w:val="009A7AAA"/>
    <w:rsid w:val="009C0B7F"/>
    <w:rsid w:val="009C68FD"/>
    <w:rsid w:val="009C7268"/>
    <w:rsid w:val="009D14B6"/>
    <w:rsid w:val="009D1B37"/>
    <w:rsid w:val="009D2F03"/>
    <w:rsid w:val="009D621E"/>
    <w:rsid w:val="009E223C"/>
    <w:rsid w:val="009E23EC"/>
    <w:rsid w:val="009E6324"/>
    <w:rsid w:val="00A2028D"/>
    <w:rsid w:val="00A20E02"/>
    <w:rsid w:val="00A22D00"/>
    <w:rsid w:val="00A271B5"/>
    <w:rsid w:val="00A30B7E"/>
    <w:rsid w:val="00A349B0"/>
    <w:rsid w:val="00A37686"/>
    <w:rsid w:val="00A42C19"/>
    <w:rsid w:val="00A4573C"/>
    <w:rsid w:val="00A5676E"/>
    <w:rsid w:val="00A65218"/>
    <w:rsid w:val="00A71CD4"/>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AE5732"/>
    <w:rsid w:val="00B10D59"/>
    <w:rsid w:val="00B125B4"/>
    <w:rsid w:val="00B13966"/>
    <w:rsid w:val="00B149EB"/>
    <w:rsid w:val="00B15AD7"/>
    <w:rsid w:val="00B169D2"/>
    <w:rsid w:val="00B16AEF"/>
    <w:rsid w:val="00B20C1F"/>
    <w:rsid w:val="00B21D27"/>
    <w:rsid w:val="00B27418"/>
    <w:rsid w:val="00B31880"/>
    <w:rsid w:val="00B3289E"/>
    <w:rsid w:val="00B40BA3"/>
    <w:rsid w:val="00B41FA9"/>
    <w:rsid w:val="00B42171"/>
    <w:rsid w:val="00B44764"/>
    <w:rsid w:val="00B46A1E"/>
    <w:rsid w:val="00B47DE8"/>
    <w:rsid w:val="00B53A9C"/>
    <w:rsid w:val="00B5556F"/>
    <w:rsid w:val="00B62AC6"/>
    <w:rsid w:val="00B812E0"/>
    <w:rsid w:val="00B822C7"/>
    <w:rsid w:val="00B860FE"/>
    <w:rsid w:val="00B86414"/>
    <w:rsid w:val="00B86CE9"/>
    <w:rsid w:val="00BA0474"/>
    <w:rsid w:val="00BB0CA0"/>
    <w:rsid w:val="00BB2CE7"/>
    <w:rsid w:val="00BB4F23"/>
    <w:rsid w:val="00BB5469"/>
    <w:rsid w:val="00BB5ED0"/>
    <w:rsid w:val="00BC39D3"/>
    <w:rsid w:val="00BC78BB"/>
    <w:rsid w:val="00BD07DC"/>
    <w:rsid w:val="00BD3BD3"/>
    <w:rsid w:val="00BD44C1"/>
    <w:rsid w:val="00BD5CE2"/>
    <w:rsid w:val="00BD62D9"/>
    <w:rsid w:val="00BE04AB"/>
    <w:rsid w:val="00BE644A"/>
    <w:rsid w:val="00BF0BA3"/>
    <w:rsid w:val="00BF4374"/>
    <w:rsid w:val="00BF52C1"/>
    <w:rsid w:val="00BF5CA2"/>
    <w:rsid w:val="00C00B65"/>
    <w:rsid w:val="00C0213E"/>
    <w:rsid w:val="00C02D65"/>
    <w:rsid w:val="00C2367F"/>
    <w:rsid w:val="00C25413"/>
    <w:rsid w:val="00C328B6"/>
    <w:rsid w:val="00C44B5F"/>
    <w:rsid w:val="00C53B6A"/>
    <w:rsid w:val="00C563CE"/>
    <w:rsid w:val="00C56682"/>
    <w:rsid w:val="00C568B6"/>
    <w:rsid w:val="00C577FF"/>
    <w:rsid w:val="00C63478"/>
    <w:rsid w:val="00C64924"/>
    <w:rsid w:val="00C664A5"/>
    <w:rsid w:val="00C71367"/>
    <w:rsid w:val="00C72D5A"/>
    <w:rsid w:val="00C76BBE"/>
    <w:rsid w:val="00C77C50"/>
    <w:rsid w:val="00C848E4"/>
    <w:rsid w:val="00C922CA"/>
    <w:rsid w:val="00C94CB8"/>
    <w:rsid w:val="00CA4673"/>
    <w:rsid w:val="00CB502A"/>
    <w:rsid w:val="00CC03E4"/>
    <w:rsid w:val="00CC144B"/>
    <w:rsid w:val="00CC6665"/>
    <w:rsid w:val="00CC67C7"/>
    <w:rsid w:val="00CD0FF0"/>
    <w:rsid w:val="00CD6B35"/>
    <w:rsid w:val="00CF051F"/>
    <w:rsid w:val="00CF554E"/>
    <w:rsid w:val="00D00163"/>
    <w:rsid w:val="00D077DE"/>
    <w:rsid w:val="00D132AC"/>
    <w:rsid w:val="00D14819"/>
    <w:rsid w:val="00D1724C"/>
    <w:rsid w:val="00D21893"/>
    <w:rsid w:val="00D230F8"/>
    <w:rsid w:val="00D257F8"/>
    <w:rsid w:val="00D26887"/>
    <w:rsid w:val="00D302CF"/>
    <w:rsid w:val="00D349DE"/>
    <w:rsid w:val="00D34D83"/>
    <w:rsid w:val="00D40240"/>
    <w:rsid w:val="00D40959"/>
    <w:rsid w:val="00D422AF"/>
    <w:rsid w:val="00D51921"/>
    <w:rsid w:val="00D61D82"/>
    <w:rsid w:val="00D62692"/>
    <w:rsid w:val="00D66197"/>
    <w:rsid w:val="00D70231"/>
    <w:rsid w:val="00D8351D"/>
    <w:rsid w:val="00D8452E"/>
    <w:rsid w:val="00DA037B"/>
    <w:rsid w:val="00DA5825"/>
    <w:rsid w:val="00DC4C05"/>
    <w:rsid w:val="00DC4F3E"/>
    <w:rsid w:val="00DC64E7"/>
    <w:rsid w:val="00DC6EB2"/>
    <w:rsid w:val="00DD29A1"/>
    <w:rsid w:val="00DE34F6"/>
    <w:rsid w:val="00DE3E46"/>
    <w:rsid w:val="00DE745B"/>
    <w:rsid w:val="00DE7788"/>
    <w:rsid w:val="00E011E0"/>
    <w:rsid w:val="00E062CD"/>
    <w:rsid w:val="00E179DC"/>
    <w:rsid w:val="00E218E6"/>
    <w:rsid w:val="00E24CE1"/>
    <w:rsid w:val="00E3482B"/>
    <w:rsid w:val="00E3514F"/>
    <w:rsid w:val="00E362CA"/>
    <w:rsid w:val="00E43B49"/>
    <w:rsid w:val="00E54EAF"/>
    <w:rsid w:val="00E55D48"/>
    <w:rsid w:val="00E600A1"/>
    <w:rsid w:val="00E6450A"/>
    <w:rsid w:val="00E64624"/>
    <w:rsid w:val="00E746AD"/>
    <w:rsid w:val="00E747FF"/>
    <w:rsid w:val="00E85E15"/>
    <w:rsid w:val="00E93D2E"/>
    <w:rsid w:val="00E94629"/>
    <w:rsid w:val="00EA0C6C"/>
    <w:rsid w:val="00EB3DCC"/>
    <w:rsid w:val="00EC249D"/>
    <w:rsid w:val="00EC61CC"/>
    <w:rsid w:val="00ED180D"/>
    <w:rsid w:val="00EE2733"/>
    <w:rsid w:val="00EE28CA"/>
    <w:rsid w:val="00EF01B2"/>
    <w:rsid w:val="00EF4944"/>
    <w:rsid w:val="00EF556E"/>
    <w:rsid w:val="00EF7DEB"/>
    <w:rsid w:val="00F07090"/>
    <w:rsid w:val="00F108A5"/>
    <w:rsid w:val="00F168AD"/>
    <w:rsid w:val="00F1756F"/>
    <w:rsid w:val="00F21CAC"/>
    <w:rsid w:val="00F221E9"/>
    <w:rsid w:val="00F23765"/>
    <w:rsid w:val="00F25EA7"/>
    <w:rsid w:val="00F35E07"/>
    <w:rsid w:val="00F40F94"/>
    <w:rsid w:val="00F45C7C"/>
    <w:rsid w:val="00F46C5F"/>
    <w:rsid w:val="00F5017A"/>
    <w:rsid w:val="00F60F64"/>
    <w:rsid w:val="00F61A37"/>
    <w:rsid w:val="00F703B8"/>
    <w:rsid w:val="00F8024A"/>
    <w:rsid w:val="00F80B6C"/>
    <w:rsid w:val="00F86950"/>
    <w:rsid w:val="00F95080"/>
    <w:rsid w:val="00F96130"/>
    <w:rsid w:val="00F9784D"/>
    <w:rsid w:val="00FA1A62"/>
    <w:rsid w:val="00FB1E29"/>
    <w:rsid w:val="00FB21BA"/>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225</TotalTime>
  <Pages>6</Pages>
  <Words>2060</Words>
  <Characters>11745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188</cp:revision>
  <cp:lastPrinted>2007-12-19T10:51:00Z</cp:lastPrinted>
  <dcterms:created xsi:type="dcterms:W3CDTF">2025-06-02T09:27:00Z</dcterms:created>
  <dcterms:modified xsi:type="dcterms:W3CDTF">2026-09-21T09:52:00Z</dcterms:modified>
</cp:coreProperties>
</file>