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Solar Installation Technical Information</w:t>
      </w:r>
    </w:p>
    <w:p>
      <w:pPr>
        <w:spacing w:after="240"/>
        <w:jc w:val="center"/>
      </w:pPr>
      <w:r>
        <w:rPr>
          <w:b/>
          <w:sz w:val="21"/>
        </w:rPr>
        <w:t>Land East of Cadley Farmhouse  Chute Cadley  Andover  SP11 9EB</w:t>
      </w:r>
    </w:p>
    <w:p>
      <w:r>
        <w:rPr>
          <w:b/>
        </w:rPr>
        <w:t xml:space="preserve">Purpose. </w:t>
      </w:r>
      <w:r>
        <w:t>This statement summarises the principal technical specifications of the proposed ground-mounted photovoltaic array and the associated inverter and battery equipment. It should be read with the submitted site layout, elevations and supporting planning statements.</w:t>
      </w:r>
    </w:p>
    <w:p>
      <w:pPr>
        <w:pStyle w:val="Heading1"/>
        <w:keepNext/>
      </w:pPr>
      <w:r>
        <w:t>System Overview</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952"/>
        <w:gridCol w:w="6696"/>
      </w:tblGrid>
      <w:tr>
        <w:trPr>
          <w:tblHeader w:val="true"/>
        </w:trPr>
        <w:tc>
          <w:tcPr>
            <w:tcW w:type="dxa" w:w="4773"/>
            <w:shd w:fill="23395D"/>
            <w:vAlign w:val="center"/>
            <w:tcMar>
              <w:top w:w="100" w:type="dxa"/>
              <w:start w:w="120" w:type="dxa"/>
              <w:bottom w:w="100" w:type="dxa"/>
              <w:end w:w="120" w:type="dxa"/>
            </w:tcMar>
          </w:tcPr>
          <w:p>
            <w:r>
              <w:rPr>
                <w:b/>
                <w:color w:val="FFFFFF"/>
                <w:sz w:val="19"/>
              </w:rPr>
              <w:t>Item</w:t>
            </w:r>
          </w:p>
        </w:tc>
        <w:tc>
          <w:tcPr>
            <w:tcW w:type="dxa" w:w="4773"/>
            <w:shd w:fill="23395D"/>
            <w:vAlign w:val="center"/>
            <w:tcMar>
              <w:top w:w="100" w:type="dxa"/>
              <w:start w:w="120" w:type="dxa"/>
              <w:bottom w:w="100" w:type="dxa"/>
              <w:end w:w="120" w:type="dxa"/>
            </w:tcMar>
          </w:tcPr>
          <w:p>
            <w:r>
              <w:rPr>
                <w:b/>
                <w:color w:val="FFFFFF"/>
                <w:sz w:val="19"/>
              </w:rPr>
              <w:t>Specification</w:t>
            </w:r>
          </w:p>
        </w:tc>
      </w:tr>
      <w:tr>
        <w:tc>
          <w:tcPr>
            <w:tcW w:type="dxa" w:w="2952"/>
            <w:vAlign w:val="center"/>
            <w:tcMar>
              <w:top w:w="100" w:type="dxa"/>
              <w:start w:w="120" w:type="dxa"/>
              <w:bottom w:w="100" w:type="dxa"/>
              <w:end w:w="120" w:type="dxa"/>
            </w:tcMar>
          </w:tcPr>
          <w:p>
            <w:pPr>
              <w:spacing w:after="0" w:line="252" w:lineRule="auto"/>
            </w:pPr>
            <w:r>
              <w:rPr>
                <w:b/>
                <w:sz w:val="19"/>
              </w:rPr>
              <w:t>Generating capacity</w:t>
            </w:r>
          </w:p>
        </w:tc>
        <w:tc>
          <w:tcPr>
            <w:tcW w:type="dxa" w:w="6696"/>
            <w:vAlign w:val="center"/>
            <w:tcMar>
              <w:top w:w="100" w:type="dxa"/>
              <w:start w:w="120" w:type="dxa"/>
              <w:bottom w:w="100" w:type="dxa"/>
              <w:end w:w="120" w:type="dxa"/>
            </w:tcMar>
          </w:tcPr>
          <w:p>
            <w:pPr>
              <w:spacing w:after="0" w:line="252" w:lineRule="auto"/>
            </w:pPr>
            <w:r>
              <w:rPr>
                <w:sz w:val="19"/>
              </w:rPr>
              <w:t>14.64 kWp photovoltaic array</w:t>
            </w:r>
          </w:p>
        </w:tc>
      </w:tr>
      <w:tr>
        <w:tc>
          <w:tcPr>
            <w:tcW w:type="dxa" w:w="2952"/>
            <w:shd w:fill="F3F6FA"/>
            <w:vAlign w:val="center"/>
            <w:tcMar>
              <w:top w:w="100" w:type="dxa"/>
              <w:start w:w="120" w:type="dxa"/>
              <w:bottom w:w="100" w:type="dxa"/>
              <w:end w:w="120" w:type="dxa"/>
            </w:tcMar>
          </w:tcPr>
          <w:p>
            <w:pPr>
              <w:spacing w:after="0" w:line="252" w:lineRule="auto"/>
            </w:pPr>
            <w:r>
              <w:rPr>
                <w:b/>
                <w:sz w:val="19"/>
              </w:rPr>
              <w:t>Panel arrangement</w:t>
            </w:r>
          </w:p>
        </w:tc>
        <w:tc>
          <w:tcPr>
            <w:tcW w:type="dxa" w:w="6696"/>
            <w:shd w:fill="F3F6FA"/>
            <w:vAlign w:val="center"/>
            <w:tcMar>
              <w:top w:w="100" w:type="dxa"/>
              <w:start w:w="120" w:type="dxa"/>
              <w:bottom w:w="100" w:type="dxa"/>
              <w:end w:w="120" w:type="dxa"/>
            </w:tcMar>
          </w:tcPr>
          <w:p>
            <w:pPr>
              <w:spacing w:after="0" w:line="252" w:lineRule="auto"/>
            </w:pPr>
            <w:r>
              <w:rPr>
                <w:sz w:val="19"/>
              </w:rPr>
              <w:t>24 panels arranged in three banks of eight, mounted in portrait orientation</w:t>
            </w:r>
          </w:p>
        </w:tc>
      </w:tr>
      <w:tr>
        <w:tc>
          <w:tcPr>
            <w:tcW w:type="dxa" w:w="2952"/>
            <w:vAlign w:val="center"/>
            <w:tcMar>
              <w:top w:w="100" w:type="dxa"/>
              <w:start w:w="120" w:type="dxa"/>
              <w:bottom w:w="100" w:type="dxa"/>
              <w:end w:w="120" w:type="dxa"/>
            </w:tcMar>
          </w:tcPr>
          <w:p>
            <w:pPr>
              <w:spacing w:after="0" w:line="252" w:lineRule="auto"/>
            </w:pPr>
            <w:r>
              <w:rPr>
                <w:b/>
                <w:sz w:val="19"/>
              </w:rPr>
              <w:t>Panel orientation</w:t>
            </w:r>
          </w:p>
        </w:tc>
        <w:tc>
          <w:tcPr>
            <w:tcW w:type="dxa" w:w="6696"/>
            <w:vAlign w:val="center"/>
            <w:tcMar>
              <w:top w:w="100" w:type="dxa"/>
              <w:start w:w="120" w:type="dxa"/>
              <w:bottom w:w="100" w:type="dxa"/>
              <w:end w:w="120" w:type="dxa"/>
            </w:tcMar>
          </w:tcPr>
          <w:p>
            <w:pPr>
              <w:spacing w:after="0" w:line="252" w:lineRule="auto"/>
            </w:pPr>
            <w:r>
              <w:rPr>
                <w:sz w:val="19"/>
              </w:rPr>
              <w:t>Installer schedule records an orientation 45 degrees from south (azimuth 136 degrees) and a fixed inclination of 20 degrees from horizontal</w:t>
            </w:r>
          </w:p>
        </w:tc>
      </w:tr>
      <w:tr>
        <w:tc>
          <w:tcPr>
            <w:tcW w:type="dxa" w:w="2952"/>
            <w:shd w:fill="F3F6FA"/>
            <w:vAlign w:val="center"/>
            <w:tcMar>
              <w:top w:w="100" w:type="dxa"/>
              <w:start w:w="120" w:type="dxa"/>
              <w:bottom w:w="100" w:type="dxa"/>
              <w:end w:w="120" w:type="dxa"/>
            </w:tcMar>
          </w:tcPr>
          <w:p>
            <w:pPr>
              <w:spacing w:after="0" w:line="252" w:lineRule="auto"/>
            </w:pPr>
            <w:r>
              <w:rPr>
                <w:b/>
                <w:sz w:val="19"/>
              </w:rPr>
              <w:t>Estimated annual output</w:t>
            </w:r>
          </w:p>
        </w:tc>
        <w:tc>
          <w:tcPr>
            <w:tcW w:type="dxa" w:w="6696"/>
            <w:shd w:fill="F3F6FA"/>
            <w:vAlign w:val="center"/>
            <w:tcMar>
              <w:top w:w="100" w:type="dxa"/>
              <w:start w:w="120" w:type="dxa"/>
              <w:bottom w:w="100" w:type="dxa"/>
              <w:end w:w="120" w:type="dxa"/>
            </w:tcMar>
          </w:tcPr>
          <w:p>
            <w:pPr>
              <w:spacing w:after="0" w:line="252" w:lineRule="auto"/>
            </w:pPr>
            <w:r>
              <w:rPr>
                <w:sz w:val="19"/>
              </w:rPr>
              <w:t>Approximately 13,791 kWh, based on the installer's MCS calculation</w:t>
            </w:r>
          </w:p>
        </w:tc>
      </w:tr>
      <w:tr>
        <w:tc>
          <w:tcPr>
            <w:tcW w:type="dxa" w:w="2952"/>
            <w:vAlign w:val="center"/>
            <w:tcMar>
              <w:top w:w="100" w:type="dxa"/>
              <w:start w:w="120" w:type="dxa"/>
              <w:bottom w:w="100" w:type="dxa"/>
              <w:end w:w="120" w:type="dxa"/>
            </w:tcMar>
          </w:tcPr>
          <w:p>
            <w:pPr>
              <w:spacing w:after="0" w:line="252" w:lineRule="auto"/>
            </w:pPr>
            <w:r>
              <w:rPr>
                <w:b/>
                <w:sz w:val="19"/>
              </w:rPr>
              <w:t>Inverter capacity</w:t>
            </w:r>
          </w:p>
        </w:tc>
        <w:tc>
          <w:tcPr>
            <w:tcW w:type="dxa" w:w="6696"/>
            <w:vAlign w:val="center"/>
            <w:tcMar>
              <w:top w:w="100" w:type="dxa"/>
              <w:start w:w="120" w:type="dxa"/>
              <w:bottom w:w="100" w:type="dxa"/>
              <w:end w:w="120" w:type="dxa"/>
            </w:tcMar>
          </w:tcPr>
          <w:p>
            <w:pPr>
              <w:spacing w:after="0" w:line="252" w:lineRule="auto"/>
            </w:pPr>
            <w:r>
              <w:rPr>
                <w:sz w:val="19"/>
              </w:rPr>
              <w:t>10 kW single-phase energy controller</w:t>
            </w:r>
          </w:p>
        </w:tc>
      </w:tr>
      <w:tr>
        <w:tc>
          <w:tcPr>
            <w:tcW w:type="dxa" w:w="2952"/>
            <w:shd w:fill="F3F6FA"/>
            <w:vAlign w:val="center"/>
            <w:tcMar>
              <w:top w:w="100" w:type="dxa"/>
              <w:start w:w="120" w:type="dxa"/>
              <w:bottom w:w="100" w:type="dxa"/>
              <w:end w:w="120" w:type="dxa"/>
            </w:tcMar>
          </w:tcPr>
          <w:p>
            <w:pPr>
              <w:spacing w:after="0" w:line="252" w:lineRule="auto"/>
            </w:pPr>
            <w:r>
              <w:rPr>
                <w:b/>
                <w:sz w:val="19"/>
              </w:rPr>
              <w:t>Battery storage</w:t>
            </w:r>
          </w:p>
        </w:tc>
        <w:tc>
          <w:tcPr>
            <w:tcW w:type="dxa" w:w="6696"/>
            <w:shd w:fill="F3F6FA"/>
            <w:vAlign w:val="center"/>
            <w:tcMar>
              <w:top w:w="100" w:type="dxa"/>
              <w:start w:w="120" w:type="dxa"/>
              <w:bottom w:w="100" w:type="dxa"/>
              <w:end w:w="120" w:type="dxa"/>
            </w:tcMar>
          </w:tcPr>
          <w:p>
            <w:pPr>
              <w:spacing w:after="0" w:line="252" w:lineRule="auto"/>
            </w:pPr>
            <w:r>
              <w:rPr>
                <w:sz w:val="19"/>
              </w:rPr>
              <w:t>16.12 kWh total nominal capacity; approximately 15.6 kWh usable capacity</w:t>
            </w:r>
          </w:p>
        </w:tc>
      </w:tr>
      <w:tr>
        <w:tc>
          <w:tcPr>
            <w:tcW w:type="dxa" w:w="2952"/>
            <w:vAlign w:val="center"/>
            <w:tcMar>
              <w:top w:w="100" w:type="dxa"/>
              <w:start w:w="120" w:type="dxa"/>
              <w:bottom w:w="100" w:type="dxa"/>
              <w:end w:w="120" w:type="dxa"/>
            </w:tcMar>
          </w:tcPr>
          <w:p>
            <w:pPr>
              <w:spacing w:after="0" w:line="252" w:lineRule="auto"/>
            </w:pPr>
            <w:r>
              <w:rPr>
                <w:b/>
                <w:sz w:val="19"/>
              </w:rPr>
              <w:t>Grid connection</w:t>
            </w:r>
          </w:p>
        </w:tc>
        <w:tc>
          <w:tcPr>
            <w:tcW w:type="dxa" w:w="6696"/>
            <w:vAlign w:val="center"/>
            <w:tcMar>
              <w:top w:w="100" w:type="dxa"/>
              <w:start w:w="120" w:type="dxa"/>
              <w:bottom w:w="100" w:type="dxa"/>
              <w:end w:w="120" w:type="dxa"/>
            </w:tcMar>
          </w:tcPr>
          <w:p>
            <w:pPr>
              <w:spacing w:after="0" w:line="252" w:lineRule="auto"/>
            </w:pPr>
            <w:r>
              <w:rPr>
                <w:sz w:val="19"/>
              </w:rPr>
              <w:t>SSEN G99 connection arrangement; export limited to 4 kW</w:t>
            </w:r>
          </w:p>
        </w:tc>
      </w:tr>
    </w:tbl>
    <w:p>
      <w:pPr>
        <w:spacing w:after="0"/>
      </w:pPr>
    </w:p>
    <w:p>
      <w:pPr>
        <w:pStyle w:val="Heading1"/>
        <w:keepNext/>
      </w:pPr>
      <w:r>
        <w:t>Solar Panels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952"/>
        <w:gridCol w:w="6696"/>
      </w:tblGrid>
      <w:tr>
        <w:trPr>
          <w:tblHeader w:val="true"/>
        </w:trPr>
        <w:tc>
          <w:tcPr>
            <w:tcW w:type="dxa" w:w="4773"/>
            <w:shd w:fill="23395D"/>
            <w:vAlign w:val="center"/>
            <w:tcMar>
              <w:top w:w="100" w:type="dxa"/>
              <w:start w:w="120" w:type="dxa"/>
              <w:bottom w:w="100" w:type="dxa"/>
              <w:end w:w="120" w:type="dxa"/>
            </w:tcMar>
          </w:tcPr>
          <w:p>
            <w:r>
              <w:rPr>
                <w:b/>
                <w:color w:val="FFFFFF"/>
                <w:sz w:val="19"/>
              </w:rPr>
              <w:t>Item</w:t>
            </w:r>
          </w:p>
        </w:tc>
        <w:tc>
          <w:tcPr>
            <w:tcW w:type="dxa" w:w="4773"/>
            <w:shd w:fill="23395D"/>
            <w:vAlign w:val="center"/>
            <w:tcMar>
              <w:top w:w="100" w:type="dxa"/>
              <w:start w:w="120" w:type="dxa"/>
              <w:bottom w:w="100" w:type="dxa"/>
              <w:end w:w="120" w:type="dxa"/>
            </w:tcMar>
          </w:tcPr>
          <w:p>
            <w:r>
              <w:rPr>
                <w:b/>
                <w:color w:val="FFFFFF"/>
                <w:sz w:val="19"/>
              </w:rPr>
              <w:t>Specification</w:t>
            </w:r>
          </w:p>
        </w:tc>
      </w:tr>
      <w:tr>
        <w:tc>
          <w:tcPr>
            <w:tcW w:type="dxa" w:w="2952"/>
            <w:vAlign w:val="center"/>
            <w:tcMar>
              <w:top w:w="100" w:type="dxa"/>
              <w:start w:w="120" w:type="dxa"/>
              <w:bottom w:w="100" w:type="dxa"/>
              <w:end w:w="120" w:type="dxa"/>
            </w:tcMar>
          </w:tcPr>
          <w:p>
            <w:pPr>
              <w:spacing w:after="0" w:line="252" w:lineRule="auto"/>
            </w:pPr>
            <w:r>
              <w:rPr>
                <w:b/>
                <w:sz w:val="19"/>
              </w:rPr>
              <w:t>Manufacturer and model</w:t>
            </w:r>
          </w:p>
        </w:tc>
        <w:tc>
          <w:tcPr>
            <w:tcW w:type="dxa" w:w="6696"/>
            <w:vAlign w:val="center"/>
            <w:tcMar>
              <w:top w:w="100" w:type="dxa"/>
              <w:start w:w="120" w:type="dxa"/>
              <w:bottom w:w="100" w:type="dxa"/>
              <w:end w:w="120" w:type="dxa"/>
            </w:tcMar>
          </w:tcPr>
          <w:p>
            <w:pPr>
              <w:spacing w:after="0" w:line="252" w:lineRule="auto"/>
            </w:pPr>
            <w:r>
              <w:rPr>
                <w:sz w:val="19"/>
              </w:rPr>
              <w:t>JA Solar JAM66D45-610/LB DeepBlue 4.0 Pro</w:t>
            </w:r>
          </w:p>
        </w:tc>
      </w:tr>
      <w:tr>
        <w:tc>
          <w:tcPr>
            <w:tcW w:type="dxa" w:w="2952"/>
            <w:shd w:fill="F3F6FA"/>
            <w:vAlign w:val="center"/>
            <w:tcMar>
              <w:top w:w="100" w:type="dxa"/>
              <w:start w:w="120" w:type="dxa"/>
              <w:bottom w:w="100" w:type="dxa"/>
              <w:end w:w="120" w:type="dxa"/>
            </w:tcMar>
          </w:tcPr>
          <w:p>
            <w:pPr>
              <w:spacing w:after="0" w:line="252" w:lineRule="auto"/>
            </w:pPr>
            <w:r>
              <w:rPr>
                <w:b/>
                <w:sz w:val="19"/>
              </w:rPr>
              <w:t>Quantity and rating</w:t>
            </w:r>
          </w:p>
        </w:tc>
        <w:tc>
          <w:tcPr>
            <w:tcW w:type="dxa" w:w="6696"/>
            <w:shd w:fill="F3F6FA"/>
            <w:vAlign w:val="center"/>
            <w:tcMar>
              <w:top w:w="100" w:type="dxa"/>
              <w:start w:w="120" w:type="dxa"/>
              <w:bottom w:w="100" w:type="dxa"/>
              <w:end w:w="120" w:type="dxa"/>
            </w:tcMar>
          </w:tcPr>
          <w:p>
            <w:pPr>
              <w:spacing w:after="0" w:line="252" w:lineRule="auto"/>
            </w:pPr>
            <w:r>
              <w:rPr>
                <w:sz w:val="19"/>
              </w:rPr>
              <w:t>24 modules at 610 W each</w:t>
            </w:r>
          </w:p>
        </w:tc>
      </w:tr>
      <w:tr>
        <w:tc>
          <w:tcPr>
            <w:tcW w:type="dxa" w:w="2952"/>
            <w:vAlign w:val="center"/>
            <w:tcMar>
              <w:top w:w="100" w:type="dxa"/>
              <w:start w:w="120" w:type="dxa"/>
              <w:bottom w:w="100" w:type="dxa"/>
              <w:end w:w="120" w:type="dxa"/>
            </w:tcMar>
          </w:tcPr>
          <w:p>
            <w:pPr>
              <w:spacing w:after="0" w:line="252" w:lineRule="auto"/>
            </w:pPr>
            <w:r>
              <w:rPr>
                <w:b/>
                <w:sz w:val="19"/>
              </w:rPr>
              <w:t>Construction</w:t>
            </w:r>
          </w:p>
        </w:tc>
        <w:tc>
          <w:tcPr>
            <w:tcW w:type="dxa" w:w="6696"/>
            <w:vAlign w:val="center"/>
            <w:tcMar>
              <w:top w:w="100" w:type="dxa"/>
              <w:start w:w="120" w:type="dxa"/>
              <w:bottom w:w="100" w:type="dxa"/>
              <w:end w:w="120" w:type="dxa"/>
            </w:tcMar>
          </w:tcPr>
          <w:p>
            <w:pPr>
              <w:spacing w:after="0" w:line="252" w:lineRule="auto"/>
            </w:pPr>
            <w:r>
              <w:rPr>
                <w:sz w:val="19"/>
              </w:rPr>
              <w:t>High-efficiency n-type monocrystalline bifacial, double-glass module</w:t>
            </w:r>
          </w:p>
        </w:tc>
      </w:tr>
      <w:tr>
        <w:tc>
          <w:tcPr>
            <w:tcW w:type="dxa" w:w="2952"/>
            <w:shd w:fill="F3F6FA"/>
            <w:vAlign w:val="center"/>
            <w:tcMar>
              <w:top w:w="100" w:type="dxa"/>
              <w:start w:w="120" w:type="dxa"/>
              <w:bottom w:w="100" w:type="dxa"/>
              <w:end w:w="120" w:type="dxa"/>
            </w:tcMar>
          </w:tcPr>
          <w:p>
            <w:pPr>
              <w:spacing w:after="0" w:line="252" w:lineRule="auto"/>
            </w:pPr>
            <w:r>
              <w:rPr>
                <w:b/>
                <w:sz w:val="19"/>
              </w:rPr>
              <w:t>Module dimensions</w:t>
            </w:r>
          </w:p>
        </w:tc>
        <w:tc>
          <w:tcPr>
            <w:tcW w:type="dxa" w:w="6696"/>
            <w:shd w:fill="F3F6FA"/>
            <w:vAlign w:val="center"/>
            <w:tcMar>
              <w:top w:w="100" w:type="dxa"/>
              <w:start w:w="120" w:type="dxa"/>
              <w:bottom w:w="100" w:type="dxa"/>
              <w:end w:w="120" w:type="dxa"/>
            </w:tcMar>
          </w:tcPr>
          <w:p>
            <w:pPr>
              <w:spacing w:after="0" w:line="252" w:lineRule="auto"/>
            </w:pPr>
            <w:r>
              <w:rPr>
                <w:sz w:val="19"/>
              </w:rPr>
              <w:t>2,384 mm high x 1,134 mm wide x 30 mm deep</w:t>
            </w:r>
          </w:p>
        </w:tc>
      </w:tr>
      <w:tr>
        <w:tc>
          <w:tcPr>
            <w:tcW w:type="dxa" w:w="2952"/>
            <w:vAlign w:val="center"/>
            <w:tcMar>
              <w:top w:w="100" w:type="dxa"/>
              <w:start w:w="120" w:type="dxa"/>
              <w:bottom w:w="100" w:type="dxa"/>
              <w:end w:w="120" w:type="dxa"/>
            </w:tcMar>
          </w:tcPr>
          <w:p>
            <w:pPr>
              <w:spacing w:after="0" w:line="252" w:lineRule="auto"/>
            </w:pPr>
            <w:r>
              <w:rPr>
                <w:b/>
                <w:sz w:val="19"/>
              </w:rPr>
              <w:t>Module weight</w:t>
            </w:r>
          </w:p>
        </w:tc>
        <w:tc>
          <w:tcPr>
            <w:tcW w:type="dxa" w:w="6696"/>
            <w:vAlign w:val="center"/>
            <w:tcMar>
              <w:top w:w="100" w:type="dxa"/>
              <w:start w:w="120" w:type="dxa"/>
              <w:bottom w:w="100" w:type="dxa"/>
              <w:end w:w="120" w:type="dxa"/>
            </w:tcMar>
          </w:tcPr>
          <w:p>
            <w:pPr>
              <w:spacing w:after="0" w:line="252" w:lineRule="auto"/>
            </w:pPr>
            <w:r>
              <w:rPr>
                <w:sz w:val="19"/>
              </w:rPr>
              <w:t>33.7 kg each</w:t>
            </w:r>
          </w:p>
        </w:tc>
      </w:tr>
      <w:tr>
        <w:tc>
          <w:tcPr>
            <w:tcW w:type="dxa" w:w="2952"/>
            <w:shd w:fill="F3F6FA"/>
            <w:vAlign w:val="center"/>
            <w:tcMar>
              <w:top w:w="100" w:type="dxa"/>
              <w:start w:w="120" w:type="dxa"/>
              <w:bottom w:w="100" w:type="dxa"/>
              <w:end w:w="120" w:type="dxa"/>
            </w:tcMar>
          </w:tcPr>
          <w:p>
            <w:pPr>
              <w:spacing w:after="0" w:line="252" w:lineRule="auto"/>
            </w:pPr>
            <w:r>
              <w:rPr>
                <w:b/>
                <w:sz w:val="19"/>
              </w:rPr>
              <w:t>Module efficiency</w:t>
            </w:r>
          </w:p>
        </w:tc>
        <w:tc>
          <w:tcPr>
            <w:tcW w:type="dxa" w:w="6696"/>
            <w:shd w:fill="F3F6FA"/>
            <w:vAlign w:val="center"/>
            <w:tcMar>
              <w:top w:w="100" w:type="dxa"/>
              <w:start w:w="120" w:type="dxa"/>
              <w:bottom w:w="100" w:type="dxa"/>
              <w:end w:w="120" w:type="dxa"/>
            </w:tcMar>
          </w:tcPr>
          <w:p>
            <w:pPr>
              <w:spacing w:after="0" w:line="252" w:lineRule="auto"/>
            </w:pPr>
            <w:r>
              <w:rPr>
                <w:sz w:val="19"/>
              </w:rPr>
              <w:t>22.6% at standard test conditions</w:t>
            </w:r>
          </w:p>
        </w:tc>
      </w:tr>
      <w:tr>
        <w:tc>
          <w:tcPr>
            <w:tcW w:type="dxa" w:w="2952"/>
            <w:vAlign w:val="center"/>
            <w:tcMar>
              <w:top w:w="100" w:type="dxa"/>
              <w:start w:w="120" w:type="dxa"/>
              <w:bottom w:w="100" w:type="dxa"/>
              <w:end w:w="120" w:type="dxa"/>
            </w:tcMar>
          </w:tcPr>
          <w:p>
            <w:pPr>
              <w:spacing w:after="0" w:line="252" w:lineRule="auto"/>
            </w:pPr>
            <w:r>
              <w:rPr>
                <w:b/>
                <w:sz w:val="19"/>
              </w:rPr>
              <w:t>Glass and frame</w:t>
            </w:r>
          </w:p>
        </w:tc>
        <w:tc>
          <w:tcPr>
            <w:tcW w:type="dxa" w:w="6696"/>
            <w:vAlign w:val="center"/>
            <w:tcMar>
              <w:top w:w="100" w:type="dxa"/>
              <w:start w:w="120" w:type="dxa"/>
              <w:bottom w:w="100" w:type="dxa"/>
              <w:end w:w="120" w:type="dxa"/>
            </w:tcMar>
          </w:tcPr>
          <w:p>
            <w:pPr>
              <w:spacing w:after="0" w:line="252" w:lineRule="auto"/>
            </w:pPr>
            <w:r>
              <w:rPr>
                <w:sz w:val="19"/>
              </w:rPr>
              <w:t>2.0 mm front glass and 2.0 mm rear glass with aluminium frame</w:t>
            </w:r>
          </w:p>
        </w:tc>
      </w:tr>
      <w:tr>
        <w:tc>
          <w:tcPr>
            <w:tcW w:type="dxa" w:w="2952"/>
            <w:shd w:fill="F3F6FA"/>
            <w:vAlign w:val="center"/>
            <w:tcMar>
              <w:top w:w="100" w:type="dxa"/>
              <w:start w:w="120" w:type="dxa"/>
              <w:bottom w:w="100" w:type="dxa"/>
              <w:end w:w="120" w:type="dxa"/>
            </w:tcMar>
          </w:tcPr>
          <w:p>
            <w:pPr>
              <w:spacing w:after="0" w:line="252" w:lineRule="auto"/>
            </w:pPr>
            <w:r>
              <w:rPr>
                <w:b/>
                <w:sz w:val="19"/>
              </w:rPr>
              <w:t>Junction box</w:t>
            </w:r>
          </w:p>
        </w:tc>
        <w:tc>
          <w:tcPr>
            <w:tcW w:type="dxa" w:w="6696"/>
            <w:shd w:fill="F3F6FA"/>
            <w:vAlign w:val="center"/>
            <w:tcMar>
              <w:top w:w="100" w:type="dxa"/>
              <w:start w:w="120" w:type="dxa"/>
              <w:bottom w:w="100" w:type="dxa"/>
              <w:end w:w="120" w:type="dxa"/>
            </w:tcMar>
          </w:tcPr>
          <w:p>
            <w:pPr>
              <w:spacing w:after="0" w:line="252" w:lineRule="auto"/>
            </w:pPr>
            <w:r>
              <w:rPr>
                <w:sz w:val="19"/>
              </w:rPr>
              <w:t>IP68 rated</w:t>
            </w:r>
          </w:p>
        </w:tc>
      </w:tr>
      <w:tr>
        <w:tc>
          <w:tcPr>
            <w:tcW w:type="dxa" w:w="2952"/>
            <w:vAlign w:val="center"/>
            <w:tcMar>
              <w:top w:w="100" w:type="dxa"/>
              <w:start w:w="120" w:type="dxa"/>
              <w:bottom w:w="100" w:type="dxa"/>
              <w:end w:w="120" w:type="dxa"/>
            </w:tcMar>
          </w:tcPr>
          <w:p>
            <w:pPr>
              <w:spacing w:after="0" w:line="252" w:lineRule="auto"/>
            </w:pPr>
            <w:r>
              <w:rPr>
                <w:b/>
                <w:sz w:val="19"/>
              </w:rPr>
              <w:t>Operating range</w:t>
            </w:r>
          </w:p>
        </w:tc>
        <w:tc>
          <w:tcPr>
            <w:tcW w:type="dxa" w:w="6696"/>
            <w:vAlign w:val="center"/>
            <w:tcMar>
              <w:top w:w="100" w:type="dxa"/>
              <w:start w:w="120" w:type="dxa"/>
              <w:bottom w:w="100" w:type="dxa"/>
              <w:end w:w="120" w:type="dxa"/>
            </w:tcMar>
          </w:tcPr>
          <w:p>
            <w:pPr>
              <w:spacing w:after="0" w:line="252" w:lineRule="auto"/>
            </w:pPr>
            <w:r>
              <w:rPr>
                <w:sz w:val="19"/>
              </w:rPr>
              <w:t>-40 degrees C to +85 degrees C</w:t>
            </w:r>
          </w:p>
        </w:tc>
      </w:tr>
      <w:tr>
        <w:tc>
          <w:tcPr>
            <w:tcW w:type="dxa" w:w="2952"/>
            <w:shd w:fill="F3F6FA"/>
            <w:vAlign w:val="center"/>
            <w:tcMar>
              <w:top w:w="100" w:type="dxa"/>
              <w:start w:w="120" w:type="dxa"/>
              <w:bottom w:w="100" w:type="dxa"/>
              <w:end w:w="120" w:type="dxa"/>
            </w:tcMar>
          </w:tcPr>
          <w:p>
            <w:pPr>
              <w:spacing w:after="0" w:line="252" w:lineRule="auto"/>
            </w:pPr>
            <w:r>
              <w:rPr>
                <w:b/>
                <w:sz w:val="19"/>
              </w:rPr>
              <w:t>Design loading</w:t>
            </w:r>
          </w:p>
        </w:tc>
        <w:tc>
          <w:tcPr>
            <w:tcW w:type="dxa" w:w="6696"/>
            <w:shd w:fill="F3F6FA"/>
            <w:vAlign w:val="center"/>
            <w:tcMar>
              <w:top w:w="100" w:type="dxa"/>
              <w:start w:w="120" w:type="dxa"/>
              <w:bottom w:w="100" w:type="dxa"/>
              <w:end w:w="120" w:type="dxa"/>
            </w:tcMar>
          </w:tcPr>
          <w:p>
            <w:pPr>
              <w:spacing w:after="0" w:line="252" w:lineRule="auto"/>
            </w:pPr>
            <w:r>
              <w:rPr>
                <w:sz w:val="19"/>
              </w:rPr>
              <w:t>Maximum static load: 5,400 Pa front and 2,400 Pa rear</w:t>
            </w:r>
          </w:p>
        </w:tc>
      </w:tr>
      <w:tr>
        <w:tc>
          <w:tcPr>
            <w:tcW w:type="dxa" w:w="2952"/>
            <w:vAlign w:val="center"/>
            <w:tcMar>
              <w:top w:w="100" w:type="dxa"/>
              <w:start w:w="120" w:type="dxa"/>
              <w:bottom w:w="100" w:type="dxa"/>
              <w:end w:w="120" w:type="dxa"/>
            </w:tcMar>
          </w:tcPr>
          <w:p>
            <w:pPr>
              <w:spacing w:after="0" w:line="252" w:lineRule="auto"/>
            </w:pPr>
            <w:r>
              <w:rPr>
                <w:b/>
                <w:sz w:val="19"/>
              </w:rPr>
              <w:t>Warranty</w:t>
            </w:r>
          </w:p>
        </w:tc>
        <w:tc>
          <w:tcPr>
            <w:tcW w:type="dxa" w:w="6696"/>
            <w:vAlign w:val="center"/>
            <w:tcMar>
              <w:top w:w="100" w:type="dxa"/>
              <w:start w:w="120" w:type="dxa"/>
              <w:bottom w:w="100" w:type="dxa"/>
              <w:end w:w="120" w:type="dxa"/>
            </w:tcMar>
          </w:tcPr>
          <w:p>
            <w:pPr>
              <w:spacing w:after="0" w:line="252" w:lineRule="auto"/>
            </w:pPr>
            <w:r>
              <w:rPr>
                <w:sz w:val="19"/>
              </w:rPr>
              <w:t>12-year product warranty and 30-year linear performance warranty</w:t>
            </w:r>
          </w:p>
        </w:tc>
      </w:tr>
    </w:tbl>
    <w:p>
      <w:pPr>
        <w:spacing w:after="0"/>
      </w:pPr>
    </w:p>
    <w:p>
      <w:pPr>
        <w:pStyle w:val="Heading1"/>
        <w:keepNext/>
      </w:pPr>
      <w:r>
        <w:t>Mounting Structure and Array Envelope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952"/>
        <w:gridCol w:w="6696"/>
      </w:tblGrid>
      <w:tr>
        <w:trPr>
          <w:tblHeader w:val="true"/>
        </w:trPr>
        <w:tc>
          <w:tcPr>
            <w:tcW w:type="dxa" w:w="4773"/>
            <w:shd w:fill="23395D"/>
            <w:vAlign w:val="center"/>
            <w:tcMar>
              <w:top w:w="100" w:type="dxa"/>
              <w:start w:w="120" w:type="dxa"/>
              <w:bottom w:w="100" w:type="dxa"/>
              <w:end w:w="120" w:type="dxa"/>
            </w:tcMar>
          </w:tcPr>
          <w:p>
            <w:r>
              <w:rPr>
                <w:b/>
                <w:color w:val="FFFFFF"/>
                <w:sz w:val="19"/>
              </w:rPr>
              <w:t>Item</w:t>
            </w:r>
          </w:p>
        </w:tc>
        <w:tc>
          <w:tcPr>
            <w:tcW w:type="dxa" w:w="4773"/>
            <w:shd w:fill="23395D"/>
            <w:vAlign w:val="center"/>
            <w:tcMar>
              <w:top w:w="100" w:type="dxa"/>
              <w:start w:w="120" w:type="dxa"/>
              <w:bottom w:w="100" w:type="dxa"/>
              <w:end w:w="120" w:type="dxa"/>
            </w:tcMar>
          </w:tcPr>
          <w:p>
            <w:r>
              <w:rPr>
                <w:b/>
                <w:color w:val="FFFFFF"/>
                <w:sz w:val="19"/>
              </w:rPr>
              <w:t>Specification</w:t>
            </w:r>
          </w:p>
        </w:tc>
      </w:tr>
      <w:tr>
        <w:tc>
          <w:tcPr>
            <w:tcW w:type="dxa" w:w="2952"/>
            <w:vAlign w:val="center"/>
            <w:tcMar>
              <w:top w:w="100" w:type="dxa"/>
              <w:start w:w="120" w:type="dxa"/>
              <w:bottom w:w="100" w:type="dxa"/>
              <w:end w:w="120" w:type="dxa"/>
            </w:tcMar>
          </w:tcPr>
          <w:p>
            <w:pPr>
              <w:spacing w:after="0" w:line="252" w:lineRule="auto"/>
            </w:pPr>
            <w:r>
              <w:rPr>
                <w:b/>
                <w:sz w:val="19"/>
              </w:rPr>
              <w:t>Mounting system</w:t>
            </w:r>
          </w:p>
        </w:tc>
        <w:tc>
          <w:tcPr>
            <w:tcW w:type="dxa" w:w="6696"/>
            <w:vAlign w:val="center"/>
            <w:tcMar>
              <w:top w:w="100" w:type="dxa"/>
              <w:start w:w="120" w:type="dxa"/>
              <w:bottom w:w="100" w:type="dxa"/>
              <w:end w:w="120" w:type="dxa"/>
            </w:tcMar>
          </w:tcPr>
          <w:p>
            <w:pPr>
              <w:spacing w:after="0" w:line="252" w:lineRule="auto"/>
            </w:pPr>
            <w:r>
              <w:rPr>
                <w:sz w:val="19"/>
              </w:rPr>
              <w:t>SolarPort galvanised-steel posts and cross-rails</w:t>
            </w:r>
          </w:p>
        </w:tc>
      </w:tr>
      <w:tr>
        <w:tc>
          <w:tcPr>
            <w:tcW w:type="dxa" w:w="2952"/>
            <w:shd w:fill="F3F6FA"/>
            <w:vAlign w:val="center"/>
            <w:tcMar>
              <w:top w:w="100" w:type="dxa"/>
              <w:start w:w="120" w:type="dxa"/>
              <w:bottom w:w="100" w:type="dxa"/>
              <w:end w:w="120" w:type="dxa"/>
            </w:tcMar>
          </w:tcPr>
          <w:p>
            <w:pPr>
              <w:spacing w:after="0" w:line="252" w:lineRule="auto"/>
            </w:pPr>
            <w:r>
              <w:rPr>
                <w:b/>
                <w:sz w:val="19"/>
              </w:rPr>
              <w:t>Ground fixing</w:t>
            </w:r>
          </w:p>
        </w:tc>
        <w:tc>
          <w:tcPr>
            <w:tcW w:type="dxa" w:w="6696"/>
            <w:shd w:fill="F3F6FA"/>
            <w:vAlign w:val="center"/>
            <w:tcMar>
              <w:top w:w="100" w:type="dxa"/>
              <w:start w:w="120" w:type="dxa"/>
              <w:bottom w:w="100" w:type="dxa"/>
              <w:end w:w="120" w:type="dxa"/>
            </w:tcMar>
          </w:tcPr>
          <w:p>
            <w:pPr>
              <w:spacing w:after="0" w:line="252" w:lineRule="auto"/>
            </w:pPr>
            <w:r>
              <w:rPr>
                <w:sz w:val="19"/>
              </w:rPr>
              <w:t>Posts driven directly into the ground without concrete foundations</w:t>
            </w:r>
          </w:p>
        </w:tc>
      </w:tr>
      <w:tr>
        <w:tc>
          <w:tcPr>
            <w:tcW w:type="dxa" w:w="2952"/>
            <w:vAlign w:val="center"/>
            <w:tcMar>
              <w:top w:w="100" w:type="dxa"/>
              <w:start w:w="120" w:type="dxa"/>
              <w:bottom w:w="100" w:type="dxa"/>
              <w:end w:w="120" w:type="dxa"/>
            </w:tcMar>
          </w:tcPr>
          <w:p>
            <w:pPr>
              <w:spacing w:after="0" w:line="252" w:lineRule="auto"/>
            </w:pPr>
            <w:r>
              <w:rPr>
                <w:b/>
                <w:sz w:val="19"/>
              </w:rPr>
              <w:t>Overall envelope</w:t>
            </w:r>
          </w:p>
        </w:tc>
        <w:tc>
          <w:tcPr>
            <w:tcW w:type="dxa" w:w="6696"/>
            <w:vAlign w:val="center"/>
            <w:tcMar>
              <w:top w:w="100" w:type="dxa"/>
              <w:start w:w="120" w:type="dxa"/>
              <w:bottom w:w="100" w:type="dxa"/>
              <w:end w:w="120" w:type="dxa"/>
            </w:tcMar>
          </w:tcPr>
          <w:p>
            <w:pPr>
              <w:spacing w:after="0" w:line="252" w:lineRule="auto"/>
            </w:pPr>
            <w:r>
              <w:rPr>
                <w:sz w:val="19"/>
              </w:rPr>
              <w:t>Approximately 9.1 m x 15.25 m</w:t>
            </w:r>
          </w:p>
        </w:tc>
      </w:tr>
      <w:tr>
        <w:tc>
          <w:tcPr>
            <w:tcW w:type="dxa" w:w="2952"/>
            <w:shd w:fill="F3F6FA"/>
            <w:vAlign w:val="center"/>
            <w:tcMar>
              <w:top w:w="100" w:type="dxa"/>
              <w:start w:w="120" w:type="dxa"/>
              <w:bottom w:w="100" w:type="dxa"/>
              <w:end w:w="120" w:type="dxa"/>
            </w:tcMar>
          </w:tcPr>
          <w:p>
            <w:pPr>
              <w:spacing w:after="0" w:line="252" w:lineRule="auto"/>
            </w:pPr>
            <w:r>
              <w:rPr>
                <w:b/>
                <w:sz w:val="19"/>
              </w:rPr>
              <w:t>Maximum height</w:t>
            </w:r>
          </w:p>
        </w:tc>
        <w:tc>
          <w:tcPr>
            <w:tcW w:type="dxa" w:w="6696"/>
            <w:shd w:fill="F3F6FA"/>
            <w:vAlign w:val="center"/>
            <w:tcMar>
              <w:top w:w="100" w:type="dxa"/>
              <w:start w:w="120" w:type="dxa"/>
              <w:bottom w:w="100" w:type="dxa"/>
              <w:end w:w="120" w:type="dxa"/>
            </w:tcMar>
          </w:tcPr>
          <w:p>
            <w:pPr>
              <w:spacing w:after="0" w:line="252" w:lineRule="auto"/>
            </w:pPr>
            <w:r>
              <w:rPr>
                <w:sz w:val="19"/>
              </w:rPr>
              <w:t>Approximately 1.65 m above existing ground level</w:t>
            </w:r>
          </w:p>
        </w:tc>
      </w:tr>
      <w:tr>
        <w:tc>
          <w:tcPr>
            <w:tcW w:type="dxa" w:w="2952"/>
            <w:vAlign w:val="center"/>
            <w:tcMar>
              <w:top w:w="100" w:type="dxa"/>
              <w:start w:w="120" w:type="dxa"/>
              <w:bottom w:w="100" w:type="dxa"/>
              <w:end w:w="120" w:type="dxa"/>
            </w:tcMar>
          </w:tcPr>
          <w:p>
            <w:pPr>
              <w:spacing w:after="0" w:line="252" w:lineRule="auto"/>
            </w:pPr>
            <w:r>
              <w:rPr>
                <w:b/>
                <w:sz w:val="19"/>
              </w:rPr>
              <w:t>Inclination</w:t>
            </w:r>
          </w:p>
        </w:tc>
        <w:tc>
          <w:tcPr>
            <w:tcW w:type="dxa" w:w="6696"/>
            <w:vAlign w:val="center"/>
            <w:tcMar>
              <w:top w:w="100" w:type="dxa"/>
              <w:start w:w="120" w:type="dxa"/>
              <w:bottom w:w="100" w:type="dxa"/>
              <w:end w:w="120" w:type="dxa"/>
            </w:tcMar>
          </w:tcPr>
          <w:p>
            <w:pPr>
              <w:spacing w:after="0" w:line="252" w:lineRule="auto"/>
            </w:pPr>
            <w:r>
              <w:rPr>
                <w:sz w:val="19"/>
              </w:rPr>
              <w:t>Fixed at approximately 20 degrees from horizontal</w:t>
            </w:r>
          </w:p>
        </w:tc>
      </w:tr>
      <w:tr>
        <w:tc>
          <w:tcPr>
            <w:tcW w:type="dxa" w:w="2952"/>
            <w:shd w:fill="F3F6FA"/>
            <w:vAlign w:val="center"/>
            <w:tcMar>
              <w:top w:w="100" w:type="dxa"/>
              <w:start w:w="120" w:type="dxa"/>
              <w:bottom w:w="100" w:type="dxa"/>
              <w:end w:w="120" w:type="dxa"/>
            </w:tcMar>
          </w:tcPr>
          <w:p>
            <w:pPr>
              <w:spacing w:after="0" w:line="252" w:lineRule="auto"/>
            </w:pPr>
            <w:r>
              <w:rPr>
                <w:b/>
                <w:sz w:val="19"/>
              </w:rPr>
              <w:t>Reversibility</w:t>
            </w:r>
          </w:p>
        </w:tc>
        <w:tc>
          <w:tcPr>
            <w:tcW w:type="dxa" w:w="6696"/>
            <w:shd w:fill="F3F6FA"/>
            <w:vAlign w:val="center"/>
            <w:tcMar>
              <w:top w:w="100" w:type="dxa"/>
              <w:start w:w="120" w:type="dxa"/>
              <w:bottom w:w="100" w:type="dxa"/>
              <w:end w:w="120" w:type="dxa"/>
            </w:tcMar>
          </w:tcPr>
          <w:p>
            <w:pPr>
              <w:spacing w:after="0" w:line="252" w:lineRule="auto"/>
            </w:pPr>
            <w:r>
              <w:rPr>
                <w:sz w:val="19"/>
              </w:rPr>
              <w:t>The mounting system can be removed and the ground reinstated when no longer required</w:t>
            </w:r>
          </w:p>
        </w:tc>
      </w:tr>
    </w:tbl>
    <w:p>
      <w:pPr>
        <w:spacing w:after="0"/>
      </w:pPr>
    </w:p>
    <w:p>
      <w:pPr>
        <w:pStyle w:val="Heading1"/>
        <w:keepNext/>
      </w:pPr>
      <w:r>
        <w:t>Inverter and Battery Storage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952"/>
        <w:gridCol w:w="6696"/>
      </w:tblGrid>
      <w:tr>
        <w:trPr>
          <w:tblHeader w:val="true"/>
        </w:trPr>
        <w:tc>
          <w:tcPr>
            <w:tcW w:type="dxa" w:w="4773"/>
            <w:shd w:fill="23395D"/>
            <w:vAlign w:val="center"/>
            <w:tcMar>
              <w:top w:w="100" w:type="dxa"/>
              <w:start w:w="120" w:type="dxa"/>
              <w:bottom w:w="100" w:type="dxa"/>
              <w:end w:w="120" w:type="dxa"/>
            </w:tcMar>
          </w:tcPr>
          <w:p>
            <w:r>
              <w:rPr>
                <w:b/>
                <w:color w:val="FFFFFF"/>
                <w:sz w:val="19"/>
              </w:rPr>
              <w:t>Item</w:t>
            </w:r>
          </w:p>
        </w:tc>
        <w:tc>
          <w:tcPr>
            <w:tcW w:type="dxa" w:w="4773"/>
            <w:shd w:fill="23395D"/>
            <w:vAlign w:val="center"/>
            <w:tcMar>
              <w:top w:w="100" w:type="dxa"/>
              <w:start w:w="120" w:type="dxa"/>
              <w:bottom w:w="100" w:type="dxa"/>
              <w:end w:w="120" w:type="dxa"/>
            </w:tcMar>
          </w:tcPr>
          <w:p>
            <w:r>
              <w:rPr>
                <w:b/>
                <w:color w:val="FFFFFF"/>
                <w:sz w:val="19"/>
              </w:rPr>
              <w:t>Specification</w:t>
            </w:r>
          </w:p>
        </w:tc>
      </w:tr>
      <w:tr>
        <w:tc>
          <w:tcPr>
            <w:tcW w:type="dxa" w:w="2952"/>
            <w:vAlign w:val="center"/>
            <w:tcMar>
              <w:top w:w="100" w:type="dxa"/>
              <w:start w:w="120" w:type="dxa"/>
              <w:bottom w:w="100" w:type="dxa"/>
              <w:end w:w="120" w:type="dxa"/>
            </w:tcMar>
          </w:tcPr>
          <w:p>
            <w:pPr>
              <w:spacing w:after="0" w:line="252" w:lineRule="auto"/>
            </w:pPr>
            <w:r>
              <w:rPr>
                <w:b/>
                <w:sz w:val="19"/>
              </w:rPr>
              <w:t>Energy controller</w:t>
            </w:r>
          </w:p>
        </w:tc>
        <w:tc>
          <w:tcPr>
            <w:tcW w:type="dxa" w:w="6696"/>
            <w:vAlign w:val="center"/>
            <w:tcMar>
              <w:top w:w="100" w:type="dxa"/>
              <w:start w:w="120" w:type="dxa"/>
              <w:bottom w:w="100" w:type="dxa"/>
              <w:end w:w="120" w:type="dxa"/>
            </w:tcMar>
          </w:tcPr>
          <w:p>
            <w:pPr>
              <w:spacing w:after="0" w:line="252" w:lineRule="auto"/>
            </w:pPr>
            <w:r>
              <w:rPr>
                <w:sz w:val="19"/>
              </w:rPr>
              <w:t>1 x Sigenergy SigenStor EC 10.0SP, single phase, rated at 10 kW</w:t>
            </w:r>
          </w:p>
        </w:tc>
      </w:tr>
      <w:tr>
        <w:tc>
          <w:tcPr>
            <w:tcW w:type="dxa" w:w="2952"/>
            <w:shd w:fill="F3F6FA"/>
            <w:vAlign w:val="center"/>
            <w:tcMar>
              <w:top w:w="100" w:type="dxa"/>
              <w:start w:w="120" w:type="dxa"/>
              <w:bottom w:w="100" w:type="dxa"/>
              <w:end w:w="120" w:type="dxa"/>
            </w:tcMar>
          </w:tcPr>
          <w:p>
            <w:pPr>
              <w:spacing w:after="0" w:line="252" w:lineRule="auto"/>
            </w:pPr>
            <w:r>
              <w:rPr>
                <w:b/>
                <w:sz w:val="19"/>
              </w:rPr>
              <w:t>Battery modules</w:t>
            </w:r>
          </w:p>
        </w:tc>
        <w:tc>
          <w:tcPr>
            <w:tcW w:type="dxa" w:w="6696"/>
            <w:shd w:fill="F3F6FA"/>
            <w:vAlign w:val="center"/>
            <w:tcMar>
              <w:top w:w="100" w:type="dxa"/>
              <w:start w:w="120" w:type="dxa"/>
              <w:bottom w:w="100" w:type="dxa"/>
              <w:end w:w="120" w:type="dxa"/>
            </w:tcMar>
          </w:tcPr>
          <w:p>
            <w:pPr>
              <w:spacing w:after="0" w:line="252" w:lineRule="auto"/>
            </w:pPr>
            <w:r>
              <w:rPr>
                <w:sz w:val="19"/>
              </w:rPr>
              <w:t>2 x Sigenergy SigenStor BAT 8.0 lithium iron phosphate battery modules</w:t>
            </w:r>
          </w:p>
        </w:tc>
      </w:tr>
      <w:tr>
        <w:tc>
          <w:tcPr>
            <w:tcW w:type="dxa" w:w="2952"/>
            <w:vAlign w:val="center"/>
            <w:tcMar>
              <w:top w:w="100" w:type="dxa"/>
              <w:start w:w="120" w:type="dxa"/>
              <w:bottom w:w="100" w:type="dxa"/>
              <w:end w:w="120" w:type="dxa"/>
            </w:tcMar>
          </w:tcPr>
          <w:p>
            <w:pPr>
              <w:spacing w:after="0" w:line="252" w:lineRule="auto"/>
            </w:pPr>
            <w:r>
              <w:rPr>
                <w:b/>
                <w:sz w:val="19"/>
              </w:rPr>
              <w:t>Battery capacity</w:t>
            </w:r>
          </w:p>
        </w:tc>
        <w:tc>
          <w:tcPr>
            <w:tcW w:type="dxa" w:w="6696"/>
            <w:vAlign w:val="center"/>
            <w:tcMar>
              <w:top w:w="100" w:type="dxa"/>
              <w:start w:w="120" w:type="dxa"/>
              <w:bottom w:w="100" w:type="dxa"/>
              <w:end w:w="120" w:type="dxa"/>
            </w:tcMar>
          </w:tcPr>
          <w:p>
            <w:pPr>
              <w:spacing w:after="0" w:line="252" w:lineRule="auto"/>
            </w:pPr>
            <w:r>
              <w:rPr>
                <w:sz w:val="19"/>
              </w:rPr>
              <w:t>8.06 kWh nominal and 7.8 kWh usable per module; 16.12 kWh nominal and approximately 15.6 kWh usable in total</w:t>
            </w:r>
          </w:p>
        </w:tc>
      </w:tr>
      <w:tr>
        <w:tc>
          <w:tcPr>
            <w:tcW w:type="dxa" w:w="2952"/>
            <w:shd w:fill="F3F6FA"/>
            <w:vAlign w:val="center"/>
            <w:tcMar>
              <w:top w:w="100" w:type="dxa"/>
              <w:start w:w="120" w:type="dxa"/>
              <w:bottom w:w="100" w:type="dxa"/>
              <w:end w:w="120" w:type="dxa"/>
            </w:tcMar>
          </w:tcPr>
          <w:p>
            <w:pPr>
              <w:spacing w:after="0" w:line="252" w:lineRule="auto"/>
            </w:pPr>
            <w:r>
              <w:rPr>
                <w:b/>
                <w:sz w:val="19"/>
              </w:rPr>
              <w:t>Equipment envelope</w:t>
            </w:r>
          </w:p>
        </w:tc>
        <w:tc>
          <w:tcPr>
            <w:tcW w:type="dxa" w:w="6696"/>
            <w:shd w:fill="F3F6FA"/>
            <w:vAlign w:val="center"/>
            <w:tcMar>
              <w:top w:w="100" w:type="dxa"/>
              <w:start w:w="120" w:type="dxa"/>
              <w:bottom w:w="100" w:type="dxa"/>
              <w:end w:w="120" w:type="dxa"/>
            </w:tcMar>
          </w:tcPr>
          <w:p>
            <w:pPr>
              <w:spacing w:after="0" w:line="252" w:lineRule="auto"/>
            </w:pPr>
            <w:r>
              <w:rPr>
                <w:sz w:val="19"/>
              </w:rPr>
              <w:t>The combined two-module SigenStor equipment stack is approximately 850 mm wide x 260 mm deep x 910 mm high</w:t>
            </w:r>
          </w:p>
        </w:tc>
      </w:tr>
      <w:tr>
        <w:tc>
          <w:tcPr>
            <w:tcW w:type="dxa" w:w="2952"/>
            <w:vAlign w:val="center"/>
            <w:tcMar>
              <w:top w:w="100" w:type="dxa"/>
              <w:start w:w="120" w:type="dxa"/>
              <w:bottom w:w="100" w:type="dxa"/>
              <w:end w:w="120" w:type="dxa"/>
            </w:tcMar>
          </w:tcPr>
          <w:p>
            <w:pPr>
              <w:spacing w:after="0" w:line="252" w:lineRule="auto"/>
            </w:pPr>
            <w:r>
              <w:rPr>
                <w:b/>
                <w:sz w:val="19"/>
              </w:rPr>
              <w:t>Weight</w:t>
            </w:r>
          </w:p>
        </w:tc>
        <w:tc>
          <w:tcPr>
            <w:tcW w:type="dxa" w:w="6696"/>
            <w:vAlign w:val="center"/>
            <w:tcMar>
              <w:top w:w="100" w:type="dxa"/>
              <w:start w:w="120" w:type="dxa"/>
              <w:bottom w:w="100" w:type="dxa"/>
              <w:end w:w="120" w:type="dxa"/>
            </w:tcMar>
          </w:tcPr>
          <w:p>
            <w:pPr>
              <w:spacing w:after="0" w:line="252" w:lineRule="auto"/>
            </w:pPr>
            <w:r>
              <w:rPr>
                <w:sz w:val="19"/>
              </w:rPr>
              <w:t>Approximately 183 kg for the combined two-module equipment stack</w:t>
            </w:r>
          </w:p>
        </w:tc>
      </w:tr>
      <w:tr>
        <w:tc>
          <w:tcPr>
            <w:tcW w:type="dxa" w:w="2952"/>
            <w:shd w:fill="F3F6FA"/>
            <w:vAlign w:val="center"/>
            <w:tcMar>
              <w:top w:w="100" w:type="dxa"/>
              <w:start w:w="120" w:type="dxa"/>
              <w:bottom w:w="100" w:type="dxa"/>
              <w:end w:w="120" w:type="dxa"/>
            </w:tcMar>
          </w:tcPr>
          <w:p>
            <w:pPr>
              <w:spacing w:after="0" w:line="252" w:lineRule="auto"/>
            </w:pPr>
            <w:r>
              <w:rPr>
                <w:b/>
                <w:sz w:val="19"/>
              </w:rPr>
              <w:t>Cooling</w:t>
            </w:r>
          </w:p>
        </w:tc>
        <w:tc>
          <w:tcPr>
            <w:tcW w:type="dxa" w:w="6696"/>
            <w:shd w:fill="F3F6FA"/>
            <w:vAlign w:val="center"/>
            <w:tcMar>
              <w:top w:w="100" w:type="dxa"/>
              <w:start w:w="120" w:type="dxa"/>
              <w:bottom w:w="100" w:type="dxa"/>
              <w:end w:w="120" w:type="dxa"/>
            </w:tcMar>
          </w:tcPr>
          <w:p>
            <w:pPr>
              <w:spacing w:after="0" w:line="252" w:lineRule="auto"/>
            </w:pPr>
            <w:r>
              <w:rPr>
                <w:sz w:val="19"/>
              </w:rPr>
              <w:t>Natural convection; no mechanical cooling plant is specified</w:t>
            </w:r>
          </w:p>
        </w:tc>
      </w:tr>
      <w:tr>
        <w:tc>
          <w:tcPr>
            <w:tcW w:type="dxa" w:w="2952"/>
            <w:vAlign w:val="center"/>
            <w:tcMar>
              <w:top w:w="100" w:type="dxa"/>
              <w:start w:w="120" w:type="dxa"/>
              <w:bottom w:w="100" w:type="dxa"/>
              <w:end w:w="120" w:type="dxa"/>
            </w:tcMar>
          </w:tcPr>
          <w:p>
            <w:pPr>
              <w:spacing w:after="0" w:line="252" w:lineRule="auto"/>
            </w:pPr>
            <w:r>
              <w:rPr>
                <w:b/>
                <w:sz w:val="19"/>
              </w:rPr>
              <w:t>Ingress protection</w:t>
            </w:r>
          </w:p>
        </w:tc>
        <w:tc>
          <w:tcPr>
            <w:tcW w:type="dxa" w:w="6696"/>
            <w:vAlign w:val="center"/>
            <w:tcMar>
              <w:top w:w="100" w:type="dxa"/>
              <w:start w:w="120" w:type="dxa"/>
              <w:bottom w:w="100" w:type="dxa"/>
              <w:end w:w="120" w:type="dxa"/>
            </w:tcMar>
          </w:tcPr>
          <w:p>
            <w:pPr>
              <w:spacing w:after="0" w:line="252" w:lineRule="auto"/>
            </w:pPr>
            <w:r>
              <w:rPr>
                <w:sz w:val="19"/>
              </w:rPr>
              <w:t>IP66 rated equipment</w:t>
            </w:r>
          </w:p>
        </w:tc>
      </w:tr>
      <w:tr>
        <w:tc>
          <w:tcPr>
            <w:tcW w:type="dxa" w:w="2952"/>
            <w:shd w:fill="F3F6FA"/>
            <w:vAlign w:val="center"/>
            <w:tcMar>
              <w:top w:w="100" w:type="dxa"/>
              <w:start w:w="120" w:type="dxa"/>
              <w:bottom w:w="100" w:type="dxa"/>
              <w:end w:w="120" w:type="dxa"/>
            </w:tcMar>
          </w:tcPr>
          <w:p>
            <w:pPr>
              <w:spacing w:after="0" w:line="252" w:lineRule="auto"/>
            </w:pPr>
            <w:r>
              <w:rPr>
                <w:b/>
                <w:sz w:val="19"/>
              </w:rPr>
              <w:t>Safety and standards</w:t>
            </w:r>
          </w:p>
        </w:tc>
        <w:tc>
          <w:tcPr>
            <w:tcW w:type="dxa" w:w="6696"/>
            <w:shd w:fill="F3F6FA"/>
            <w:vAlign w:val="center"/>
            <w:tcMar>
              <w:top w:w="100" w:type="dxa"/>
              <w:start w:w="120" w:type="dxa"/>
              <w:bottom w:w="100" w:type="dxa"/>
              <w:end w:w="120" w:type="dxa"/>
            </w:tcMar>
          </w:tcPr>
          <w:p>
            <w:pPr>
              <w:spacing w:after="0" w:line="252" w:lineRule="auto"/>
            </w:pPr>
            <w:r>
              <w:rPr>
                <w:sz w:val="19"/>
              </w:rPr>
              <w:t>LiFePO4 battery chemistry with multi-layer protection. Manufacturer documentation records compliance with applicable IEC/EN electrical and battery safety standards</w:t>
            </w:r>
          </w:p>
        </w:tc>
      </w:tr>
      <w:tr>
        <w:tc>
          <w:tcPr>
            <w:tcW w:type="dxa" w:w="2952"/>
            <w:vAlign w:val="center"/>
            <w:tcMar>
              <w:top w:w="100" w:type="dxa"/>
              <w:start w:w="120" w:type="dxa"/>
              <w:bottom w:w="100" w:type="dxa"/>
              <w:end w:w="120" w:type="dxa"/>
            </w:tcMar>
          </w:tcPr>
          <w:p>
            <w:pPr>
              <w:spacing w:after="0" w:line="252" w:lineRule="auto"/>
            </w:pPr>
            <w:r>
              <w:rPr>
                <w:b/>
                <w:sz w:val="19"/>
              </w:rPr>
              <w:t>Warranty</w:t>
            </w:r>
          </w:p>
        </w:tc>
        <w:tc>
          <w:tcPr>
            <w:tcW w:type="dxa" w:w="6696"/>
            <w:vAlign w:val="center"/>
            <w:tcMar>
              <w:top w:w="100" w:type="dxa"/>
              <w:start w:w="120" w:type="dxa"/>
              <w:bottom w:w="100" w:type="dxa"/>
              <w:end w:w="120" w:type="dxa"/>
            </w:tcMar>
          </w:tcPr>
          <w:p>
            <w:pPr>
              <w:spacing w:after="0" w:line="252" w:lineRule="auto"/>
            </w:pPr>
            <w:r>
              <w:rPr>
                <w:sz w:val="19"/>
              </w:rPr>
              <w:t>10-year manufacturer product warranty for the controller and batteries</w:t>
            </w:r>
          </w:p>
        </w:tc>
      </w:tr>
    </w:tbl>
    <w:p>
      <w:pPr>
        <w:spacing w:after="0"/>
      </w:pPr>
    </w:p>
    <w:p>
      <w:pPr>
        <w:pStyle w:val="Heading1"/>
        <w:keepNext/>
      </w:pPr>
      <w:r>
        <w:t>Location Within the Field Store</w:t>
      </w:r>
    </w:p>
    <w:p>
      <w:r>
        <w:t>The inverter and battery equipment will be housed internally within the previously approved field store. The equipment will occupy less than 1 m² of its 25.7 m² floor area, leaving more than 96% of the building available for its principal agricultural storage use. The equipment will not require any alteration to the approved external form or appearance of the building.</w:t>
      </w:r>
    </w:p>
    <w:p>
      <w:r>
        <w:t>Internal accommodation protects the equipment, avoids external visual clutter and removes the need for a separate cabinet or ancillary structure beside the array. Cabling between the array and field store will be installed underground.</w:t>
      </w:r>
    </w:p>
    <w:p>
      <w:pPr>
        <w:pStyle w:val="Heading1"/>
        <w:keepNext/>
      </w:pPr>
      <w:r>
        <w:t>Operational Characteristics</w:t>
      </w:r>
    </w:p>
    <w:p>
      <w:r>
        <w:t>The array is fixed and contains no tracking mechanism. No external lighting, concrete foundations or external equipment enclosure is proposed. The battery system and energy controller use natural convection cooling, with no externally mounted mechanical cooling plant.</w:t>
      </w:r>
    </w:p>
    <w:p>
      <w:pPr>
        <w:spacing w:after="0"/>
      </w:pPr>
      <w:r>
        <w:rPr>
          <w:i/>
          <w:sz w:val="18"/>
        </w:rPr>
        <w:t>Source: Solar Searcher Ltd proposal for Cadley Farmhouse and the accompanying JA Solar and Sigenergy technical sheets. Array dimensions and mounting details are taken from the submitted planning drawings and Design and Access Statement.</w:t>
      </w:r>
    </w:p>
    <w:sectPr w:rsidR="00FC693F" w:rsidRPr="0006063C" w:rsidSect="00034616">
      <w:footerReference w:type="default" r:id="rId9"/>
      <w:pgSz w:w="11909" w:h="16834"/>
      <w:pgMar w:top="835" w:right="1181" w:bottom="835"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95959"/>
        <w:sz w:val="16"/>
      </w:rPr>
      <w:t>Equestrian Blueprint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