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A48B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4B487C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CCA657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4D703AE2" w14:textId="77777777" w:rsidTr="00683C17">
        <w:tc>
          <w:tcPr>
            <w:tcW w:w="3681" w:type="dxa"/>
          </w:tcPr>
          <w:p w14:paraId="0BA4583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AD9B7E2"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PL/2026/04621</w:t>
            </w:r>
          </w:p>
        </w:tc>
      </w:tr>
      <w:tr w:rsidR="003951BD" w14:paraId="2766B7CD" w14:textId="77777777" w:rsidTr="00683C17">
        <w:tc>
          <w:tcPr>
            <w:tcW w:w="3681" w:type="dxa"/>
          </w:tcPr>
          <w:p w14:paraId="658FCB8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87F518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EF86227" w14:textId="77777777" w:rsidTr="00683C17">
        <w:tc>
          <w:tcPr>
            <w:tcW w:w="3681" w:type="dxa"/>
          </w:tcPr>
          <w:p w14:paraId="2AA6099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EC9CE3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18 Spaines, Great Bedwyn, Marlborough, SN8 3LT</w:t>
            </w:r>
          </w:p>
        </w:tc>
      </w:tr>
      <w:tr w:rsidR="003951BD" w14:paraId="0343F6D3" w14:textId="77777777" w:rsidTr="00683C17">
        <w:tc>
          <w:tcPr>
            <w:tcW w:w="3681" w:type="dxa"/>
          </w:tcPr>
          <w:p w14:paraId="79DA540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7D64C8F"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Single storey side extension replacing existing garage and connecting structure.</w:t>
            </w:r>
          </w:p>
        </w:tc>
      </w:tr>
      <w:tr w:rsidR="003951BD" w14:paraId="6DAC290C" w14:textId="77777777" w:rsidTr="00683C17">
        <w:tc>
          <w:tcPr>
            <w:tcW w:w="3681" w:type="dxa"/>
          </w:tcPr>
          <w:p w14:paraId="6160AD3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4E198B5"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0AFB4A3"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F4B64F1"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7A6C4EC2"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816672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E812F8A" w14:textId="15FC95C4" w:rsidR="005B0FD5" w:rsidRPr="0009391A"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09391A">
        <w:rPr>
          <w:rFonts w:ascii="Arial" w:eastAsia="Times New Roman" w:hAnsi="Arial" w:cs="Arial"/>
          <w:kern w:val="0"/>
          <w:sz w:val="22"/>
          <w:szCs w:val="22"/>
          <w:lang w:eastAsia="en-GB"/>
          <w14:ligatures w14:val="none"/>
        </w:rPr>
        <w:t>the erection of a single storey extension, replacing the existing garage and connecting structure.</w:t>
      </w:r>
      <w:r w:rsidR="00FB4253">
        <w:rPr>
          <w:rFonts w:ascii="Arial" w:eastAsia="Times New Roman" w:hAnsi="Arial" w:cs="Arial"/>
          <w:kern w:val="0"/>
          <w:sz w:val="22"/>
          <w:szCs w:val="22"/>
          <w:lang w:eastAsia="en-GB"/>
          <w14:ligatures w14:val="none"/>
        </w:rPr>
        <w:t xml:space="preserve"> The </w:t>
      </w:r>
      <w:r w:rsidR="00CC77F1">
        <w:rPr>
          <w:rFonts w:ascii="Arial" w:eastAsia="Times New Roman" w:hAnsi="Arial" w:cs="Arial"/>
          <w:kern w:val="0"/>
          <w:sz w:val="22"/>
          <w:szCs w:val="22"/>
          <w:lang w:eastAsia="en-GB"/>
          <w14:ligatures w14:val="none"/>
        </w:rPr>
        <w:t>proposal also seeks to remove the conservatory to the rear of the dwelling.</w:t>
      </w:r>
      <w:r w:rsidR="009B007D">
        <w:rPr>
          <w:rFonts w:ascii="Arial" w:eastAsia="Times New Roman" w:hAnsi="Arial" w:cs="Arial"/>
          <w:kern w:val="0"/>
          <w:sz w:val="22"/>
          <w:szCs w:val="22"/>
          <w:lang w:eastAsia="en-GB"/>
          <w14:ligatures w14:val="none"/>
        </w:rPr>
        <w:t xml:space="preserve"> The agent has confirmed that the boundary treatment would be finished with close board timber fencing.</w:t>
      </w:r>
    </w:p>
    <w:p w14:paraId="3D09CD8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C1F5CF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A3F035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E6F171C"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E31621B" w14:textId="4668A3CC" w:rsidR="00FE250F" w:rsidRDefault="0009391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18 Spaines, Great Bedwyn in Marlborough. </w:t>
      </w:r>
      <w:r w:rsidR="00AE47B8" w:rsidRPr="00AE47B8">
        <w:rPr>
          <w:rFonts w:ascii="Arial" w:eastAsia="Times New Roman" w:hAnsi="Arial" w:cs="Arial"/>
          <w:color w:val="000000" w:themeColor="text1"/>
          <w:kern w:val="0"/>
          <w:sz w:val="22"/>
          <w:szCs w:val="22"/>
          <w:lang w:eastAsia="en-GB"/>
          <w14:ligatures w14:val="none"/>
        </w:rPr>
        <w:t>The site is occupied by a detached bungalow</w:t>
      </w:r>
      <w:r w:rsidR="00AE47B8">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of relatively modern construction located </w:t>
      </w:r>
      <w:r w:rsidR="00AE47B8">
        <w:rPr>
          <w:rFonts w:ascii="Arial" w:eastAsia="Times New Roman" w:hAnsi="Arial" w:cs="Arial"/>
          <w:color w:val="000000" w:themeColor="text1"/>
          <w:kern w:val="0"/>
          <w:sz w:val="22"/>
          <w:szCs w:val="22"/>
          <w:lang w:eastAsia="en-GB"/>
          <w14:ligatures w14:val="none"/>
        </w:rPr>
        <w:t>with</w:t>
      </w:r>
      <w:r>
        <w:rPr>
          <w:rFonts w:ascii="Arial" w:eastAsia="Times New Roman" w:hAnsi="Arial" w:cs="Arial"/>
          <w:color w:val="000000" w:themeColor="text1"/>
          <w:kern w:val="0"/>
          <w:sz w:val="22"/>
          <w:szCs w:val="22"/>
          <w:lang w:eastAsia="en-GB"/>
          <w14:ligatures w14:val="none"/>
        </w:rPr>
        <w:t>in a</w:t>
      </w:r>
      <w:r w:rsidR="00AE47B8">
        <w:rPr>
          <w:rFonts w:ascii="Arial" w:eastAsia="Times New Roman" w:hAnsi="Arial" w:cs="Arial"/>
          <w:color w:val="000000" w:themeColor="text1"/>
          <w:kern w:val="0"/>
          <w:sz w:val="22"/>
          <w:szCs w:val="22"/>
          <w:lang w:eastAsia="en-GB"/>
          <w14:ligatures w14:val="none"/>
        </w:rPr>
        <w:t>n</w:t>
      </w:r>
      <w:r>
        <w:rPr>
          <w:rFonts w:ascii="Arial" w:eastAsia="Times New Roman" w:hAnsi="Arial" w:cs="Arial"/>
          <w:color w:val="000000" w:themeColor="text1"/>
          <w:kern w:val="0"/>
          <w:sz w:val="22"/>
          <w:szCs w:val="22"/>
          <w:lang w:eastAsia="en-GB"/>
          <w14:ligatures w14:val="none"/>
        </w:rPr>
        <w:t xml:space="preserve"> </w:t>
      </w:r>
      <w:r w:rsidR="00AE47B8">
        <w:rPr>
          <w:rFonts w:ascii="Arial" w:eastAsia="Times New Roman" w:hAnsi="Arial" w:cs="Arial"/>
          <w:color w:val="000000" w:themeColor="text1"/>
          <w:kern w:val="0"/>
          <w:sz w:val="22"/>
          <w:szCs w:val="22"/>
          <w:lang w:eastAsia="en-GB"/>
          <w14:ligatures w14:val="none"/>
        </w:rPr>
        <w:t xml:space="preserve">established </w:t>
      </w:r>
      <w:r>
        <w:rPr>
          <w:rFonts w:ascii="Arial" w:eastAsia="Times New Roman" w:hAnsi="Arial" w:cs="Arial"/>
          <w:color w:val="000000" w:themeColor="text1"/>
          <w:kern w:val="0"/>
          <w:sz w:val="22"/>
          <w:szCs w:val="22"/>
          <w:lang w:eastAsia="en-GB"/>
          <w14:ligatures w14:val="none"/>
        </w:rPr>
        <w:t xml:space="preserve">residential area, </w:t>
      </w:r>
      <w:r w:rsidR="00AE47B8">
        <w:rPr>
          <w:rFonts w:ascii="Arial" w:eastAsia="Times New Roman" w:hAnsi="Arial" w:cs="Arial"/>
          <w:color w:val="000000" w:themeColor="text1"/>
          <w:kern w:val="0"/>
          <w:sz w:val="22"/>
          <w:szCs w:val="22"/>
          <w:lang w:eastAsia="en-GB"/>
          <w14:ligatures w14:val="none"/>
        </w:rPr>
        <w:t>approximately 60 metres outside</w:t>
      </w:r>
      <w:r>
        <w:rPr>
          <w:rFonts w:ascii="Arial" w:eastAsia="Times New Roman" w:hAnsi="Arial" w:cs="Arial"/>
          <w:color w:val="000000" w:themeColor="text1"/>
          <w:kern w:val="0"/>
          <w:sz w:val="22"/>
          <w:szCs w:val="22"/>
          <w:lang w:eastAsia="en-GB"/>
          <w14:ligatures w14:val="none"/>
        </w:rPr>
        <w:t xml:space="preserve"> the Great Bedwyn Conservation Area.</w:t>
      </w:r>
    </w:p>
    <w:p w14:paraId="7BBA0D5E" w14:textId="77777777" w:rsidR="0009391A" w:rsidRDefault="0009391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8DA8A1"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08B2E63"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67F5638" w14:textId="372BA7F3" w:rsidR="00965A06" w:rsidRPr="0009391A" w:rsidRDefault="0009391A"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09391A">
        <w:rPr>
          <w:rFonts w:ascii="Arial" w:eastAsia="Times New Roman" w:hAnsi="Arial" w:cs="Arial"/>
          <w:kern w:val="0"/>
          <w:sz w:val="22"/>
          <w:szCs w:val="22"/>
          <w:lang w:eastAsia="en-GB"/>
          <w14:ligatures w14:val="none"/>
        </w:rPr>
        <w:t xml:space="preserve">Located approximately 60 metres outside the </w:t>
      </w:r>
      <w:r>
        <w:rPr>
          <w:rFonts w:ascii="Arial" w:eastAsia="Times New Roman" w:hAnsi="Arial" w:cs="Arial"/>
          <w:kern w:val="0"/>
          <w:sz w:val="22"/>
          <w:szCs w:val="22"/>
          <w:lang w:eastAsia="en-GB"/>
          <w14:ligatures w14:val="none"/>
        </w:rPr>
        <w:t>Great Bedwyn</w:t>
      </w:r>
      <w:r w:rsidRPr="0009391A">
        <w:rPr>
          <w:rFonts w:ascii="Arial" w:eastAsia="Times New Roman" w:hAnsi="Arial" w:cs="Arial"/>
          <w:kern w:val="0"/>
          <w:sz w:val="22"/>
          <w:szCs w:val="22"/>
          <w:lang w:eastAsia="en-GB"/>
          <w14:ligatures w14:val="none"/>
        </w:rPr>
        <w:t xml:space="preserve"> Conservation Area</w:t>
      </w:r>
    </w:p>
    <w:p w14:paraId="7DD7E846" w14:textId="38A4177C" w:rsidR="0009391A" w:rsidRDefault="007C2730"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7C2730">
        <w:rPr>
          <w:rFonts w:ascii="Arial" w:eastAsia="Times New Roman" w:hAnsi="Arial" w:cs="Arial"/>
          <w:kern w:val="0"/>
          <w:sz w:val="22"/>
          <w:szCs w:val="22"/>
          <w:lang w:eastAsia="en-GB"/>
          <w14:ligatures w14:val="none"/>
        </w:rPr>
        <w:t>Washed over by the North Wessex Downs National Landscape</w:t>
      </w:r>
    </w:p>
    <w:p w14:paraId="1AC2CB92" w14:textId="2ADE8E79" w:rsidR="00EB5898" w:rsidRDefault="00EB5898"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Flood zone 1</w:t>
      </w:r>
    </w:p>
    <w:p w14:paraId="327BCC50" w14:textId="72DB2BB3" w:rsidR="00C13167" w:rsidRDefault="00C13167"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Within an area susceptible to groundwater flooding</w:t>
      </w:r>
    </w:p>
    <w:p w14:paraId="51BABB51" w14:textId="77777777" w:rsidR="007C2730" w:rsidRPr="007C2730" w:rsidRDefault="007C2730" w:rsidP="007C2730">
      <w:pPr>
        <w:pStyle w:val="ListParagraph"/>
        <w:spacing w:after="0" w:line="276" w:lineRule="auto"/>
        <w:jc w:val="both"/>
        <w:outlineLvl w:val="2"/>
        <w:rPr>
          <w:rFonts w:ascii="Arial" w:eastAsia="Times New Roman" w:hAnsi="Arial" w:cs="Arial"/>
          <w:kern w:val="0"/>
          <w:sz w:val="22"/>
          <w:szCs w:val="22"/>
          <w:lang w:eastAsia="en-GB"/>
          <w14:ligatures w14:val="none"/>
        </w:rPr>
      </w:pPr>
    </w:p>
    <w:p w14:paraId="1E1B7C6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F80885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0FBFE73"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5CFE202D" w14:textId="77777777" w:rsidTr="008F7D98">
        <w:trPr>
          <w:trHeight w:hRule="exact" w:val="20"/>
        </w:trPr>
        <w:tc>
          <w:tcPr>
            <w:tcW w:w="8921" w:type="dxa"/>
            <w:tcBorders>
              <w:bottom w:val="single" w:sz="6" w:space="0" w:color="auto"/>
            </w:tcBorders>
            <w:vAlign w:val="center"/>
            <w:hideMark/>
          </w:tcPr>
          <w:p w14:paraId="7E5D511F"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5B17590A"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C253963"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81867F2" w14:textId="77777777" w:rsidTr="008F7D98">
        <w:tc>
          <w:tcPr>
            <w:tcW w:w="8921" w:type="dxa"/>
            <w:tcBorders>
              <w:left w:val="single" w:sz="12" w:space="0" w:color="auto"/>
              <w:bottom w:val="single" w:sz="12" w:space="0" w:color="auto"/>
              <w:right w:val="single" w:sz="12" w:space="0" w:color="auto"/>
            </w:tcBorders>
            <w:vAlign w:val="center"/>
          </w:tcPr>
          <w:p w14:paraId="1C5FF3CB"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K/10852 - Full planning permission Decision - Approve with Conditions Date: 21/7/1987 – FIRST FLOOR SIDE EXTENSION</w:t>
            </w:r>
          </w:p>
        </w:tc>
      </w:tr>
      <w:tr w:rsidR="003951BD" w:rsidRPr="003E74F7" w14:paraId="1E4F681E" w14:textId="77777777" w:rsidTr="008F7D98">
        <w:tc>
          <w:tcPr>
            <w:tcW w:w="8921" w:type="dxa"/>
            <w:tcBorders>
              <w:left w:val="single" w:sz="12" w:space="0" w:color="auto"/>
              <w:bottom w:val="single" w:sz="12" w:space="0" w:color="auto"/>
              <w:right w:val="single" w:sz="12" w:space="0" w:color="auto"/>
            </w:tcBorders>
            <w:vAlign w:val="center"/>
          </w:tcPr>
          <w:p w14:paraId="4B588767"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K/41346 - Full planning permission Decision - Approve with Conditions Date: 14/6/2001 – The erection of a conservatory</w:t>
            </w:r>
          </w:p>
        </w:tc>
      </w:tr>
      <w:bookmarkEnd w:id="0"/>
    </w:tbl>
    <w:p w14:paraId="1FC1BEB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65571B1" w14:textId="77777777" w:rsidR="007C2730" w:rsidRDefault="007C2730" w:rsidP="009C1702">
      <w:pPr>
        <w:spacing w:after="0" w:line="276" w:lineRule="auto"/>
        <w:jc w:val="both"/>
        <w:rPr>
          <w:rFonts w:ascii="Arial" w:eastAsia="Times New Roman" w:hAnsi="Arial" w:cs="Arial"/>
          <w:b/>
          <w:bCs/>
          <w:kern w:val="0"/>
          <w:sz w:val="22"/>
          <w:szCs w:val="22"/>
          <w:lang w:eastAsia="en-GB"/>
          <w14:ligatures w14:val="none"/>
        </w:rPr>
      </w:pPr>
    </w:p>
    <w:p w14:paraId="269C9F3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1950B9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DEAC7C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2FEAC9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F2F85B4"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DA4E583" w14:textId="77777777" w:rsidR="00315AE0" w:rsidRPr="007C273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C2730">
        <w:rPr>
          <w:rFonts w:ascii="Arial" w:eastAsia="Times New Roman" w:hAnsi="Arial" w:cs="Arial"/>
          <w:kern w:val="0"/>
          <w:sz w:val="22"/>
          <w:szCs w:val="22"/>
          <w:lang w:eastAsia="en-GB"/>
          <w14:ligatures w14:val="none"/>
        </w:rPr>
        <w:t>Core Policy 51</w:t>
      </w:r>
      <w:r w:rsidR="006A735A" w:rsidRPr="007C2730">
        <w:rPr>
          <w:rFonts w:ascii="Arial" w:eastAsia="Times New Roman" w:hAnsi="Arial" w:cs="Arial"/>
          <w:kern w:val="0"/>
          <w:sz w:val="22"/>
          <w:szCs w:val="22"/>
          <w:lang w:eastAsia="en-GB"/>
          <w14:ligatures w14:val="none"/>
        </w:rPr>
        <w:t xml:space="preserve">: </w:t>
      </w:r>
      <w:r w:rsidRPr="007C2730">
        <w:rPr>
          <w:rFonts w:ascii="Arial" w:eastAsia="Times New Roman" w:hAnsi="Arial" w:cs="Arial"/>
          <w:kern w:val="0"/>
          <w:sz w:val="22"/>
          <w:szCs w:val="22"/>
          <w:lang w:eastAsia="en-GB"/>
          <w14:ligatures w14:val="none"/>
        </w:rPr>
        <w:t xml:space="preserve">Landscape </w:t>
      </w:r>
    </w:p>
    <w:p w14:paraId="2A05AB62" w14:textId="77777777" w:rsidR="00683C17"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C2730">
        <w:rPr>
          <w:rFonts w:ascii="Arial" w:eastAsia="Times New Roman" w:hAnsi="Arial" w:cs="Arial"/>
          <w:kern w:val="0"/>
          <w:sz w:val="22"/>
          <w:szCs w:val="22"/>
          <w:lang w:eastAsia="en-GB"/>
          <w14:ligatures w14:val="none"/>
        </w:rPr>
        <w:t>Core Policy 58</w:t>
      </w:r>
      <w:r w:rsidR="006A735A" w:rsidRPr="007C2730">
        <w:rPr>
          <w:rFonts w:ascii="Arial" w:eastAsia="Times New Roman" w:hAnsi="Arial" w:cs="Arial"/>
          <w:kern w:val="0"/>
          <w:sz w:val="22"/>
          <w:szCs w:val="22"/>
          <w:lang w:eastAsia="en-GB"/>
          <w14:ligatures w14:val="none"/>
        </w:rPr>
        <w:t>:</w:t>
      </w:r>
      <w:r w:rsidR="00315AE0" w:rsidRPr="007C2730">
        <w:rPr>
          <w:rFonts w:ascii="Arial" w:eastAsia="Times New Roman" w:hAnsi="Arial" w:cs="Arial"/>
          <w:kern w:val="0"/>
          <w:sz w:val="22"/>
          <w:szCs w:val="22"/>
          <w:lang w:eastAsia="en-GB"/>
          <w14:ligatures w14:val="none"/>
        </w:rPr>
        <w:t xml:space="preserve"> Ensuring the Conservation of the Historic Environment </w:t>
      </w:r>
    </w:p>
    <w:p w14:paraId="1B1DBCCD" w14:textId="3E901B84" w:rsidR="007659B9" w:rsidRDefault="007659B9"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67: </w:t>
      </w:r>
      <w:r w:rsidR="001156F0">
        <w:rPr>
          <w:rFonts w:ascii="Arial" w:eastAsia="Times New Roman" w:hAnsi="Arial" w:cs="Arial"/>
          <w:kern w:val="0"/>
          <w:sz w:val="22"/>
          <w:szCs w:val="22"/>
          <w:lang w:eastAsia="en-GB"/>
          <w14:ligatures w14:val="none"/>
        </w:rPr>
        <w:t>Flood Risk</w:t>
      </w:r>
    </w:p>
    <w:p w14:paraId="35AA07E9" w14:textId="77777777" w:rsidR="00F20E1E" w:rsidRPr="00F20E1E" w:rsidRDefault="00F20E1E" w:rsidP="00F20E1E">
      <w:pPr>
        <w:spacing w:after="0" w:line="276" w:lineRule="auto"/>
        <w:jc w:val="both"/>
        <w:rPr>
          <w:rFonts w:ascii="Arial" w:eastAsia="Times New Roman" w:hAnsi="Arial" w:cs="Arial"/>
          <w:kern w:val="0"/>
          <w:sz w:val="22"/>
          <w:szCs w:val="22"/>
          <w:lang w:eastAsia="en-GB"/>
          <w14:ligatures w14:val="none"/>
        </w:rPr>
      </w:pPr>
    </w:p>
    <w:p w14:paraId="5479A7BB"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A248FDE"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7B016C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967D0E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EC5EF42"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46D7343" w14:textId="77777777" w:rsidR="00B80CC3" w:rsidRPr="00DB7D89" w:rsidRDefault="00B80CC3" w:rsidP="00284692">
      <w:pPr>
        <w:spacing w:after="0" w:line="276" w:lineRule="auto"/>
        <w:jc w:val="both"/>
        <w:rPr>
          <w:rFonts w:ascii="Arial" w:eastAsia="Times New Roman" w:hAnsi="Arial" w:cs="Arial"/>
          <w:kern w:val="0"/>
          <w:sz w:val="22"/>
          <w:szCs w:val="22"/>
          <w:lang w:eastAsia="en-GB"/>
          <w14:ligatures w14:val="none"/>
        </w:rPr>
      </w:pPr>
    </w:p>
    <w:p w14:paraId="7A78796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AD79BF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C86803C"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EF2583D" w14:textId="64A6E75E" w:rsidR="0016162B" w:rsidRDefault="00471A9E" w:rsidP="0016162B">
      <w:pPr>
        <w:spacing w:after="0" w:line="276" w:lineRule="auto"/>
        <w:jc w:val="both"/>
        <w:rPr>
          <w:rFonts w:ascii="Arial" w:eastAsia="Times New Roman" w:hAnsi="Arial" w:cs="Arial"/>
          <w:kern w:val="0"/>
          <w:sz w:val="22"/>
          <w:szCs w:val="22"/>
          <w:lang w:eastAsia="en-GB"/>
          <w14:ligatures w14:val="none"/>
        </w:rPr>
      </w:pPr>
      <w:r w:rsidRPr="00471A9E">
        <w:rPr>
          <w:rFonts w:ascii="Arial" w:eastAsia="Times New Roman" w:hAnsi="Arial" w:cs="Arial"/>
          <w:kern w:val="0"/>
          <w:sz w:val="22"/>
          <w:szCs w:val="22"/>
          <w:u w:val="single"/>
          <w:lang w:eastAsia="en-GB"/>
          <w14:ligatures w14:val="none"/>
        </w:rPr>
        <w:t>Great Bedwyn 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BD0640">
        <w:rPr>
          <w:rFonts w:ascii="Arial" w:eastAsia="Times New Roman" w:hAnsi="Arial" w:cs="Arial"/>
          <w:kern w:val="0"/>
          <w:sz w:val="22"/>
          <w:szCs w:val="22"/>
          <w:lang w:eastAsia="en-GB"/>
          <w14:ligatures w14:val="none"/>
        </w:rPr>
        <w:t>objection</w:t>
      </w:r>
    </w:p>
    <w:p w14:paraId="62081A21" w14:textId="77777777" w:rsidR="00DA3A36" w:rsidRDefault="00DA3A36" w:rsidP="0016162B">
      <w:pPr>
        <w:spacing w:after="0" w:line="276" w:lineRule="auto"/>
        <w:jc w:val="both"/>
        <w:rPr>
          <w:rFonts w:ascii="Arial" w:eastAsia="Times New Roman" w:hAnsi="Arial" w:cs="Arial"/>
          <w:kern w:val="0"/>
          <w:sz w:val="22"/>
          <w:szCs w:val="22"/>
          <w:lang w:eastAsia="en-GB"/>
          <w14:ligatures w14:val="none"/>
        </w:rPr>
      </w:pPr>
    </w:p>
    <w:p w14:paraId="0B0BA045" w14:textId="5827F4E9" w:rsidR="00DA3A36" w:rsidRPr="00F83EAB" w:rsidRDefault="00F83EAB" w:rsidP="0016162B">
      <w:pPr>
        <w:spacing w:after="0" w:line="276" w:lineRule="auto"/>
        <w:jc w:val="both"/>
        <w:rPr>
          <w:rFonts w:ascii="Arial" w:eastAsia="Times New Roman" w:hAnsi="Arial" w:cs="Arial"/>
          <w:kern w:val="0"/>
          <w:sz w:val="22"/>
          <w:szCs w:val="22"/>
          <w:lang w:eastAsia="en-GB"/>
          <w14:ligatures w14:val="none"/>
        </w:rPr>
      </w:pPr>
      <w:r w:rsidRPr="00F83EAB">
        <w:rPr>
          <w:rFonts w:ascii="Arial" w:eastAsia="Times New Roman" w:hAnsi="Arial" w:cs="Arial"/>
          <w:kern w:val="0"/>
          <w:sz w:val="22"/>
          <w:szCs w:val="22"/>
          <w:u w:val="single"/>
          <w:lang w:eastAsia="en-GB"/>
          <w14:ligatures w14:val="none"/>
        </w:rPr>
        <w:t>Highways Department:</w:t>
      </w:r>
      <w:r w:rsidRPr="00BD0640">
        <w:rPr>
          <w:rFonts w:ascii="Arial" w:eastAsia="Times New Roman" w:hAnsi="Arial" w:cs="Arial"/>
          <w:kern w:val="0"/>
          <w:sz w:val="22"/>
          <w:szCs w:val="22"/>
          <w:lang w:eastAsia="en-GB"/>
          <w14:ligatures w14:val="none"/>
        </w:rPr>
        <w:t xml:space="preserve"> </w:t>
      </w:r>
      <w:r w:rsidR="00BD0640">
        <w:rPr>
          <w:rFonts w:ascii="Arial" w:eastAsia="Times New Roman" w:hAnsi="Arial" w:cs="Arial"/>
          <w:kern w:val="0"/>
          <w:sz w:val="22"/>
          <w:szCs w:val="22"/>
          <w:lang w:eastAsia="en-GB"/>
          <w14:ligatures w14:val="none"/>
        </w:rPr>
        <w:t>No objection</w:t>
      </w:r>
    </w:p>
    <w:bookmarkEnd w:id="1"/>
    <w:p w14:paraId="6F1BCB68"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85741B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681210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2DE27E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AD682A"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A81E348"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41F156F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A1E804"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4EDAA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2867B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D204A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C4A0E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45D4D6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703F83"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2ACF1E7" w14:textId="77777777" w:rsidR="00CB564C" w:rsidRPr="009C1702" w:rsidRDefault="00CB564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F417A86"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E066323"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1616045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22F34B7" w14:textId="77777777" w:rsidR="008C51CC" w:rsidRPr="008C51CC" w:rsidRDefault="008C51CC" w:rsidP="008C51CC">
      <w:pPr>
        <w:spacing w:after="0" w:line="276" w:lineRule="auto"/>
        <w:jc w:val="both"/>
        <w:rPr>
          <w:rFonts w:ascii="Arial" w:eastAsia="Times New Roman" w:hAnsi="Arial" w:cs="Arial"/>
          <w:kern w:val="0"/>
          <w:sz w:val="22"/>
          <w:szCs w:val="22"/>
          <w:lang w:eastAsia="en-GB"/>
          <w14:ligatures w14:val="none"/>
        </w:rPr>
      </w:pPr>
      <w:r w:rsidRPr="008C51CC">
        <w:rPr>
          <w:rFonts w:ascii="Arial" w:eastAsia="Times New Roman" w:hAnsi="Arial" w:cs="Arial"/>
          <w:kern w:val="0"/>
          <w:sz w:val="22"/>
          <w:szCs w:val="22"/>
          <w:lang w:eastAsia="en-GB"/>
          <w14:ligatures w14:val="none"/>
        </w:rPr>
        <w:t>Core Policy 57 of the Wiltshire Core Strategy requires development to achieve a high standard of design which responds positively to local character and distinctiveness. Policies DP3 and DP4 of the NPPF similarly seek development that is sympathetic to local character whilst maintaining an appropriate scale, form, appearance and use of materials.</w:t>
      </w:r>
    </w:p>
    <w:p w14:paraId="08061D96" w14:textId="77777777" w:rsidR="008C51CC" w:rsidRPr="008C51CC" w:rsidRDefault="008C51CC" w:rsidP="008C51CC">
      <w:pPr>
        <w:spacing w:after="0" w:line="276" w:lineRule="auto"/>
        <w:jc w:val="both"/>
        <w:rPr>
          <w:rFonts w:ascii="Arial" w:eastAsia="Times New Roman" w:hAnsi="Arial" w:cs="Arial"/>
          <w:kern w:val="0"/>
          <w:sz w:val="22"/>
          <w:szCs w:val="22"/>
          <w:lang w:eastAsia="en-GB"/>
          <w14:ligatures w14:val="none"/>
        </w:rPr>
      </w:pPr>
    </w:p>
    <w:p w14:paraId="2255FFD9" w14:textId="419E1C71" w:rsidR="008C51CC" w:rsidRDefault="005B7F54" w:rsidP="008C51CC">
      <w:pPr>
        <w:spacing w:after="0" w:line="276" w:lineRule="auto"/>
        <w:jc w:val="both"/>
        <w:rPr>
          <w:rFonts w:ascii="Arial" w:eastAsia="Times New Roman" w:hAnsi="Arial" w:cs="Arial"/>
          <w:kern w:val="0"/>
          <w:sz w:val="22"/>
          <w:szCs w:val="22"/>
          <w:lang w:eastAsia="en-GB"/>
          <w14:ligatures w14:val="none"/>
        </w:rPr>
      </w:pPr>
      <w:r w:rsidRPr="005B7F54">
        <w:rPr>
          <w:rFonts w:ascii="Arial" w:eastAsia="Times New Roman" w:hAnsi="Arial" w:cs="Arial"/>
          <w:kern w:val="0"/>
          <w:sz w:val="22"/>
          <w:szCs w:val="22"/>
          <w:lang w:eastAsia="en-GB"/>
          <w14:ligatures w14:val="none"/>
        </w:rPr>
        <w:t xml:space="preserve">The application proposes the replacement of the existing attached garage with a single-storey side extension together with associated alterations. </w:t>
      </w:r>
      <w:r w:rsidR="006612F9" w:rsidRPr="006612F9">
        <w:rPr>
          <w:rFonts w:ascii="Arial" w:eastAsia="Times New Roman" w:hAnsi="Arial" w:cs="Arial"/>
          <w:kern w:val="0"/>
          <w:sz w:val="22"/>
          <w:szCs w:val="22"/>
          <w:lang w:eastAsia="en-GB"/>
          <w14:ligatures w14:val="none"/>
        </w:rPr>
        <w:t>Whilst extending the north-western side elevation, the proposal would remain subordinate to the host dwelling by virtue of its single-storey form and limited scale. The extension would remain ancillary to the principal dwelling and would not appear disproportionate in relation to the size and form of the existing house.</w:t>
      </w:r>
    </w:p>
    <w:p w14:paraId="0DC01F44" w14:textId="77777777" w:rsidR="006612F9" w:rsidRDefault="006612F9" w:rsidP="008C51CC">
      <w:pPr>
        <w:spacing w:after="0" w:line="276" w:lineRule="auto"/>
        <w:jc w:val="both"/>
        <w:rPr>
          <w:rFonts w:ascii="Arial" w:eastAsia="Times New Roman" w:hAnsi="Arial" w:cs="Arial"/>
          <w:kern w:val="0"/>
          <w:sz w:val="22"/>
          <w:szCs w:val="22"/>
          <w:lang w:eastAsia="en-GB"/>
          <w14:ligatures w14:val="none"/>
        </w:rPr>
      </w:pPr>
    </w:p>
    <w:p w14:paraId="5844DCCE" w14:textId="468C1ABE" w:rsidR="008C51CC" w:rsidRDefault="000D5131" w:rsidP="008C51CC">
      <w:pPr>
        <w:spacing w:after="0" w:line="276" w:lineRule="auto"/>
        <w:jc w:val="both"/>
        <w:rPr>
          <w:rFonts w:ascii="Arial" w:eastAsia="Times New Roman" w:hAnsi="Arial" w:cs="Arial"/>
          <w:kern w:val="0"/>
          <w:sz w:val="22"/>
          <w:szCs w:val="22"/>
          <w:lang w:eastAsia="en-GB"/>
          <w14:ligatures w14:val="none"/>
        </w:rPr>
      </w:pPr>
      <w:r w:rsidRPr="008C51CC">
        <w:rPr>
          <w:rFonts w:ascii="Arial" w:eastAsia="Times New Roman" w:hAnsi="Arial" w:cs="Arial"/>
          <w:kern w:val="0"/>
          <w:sz w:val="22"/>
          <w:szCs w:val="22"/>
          <w:lang w:eastAsia="en-GB"/>
          <w14:ligatures w14:val="none"/>
        </w:rPr>
        <w:t>The proposed materials</w:t>
      </w:r>
      <w:r>
        <w:rPr>
          <w:rFonts w:ascii="Arial" w:eastAsia="Times New Roman" w:hAnsi="Arial" w:cs="Arial"/>
          <w:kern w:val="0"/>
          <w:sz w:val="22"/>
          <w:szCs w:val="22"/>
          <w:lang w:eastAsia="en-GB"/>
          <w14:ligatures w14:val="none"/>
        </w:rPr>
        <w:t xml:space="preserve"> of</w:t>
      </w:r>
      <w:r w:rsidRPr="008C51CC">
        <w:rPr>
          <w:rFonts w:ascii="Arial" w:eastAsia="Times New Roman" w:hAnsi="Arial" w:cs="Arial"/>
          <w:kern w:val="0"/>
          <w:sz w:val="22"/>
          <w:szCs w:val="22"/>
          <w:lang w:eastAsia="en-GB"/>
          <w14:ligatures w14:val="none"/>
        </w:rPr>
        <w:t xml:space="preserve"> interlocking roof tiles</w:t>
      </w:r>
      <w:r>
        <w:rPr>
          <w:rFonts w:ascii="Arial" w:eastAsia="Times New Roman" w:hAnsi="Arial" w:cs="Arial"/>
          <w:kern w:val="0"/>
          <w:sz w:val="22"/>
          <w:szCs w:val="22"/>
          <w:lang w:eastAsia="en-GB"/>
          <w14:ligatures w14:val="none"/>
        </w:rPr>
        <w:t xml:space="preserve"> and</w:t>
      </w:r>
      <w:r w:rsidRPr="008C51CC">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uPVC doors and windows</w:t>
      </w:r>
      <w:r w:rsidR="00741C53">
        <w:rPr>
          <w:rFonts w:ascii="Arial" w:eastAsia="Times New Roman" w:hAnsi="Arial" w:cs="Arial"/>
          <w:kern w:val="0"/>
          <w:sz w:val="22"/>
          <w:szCs w:val="22"/>
          <w:lang w:eastAsia="en-GB"/>
          <w14:ligatures w14:val="none"/>
        </w:rPr>
        <w:t xml:space="preserve"> </w:t>
      </w:r>
      <w:r w:rsidR="008C51CC" w:rsidRPr="008C51CC">
        <w:rPr>
          <w:rFonts w:ascii="Arial" w:eastAsia="Times New Roman" w:hAnsi="Arial" w:cs="Arial"/>
          <w:kern w:val="0"/>
          <w:sz w:val="22"/>
          <w:szCs w:val="22"/>
          <w:lang w:eastAsia="en-GB"/>
          <w14:ligatures w14:val="none"/>
        </w:rPr>
        <w:t>would broadly reflect those present on the existing dwelling. The extension would therefore integrate satisfactorily with the host property and would not appear as an incongruous addition. Furthermore, the removal of the existing rear conservatory would result in a slight overall reduction in built footprint across the site.</w:t>
      </w:r>
    </w:p>
    <w:p w14:paraId="1B151A5A" w14:textId="77777777" w:rsidR="008C5FD2" w:rsidRDefault="008C5FD2" w:rsidP="008C51CC">
      <w:pPr>
        <w:spacing w:after="0" w:line="276" w:lineRule="auto"/>
        <w:jc w:val="both"/>
        <w:rPr>
          <w:rFonts w:ascii="Arial" w:eastAsia="Times New Roman" w:hAnsi="Arial" w:cs="Arial"/>
          <w:kern w:val="0"/>
          <w:sz w:val="22"/>
          <w:szCs w:val="22"/>
          <w:lang w:eastAsia="en-GB"/>
          <w14:ligatures w14:val="none"/>
        </w:rPr>
      </w:pPr>
    </w:p>
    <w:p w14:paraId="6C8FEB6E" w14:textId="6D47C133" w:rsidR="00A8678E" w:rsidRPr="00A8678E" w:rsidRDefault="00A8678E" w:rsidP="00A8678E">
      <w:pPr>
        <w:spacing w:after="0" w:line="276" w:lineRule="auto"/>
        <w:jc w:val="both"/>
        <w:rPr>
          <w:rFonts w:ascii="Arial" w:eastAsia="Times New Roman" w:hAnsi="Arial" w:cs="Arial"/>
          <w:kern w:val="0"/>
          <w:sz w:val="22"/>
          <w:szCs w:val="22"/>
          <w:lang w:eastAsia="en-GB"/>
          <w14:ligatures w14:val="none"/>
        </w:rPr>
      </w:pPr>
      <w:r w:rsidRPr="00A8678E">
        <w:rPr>
          <w:rFonts w:ascii="Arial" w:eastAsia="Times New Roman" w:hAnsi="Arial" w:cs="Arial"/>
          <w:kern w:val="0"/>
          <w:sz w:val="22"/>
          <w:szCs w:val="22"/>
          <w:lang w:eastAsia="en-GB"/>
          <w14:ligatures w14:val="none"/>
        </w:rPr>
        <w:t>The applicant has confirmed that the extension would be finished in Limestone White render, whilst the existing partial cladding within the street-facing gable</w:t>
      </w:r>
      <w:r w:rsidR="005B5D26">
        <w:rPr>
          <w:rFonts w:ascii="Arial" w:eastAsia="Times New Roman" w:hAnsi="Arial" w:cs="Arial"/>
          <w:kern w:val="0"/>
          <w:sz w:val="22"/>
          <w:szCs w:val="22"/>
          <w:lang w:eastAsia="en-GB"/>
          <w14:ligatures w14:val="none"/>
        </w:rPr>
        <w:t xml:space="preserve"> of the existing house</w:t>
      </w:r>
      <w:r w:rsidRPr="00A8678E">
        <w:rPr>
          <w:rFonts w:ascii="Arial" w:eastAsia="Times New Roman" w:hAnsi="Arial" w:cs="Arial"/>
          <w:kern w:val="0"/>
          <w:sz w:val="22"/>
          <w:szCs w:val="22"/>
          <w:lang w:eastAsia="en-GB"/>
          <w14:ligatures w14:val="none"/>
        </w:rPr>
        <w:t xml:space="preserve"> would be replaced with black weatherboard cladding extending across the full gable face. Whilst introducing a more contemporary appearance, the proposed materials would remain limited in extent and are considered to provide an acceptable level of visual contrast. In the context of the host dwelling and surrounding development, the proposed finishes would not result in unacceptable harm to the character or appearance of the property or the wider street scene.</w:t>
      </w:r>
    </w:p>
    <w:p w14:paraId="64D7B4C8" w14:textId="77777777" w:rsidR="008C51CC" w:rsidRPr="008C51CC" w:rsidRDefault="008C51CC" w:rsidP="008C51CC">
      <w:pPr>
        <w:spacing w:after="0" w:line="276" w:lineRule="auto"/>
        <w:jc w:val="both"/>
        <w:rPr>
          <w:rFonts w:ascii="Arial" w:eastAsia="Times New Roman" w:hAnsi="Arial" w:cs="Arial"/>
          <w:kern w:val="0"/>
          <w:sz w:val="22"/>
          <w:szCs w:val="22"/>
          <w:lang w:eastAsia="en-GB"/>
          <w14:ligatures w14:val="none"/>
        </w:rPr>
      </w:pPr>
    </w:p>
    <w:p w14:paraId="428EDF12" w14:textId="77777777" w:rsidR="00AE47B8" w:rsidRPr="00AE47B8" w:rsidRDefault="00AE47B8" w:rsidP="00AE47B8">
      <w:pPr>
        <w:spacing w:after="0" w:line="276" w:lineRule="auto"/>
        <w:jc w:val="both"/>
        <w:rPr>
          <w:rFonts w:ascii="Arial" w:eastAsia="Times New Roman" w:hAnsi="Arial" w:cs="Arial"/>
          <w:kern w:val="0"/>
          <w:sz w:val="22"/>
          <w:szCs w:val="22"/>
          <w:lang w:eastAsia="en-GB"/>
          <w14:ligatures w14:val="none"/>
        </w:rPr>
      </w:pPr>
      <w:r w:rsidRPr="00AE47B8">
        <w:rPr>
          <w:rFonts w:ascii="Arial" w:eastAsia="Times New Roman" w:hAnsi="Arial" w:cs="Arial"/>
          <w:kern w:val="0"/>
          <w:sz w:val="22"/>
          <w:szCs w:val="22"/>
          <w:lang w:eastAsia="en-GB"/>
          <w14:ligatures w14:val="none"/>
        </w:rPr>
        <w:t xml:space="preserve">The proposed extension would be more visually prominent within the street scene than the existing garage, particularly </w:t>
      </w:r>
      <w:proofErr w:type="gramStart"/>
      <w:r w:rsidRPr="00AE47B8">
        <w:rPr>
          <w:rFonts w:ascii="Arial" w:eastAsia="Times New Roman" w:hAnsi="Arial" w:cs="Arial"/>
          <w:kern w:val="0"/>
          <w:sz w:val="22"/>
          <w:szCs w:val="22"/>
          <w:lang w:eastAsia="en-GB"/>
          <w14:ligatures w14:val="none"/>
        </w:rPr>
        <w:t>as a result of</w:t>
      </w:r>
      <w:proofErr w:type="gramEnd"/>
      <w:r w:rsidRPr="00AE47B8">
        <w:rPr>
          <w:rFonts w:ascii="Arial" w:eastAsia="Times New Roman" w:hAnsi="Arial" w:cs="Arial"/>
          <w:kern w:val="0"/>
          <w:sz w:val="22"/>
          <w:szCs w:val="22"/>
          <w:lang w:eastAsia="en-GB"/>
          <w14:ligatures w14:val="none"/>
        </w:rPr>
        <w:t xml:space="preserve"> its front-facing gable, revised proportions and contrasting black weatherboard cladding. However, its single-storey form would remain subordinate to the main dwelling, and the extension would provide a more coherent and considered relationship with the host property than the existing garage and connecting structure. Although more noticeable than the existing arrangement, the proposal would represent an overall visual improvement and would not appear unduly prominent or harmful within the wider street scene.</w:t>
      </w:r>
    </w:p>
    <w:p w14:paraId="470897AA" w14:textId="77777777" w:rsidR="006F27E2" w:rsidRDefault="006F27E2" w:rsidP="00A050F1">
      <w:pPr>
        <w:spacing w:after="0" w:line="276" w:lineRule="auto"/>
        <w:jc w:val="both"/>
        <w:rPr>
          <w:rFonts w:ascii="Arial" w:eastAsia="Times New Roman" w:hAnsi="Arial" w:cs="Arial"/>
          <w:kern w:val="0"/>
          <w:sz w:val="22"/>
          <w:szCs w:val="22"/>
          <w:lang w:eastAsia="en-GB"/>
          <w14:ligatures w14:val="none"/>
        </w:rPr>
      </w:pPr>
    </w:p>
    <w:p w14:paraId="6BF513C6" w14:textId="3A128BCB" w:rsidR="006F27E2" w:rsidRDefault="006F27E2" w:rsidP="00A050F1">
      <w:pPr>
        <w:spacing w:after="0" w:line="276" w:lineRule="auto"/>
        <w:jc w:val="both"/>
        <w:rPr>
          <w:rFonts w:ascii="Arial" w:eastAsia="Times New Roman" w:hAnsi="Arial" w:cs="Arial"/>
          <w:kern w:val="0"/>
          <w:sz w:val="22"/>
          <w:szCs w:val="22"/>
          <w:lang w:eastAsia="en-GB"/>
          <w14:ligatures w14:val="none"/>
        </w:rPr>
      </w:pPr>
      <w:r w:rsidRPr="006F27E2">
        <w:rPr>
          <w:rFonts w:ascii="Arial" w:eastAsia="Times New Roman" w:hAnsi="Arial" w:cs="Arial"/>
          <w:kern w:val="0"/>
          <w:sz w:val="22"/>
          <w:szCs w:val="22"/>
          <w:lang w:eastAsia="en-GB"/>
          <w14:ligatures w14:val="none"/>
        </w:rPr>
        <w:t>Having regard to the above, the proposal complies with the design principles set out in Core Policy 57 of the Wiltshire Core Strategy, Appendix D of the Wiltshire Design Guide and the NPPF.</w:t>
      </w:r>
    </w:p>
    <w:p w14:paraId="226D00B0" w14:textId="77777777" w:rsidR="006D5228" w:rsidRDefault="006D5228" w:rsidP="00A050F1">
      <w:pPr>
        <w:spacing w:after="0" w:line="276" w:lineRule="auto"/>
        <w:jc w:val="both"/>
        <w:rPr>
          <w:rFonts w:ascii="Arial" w:eastAsia="Times New Roman" w:hAnsi="Arial" w:cs="Arial"/>
          <w:kern w:val="0"/>
          <w:sz w:val="22"/>
          <w:szCs w:val="22"/>
          <w:lang w:eastAsia="en-GB"/>
          <w14:ligatures w14:val="none"/>
        </w:rPr>
      </w:pPr>
    </w:p>
    <w:p w14:paraId="461A36A7" w14:textId="77777777" w:rsidR="006D5228" w:rsidRDefault="006D5228" w:rsidP="00A050F1">
      <w:pPr>
        <w:spacing w:after="0" w:line="276" w:lineRule="auto"/>
        <w:jc w:val="both"/>
        <w:rPr>
          <w:rFonts w:ascii="Arial" w:hAnsi="Arial" w:cs="Arial"/>
          <w:b/>
          <w:bCs/>
          <w:i/>
          <w:iCs/>
          <w:color w:val="FF0000"/>
          <w:sz w:val="22"/>
          <w:szCs w:val="22"/>
        </w:rPr>
      </w:pPr>
    </w:p>
    <w:p w14:paraId="3C9816A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1AA8C9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6DF667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36B1AF4" w14:textId="77777777" w:rsidR="00393433" w:rsidRDefault="00393433" w:rsidP="00A050F1">
      <w:pPr>
        <w:spacing w:after="0" w:line="276" w:lineRule="auto"/>
        <w:jc w:val="both"/>
        <w:rPr>
          <w:rFonts w:ascii="Arial" w:hAnsi="Arial" w:cs="Arial"/>
          <w:color w:val="000000" w:themeColor="text1"/>
          <w:sz w:val="22"/>
          <w:szCs w:val="22"/>
        </w:rPr>
      </w:pPr>
    </w:p>
    <w:p w14:paraId="6EF5EB2A"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B4B9315" w14:textId="77777777" w:rsidR="00400FB2" w:rsidRDefault="00400FB2" w:rsidP="00A050F1">
      <w:pPr>
        <w:spacing w:after="0" w:line="276" w:lineRule="auto"/>
        <w:jc w:val="both"/>
        <w:rPr>
          <w:rFonts w:ascii="Arial" w:hAnsi="Arial" w:cs="Arial"/>
          <w:color w:val="000000" w:themeColor="text1"/>
          <w:sz w:val="22"/>
          <w:szCs w:val="22"/>
        </w:rPr>
      </w:pPr>
    </w:p>
    <w:p w14:paraId="4D566AF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7525396" w14:textId="77777777" w:rsidR="00DB13C3" w:rsidRDefault="00DB13C3" w:rsidP="00DB13C3">
      <w:pPr>
        <w:spacing w:after="0" w:line="276" w:lineRule="auto"/>
        <w:jc w:val="both"/>
        <w:rPr>
          <w:rFonts w:ascii="Arial" w:hAnsi="Arial" w:cs="Arial"/>
          <w:i/>
          <w:iCs/>
          <w:color w:val="000000" w:themeColor="text1"/>
          <w:sz w:val="22"/>
          <w:szCs w:val="22"/>
        </w:rPr>
      </w:pPr>
    </w:p>
    <w:p w14:paraId="166C04CA" w14:textId="77777777" w:rsidR="00AE47B8" w:rsidRDefault="00AE47B8" w:rsidP="00AE47B8">
      <w:pPr>
        <w:spacing w:after="0" w:line="276" w:lineRule="auto"/>
        <w:jc w:val="both"/>
        <w:rPr>
          <w:rFonts w:ascii="Arial" w:hAnsi="Arial" w:cs="Arial"/>
          <w:color w:val="000000" w:themeColor="text1"/>
          <w:sz w:val="22"/>
          <w:szCs w:val="22"/>
        </w:rPr>
      </w:pPr>
      <w:r w:rsidRPr="00AE47B8">
        <w:rPr>
          <w:rFonts w:ascii="Arial" w:hAnsi="Arial" w:cs="Arial"/>
          <w:color w:val="000000" w:themeColor="text1"/>
          <w:sz w:val="22"/>
          <w:szCs w:val="22"/>
        </w:rPr>
        <w:t>The proposed extension would be single-storey and modest in scale. Although the neighbouring dwelling has a relatively close relationship with the application site, the extension would replace the existing garage and connecting structure, which currently sit immediately adjacent to the shared boundary. The proposed gable would be set approximately 0.8 metres further from the boundary than the existing built form, thereby providing some improvement in spatial terms.</w:t>
      </w:r>
    </w:p>
    <w:p w14:paraId="0AC0947D" w14:textId="77777777" w:rsidR="00AE47B8" w:rsidRPr="00AE47B8" w:rsidRDefault="00AE47B8" w:rsidP="00AE47B8">
      <w:pPr>
        <w:spacing w:after="0" w:line="276" w:lineRule="auto"/>
        <w:jc w:val="both"/>
        <w:rPr>
          <w:rFonts w:ascii="Arial" w:hAnsi="Arial" w:cs="Arial"/>
          <w:color w:val="000000" w:themeColor="text1"/>
          <w:sz w:val="22"/>
          <w:szCs w:val="22"/>
        </w:rPr>
      </w:pPr>
    </w:p>
    <w:p w14:paraId="49006511" w14:textId="77777777" w:rsidR="00AE47B8" w:rsidRPr="00AE47B8" w:rsidRDefault="00AE47B8" w:rsidP="00AE47B8">
      <w:pPr>
        <w:spacing w:after="0" w:line="276" w:lineRule="auto"/>
        <w:jc w:val="both"/>
        <w:rPr>
          <w:rFonts w:ascii="Arial" w:hAnsi="Arial" w:cs="Arial"/>
          <w:color w:val="000000" w:themeColor="text1"/>
          <w:sz w:val="22"/>
          <w:szCs w:val="22"/>
        </w:rPr>
      </w:pPr>
      <w:r w:rsidRPr="00AE47B8">
        <w:rPr>
          <w:rFonts w:ascii="Arial" w:hAnsi="Arial" w:cs="Arial"/>
          <w:color w:val="000000" w:themeColor="text1"/>
          <w:sz w:val="22"/>
          <w:szCs w:val="22"/>
        </w:rPr>
        <w:t>The proposed gable would remain noticeable from the neighbouring property and may result in a limited degree of overbearing impact or overshadowing. However, having regard to its single-storey scale, its position relative to the existing built form and the absence of windows within the side-facing gable, these effects would not be sufficiently harmful to result in an unacceptable loss of residential amenity. There would be no material loss of privacy or overlooking.</w:t>
      </w:r>
    </w:p>
    <w:p w14:paraId="5563BBF2" w14:textId="10BFBCCF" w:rsidR="00AE47B8" w:rsidRPr="008B77EA" w:rsidRDefault="00AE47B8" w:rsidP="00DB13C3">
      <w:pPr>
        <w:spacing w:after="0" w:line="276" w:lineRule="auto"/>
        <w:jc w:val="both"/>
        <w:rPr>
          <w:rFonts w:ascii="Arial" w:hAnsi="Arial" w:cs="Arial"/>
          <w:color w:val="000000" w:themeColor="text1"/>
          <w:sz w:val="22"/>
          <w:szCs w:val="22"/>
        </w:rPr>
      </w:pPr>
    </w:p>
    <w:p w14:paraId="32EA4C5C" w14:textId="6DDAA799"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w:t>
      </w:r>
      <w:r w:rsidR="00AE47B8">
        <w:rPr>
          <w:rFonts w:ascii="Arial" w:hAnsi="Arial" w:cs="Arial"/>
          <w:color w:val="000000" w:themeColor="text1"/>
          <w:sz w:val="22"/>
          <w:szCs w:val="22"/>
        </w:rPr>
        <w:t xml:space="preserve"> would</w:t>
      </w:r>
      <w:r w:rsidRPr="00A050F1">
        <w:rPr>
          <w:rFonts w:ascii="Arial" w:hAnsi="Arial" w:cs="Arial"/>
          <w:color w:val="000000" w:themeColor="text1"/>
          <w:sz w:val="22"/>
          <w:szCs w:val="22"/>
        </w:rPr>
        <w:t xml:space="preserve"> therefore </w:t>
      </w:r>
      <w:r w:rsidR="00AE47B8">
        <w:rPr>
          <w:rFonts w:ascii="Arial" w:hAnsi="Arial" w:cs="Arial"/>
          <w:color w:val="000000" w:themeColor="text1"/>
          <w:sz w:val="22"/>
          <w:szCs w:val="22"/>
        </w:rPr>
        <w:t xml:space="preserve">safeguard neighbouring residential amenity and </w:t>
      </w:r>
      <w:r w:rsidRPr="00A050F1">
        <w:rPr>
          <w:rFonts w:ascii="Arial" w:hAnsi="Arial" w:cs="Arial"/>
          <w:color w:val="000000" w:themeColor="text1"/>
          <w:sz w:val="22"/>
          <w:szCs w:val="22"/>
        </w:rPr>
        <w:t>accord with Core Policy 57 point vii</w:t>
      </w:r>
      <w:r w:rsidR="00AE47B8">
        <w:rPr>
          <w:rFonts w:ascii="Arial" w:hAnsi="Arial" w:cs="Arial"/>
          <w:color w:val="000000" w:themeColor="text1"/>
          <w:sz w:val="22"/>
          <w:szCs w:val="22"/>
        </w:rPr>
        <w:t xml:space="preserve"> of the Wiltshire Core Strategy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w:t>
      </w:r>
      <w:r w:rsidR="00AE47B8">
        <w:rPr>
          <w:rFonts w:ascii="Arial" w:hAnsi="Arial" w:cs="Arial"/>
          <w:color w:val="000000" w:themeColor="text1"/>
          <w:sz w:val="22"/>
          <w:szCs w:val="22"/>
        </w:rPr>
        <w:t xml:space="preserve"> relevant provisions of the</w:t>
      </w:r>
      <w:r w:rsidR="00A919D6">
        <w:rPr>
          <w:rFonts w:ascii="Arial" w:hAnsi="Arial" w:cs="Arial"/>
          <w:color w:val="000000" w:themeColor="text1"/>
          <w:sz w:val="22"/>
          <w:szCs w:val="22"/>
        </w:rPr>
        <w:t xml:space="preserve"> NPPF</w:t>
      </w:r>
      <w:r w:rsidRPr="00A050F1">
        <w:rPr>
          <w:rFonts w:ascii="Arial" w:hAnsi="Arial" w:cs="Arial"/>
          <w:color w:val="000000" w:themeColor="text1"/>
          <w:sz w:val="22"/>
          <w:szCs w:val="22"/>
        </w:rPr>
        <w:t>.</w:t>
      </w:r>
    </w:p>
    <w:p w14:paraId="3791E65B" w14:textId="77777777" w:rsidR="008C51CC" w:rsidRDefault="008C51CC"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205D9C9" w14:textId="77777777" w:rsidR="00551DE2" w:rsidRDefault="00551DE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98691F" w14:textId="3541A28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8D3093E" w14:textId="77777777" w:rsidR="00936962" w:rsidRPr="006705B5" w:rsidRDefault="0093696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205864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8FD3E96"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56F6CE"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71470F7B"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8DCC785" w14:textId="50A1BBAD" w:rsidR="008532FE" w:rsidRPr="006705B5" w:rsidRDefault="00AA6A4D"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Wiltshire’s Highways Department have been consulted regarding the proposal and </w:t>
      </w:r>
      <w:r w:rsidR="00816E64">
        <w:rPr>
          <w:rFonts w:ascii="Arial" w:eastAsia="Times New Roman" w:hAnsi="Arial" w:cs="Arial"/>
          <w:color w:val="000000" w:themeColor="text1"/>
          <w:kern w:val="0"/>
          <w:sz w:val="22"/>
          <w:szCs w:val="22"/>
          <w:lang w:eastAsia="en-GB"/>
          <w14:ligatures w14:val="none"/>
        </w:rPr>
        <w:t xml:space="preserve">are satisfied that the requisite level of parking can be provided </w:t>
      </w:r>
      <w:r w:rsidR="002625DD">
        <w:rPr>
          <w:rFonts w:ascii="Arial" w:eastAsia="Times New Roman" w:hAnsi="Arial" w:cs="Arial"/>
          <w:color w:val="000000" w:themeColor="text1"/>
          <w:kern w:val="0"/>
          <w:sz w:val="22"/>
          <w:szCs w:val="22"/>
          <w:lang w:eastAsia="en-GB"/>
          <w14:ligatures w14:val="none"/>
        </w:rPr>
        <w:t>given the parking area to the front of the dwellinghouse.</w:t>
      </w:r>
    </w:p>
    <w:p w14:paraId="340E5E5A" w14:textId="77777777" w:rsidR="00E57D1F" w:rsidRPr="008532FE" w:rsidRDefault="00E57D1F" w:rsidP="006705B5">
      <w:pPr>
        <w:spacing w:after="0" w:line="276" w:lineRule="auto"/>
        <w:jc w:val="both"/>
        <w:rPr>
          <w:rFonts w:ascii="Arial" w:eastAsia="Times New Roman" w:hAnsi="Arial" w:cs="Arial"/>
          <w:kern w:val="0"/>
          <w:sz w:val="22"/>
          <w:szCs w:val="22"/>
          <w:lang w:eastAsia="en-GB"/>
          <w14:ligatures w14:val="none"/>
        </w:rPr>
      </w:pPr>
    </w:p>
    <w:p w14:paraId="2646814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9D97D4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7A8888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E65F23A" w14:textId="77777777" w:rsidR="00CB564C" w:rsidRPr="006705B5" w:rsidRDefault="00CB564C"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8B6F0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3019CC" w14:textId="67A9CD1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6B0FFE29" w14:textId="77777777" w:rsidR="002625DD" w:rsidRPr="006705B5" w:rsidRDefault="002625D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2F8B570" w14:textId="07BD3BF8" w:rsidR="003D190E" w:rsidRDefault="003D190E"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3D190E">
        <w:rPr>
          <w:rFonts w:ascii="Arial" w:eastAsia="Times New Roman" w:hAnsi="Arial" w:cs="Arial"/>
          <w:color w:val="000000" w:themeColor="text1"/>
          <w:kern w:val="0"/>
          <w:sz w:val="22"/>
          <w:szCs w:val="22"/>
          <w:lang w:eastAsia="en-GB"/>
          <w14:ligatures w14:val="none"/>
        </w:rPr>
        <w:t>From the point of view of the historic environment the main statutory tests are set out within the Planning (Listed Building and Conservation Areas) Act 1990.</w:t>
      </w:r>
    </w:p>
    <w:p w14:paraId="5AF03BD9"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4D34CDAC" w14:textId="2185785E"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 xml:space="preserve">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w:t>
      </w:r>
      <w:r w:rsidR="006373DA" w:rsidRPr="00067A8A">
        <w:rPr>
          <w:rFonts w:ascii="Arial" w:eastAsia="Times New Roman" w:hAnsi="Arial" w:cs="Arial"/>
          <w:color w:val="000000" w:themeColor="text1"/>
          <w:kern w:val="0"/>
          <w:sz w:val="22"/>
          <w:szCs w:val="22"/>
          <w:lang w:eastAsia="en-GB"/>
          <w14:ligatures w14:val="none"/>
        </w:rPr>
        <w:t>high-quality</w:t>
      </w:r>
      <w:r w:rsidRPr="00067A8A">
        <w:rPr>
          <w:rFonts w:ascii="Arial" w:eastAsia="Times New Roman" w:hAnsi="Arial" w:cs="Arial"/>
          <w:color w:val="000000" w:themeColor="text1"/>
          <w:kern w:val="0"/>
          <w:sz w:val="22"/>
          <w:szCs w:val="22"/>
          <w:lang w:eastAsia="en-GB"/>
          <w14:ligatures w14:val="none"/>
        </w:rPr>
        <w:t xml:space="preserve"> design.</w:t>
      </w:r>
    </w:p>
    <w:p w14:paraId="7DC31127"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F7604EC"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2DA7A009" w14:textId="77777777"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03771722" w14:textId="554F2AFF" w:rsidR="00FF21CE" w:rsidRDefault="00AA368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AA368F">
        <w:rPr>
          <w:rFonts w:ascii="Arial" w:eastAsia="Times New Roman" w:hAnsi="Arial" w:cs="Arial"/>
          <w:color w:val="000000" w:themeColor="text1"/>
          <w:kern w:val="0"/>
          <w:sz w:val="22"/>
          <w:szCs w:val="22"/>
          <w:lang w:eastAsia="en-GB"/>
          <w14:ligatures w14:val="none"/>
        </w:rPr>
        <w:t xml:space="preserve">The site is located approximately </w:t>
      </w:r>
      <w:r>
        <w:rPr>
          <w:rFonts w:ascii="Arial" w:eastAsia="Times New Roman" w:hAnsi="Arial" w:cs="Arial"/>
          <w:color w:val="000000" w:themeColor="text1"/>
          <w:kern w:val="0"/>
          <w:sz w:val="22"/>
          <w:szCs w:val="22"/>
          <w:lang w:eastAsia="en-GB"/>
          <w14:ligatures w14:val="none"/>
        </w:rPr>
        <w:t>6</w:t>
      </w:r>
      <w:r w:rsidRPr="00AA368F">
        <w:rPr>
          <w:rFonts w:ascii="Arial" w:eastAsia="Times New Roman" w:hAnsi="Arial" w:cs="Arial"/>
          <w:color w:val="000000" w:themeColor="text1"/>
          <w:kern w:val="0"/>
          <w:sz w:val="22"/>
          <w:szCs w:val="22"/>
          <w:lang w:eastAsia="en-GB"/>
          <w14:ligatures w14:val="none"/>
        </w:rPr>
        <w:t xml:space="preserve">0 metres outside the </w:t>
      </w:r>
      <w:r>
        <w:rPr>
          <w:rFonts w:ascii="Arial" w:eastAsia="Times New Roman" w:hAnsi="Arial" w:cs="Arial"/>
          <w:color w:val="000000" w:themeColor="text1"/>
          <w:kern w:val="0"/>
          <w:sz w:val="22"/>
          <w:szCs w:val="22"/>
          <w:lang w:eastAsia="en-GB"/>
          <w14:ligatures w14:val="none"/>
        </w:rPr>
        <w:t>Great Bedwyn</w:t>
      </w:r>
      <w:r w:rsidRPr="00AA368F">
        <w:rPr>
          <w:rFonts w:ascii="Arial" w:eastAsia="Times New Roman" w:hAnsi="Arial" w:cs="Arial"/>
          <w:color w:val="000000" w:themeColor="text1"/>
          <w:kern w:val="0"/>
          <w:sz w:val="22"/>
          <w:szCs w:val="22"/>
          <w:lang w:eastAsia="en-GB"/>
          <w14:ligatures w14:val="none"/>
        </w:rPr>
        <w:t xml:space="preserve"> Conservation Area</w:t>
      </w:r>
      <w:r w:rsidR="004D1FED">
        <w:rPr>
          <w:rFonts w:ascii="Arial" w:eastAsia="Times New Roman" w:hAnsi="Arial" w:cs="Arial"/>
          <w:color w:val="000000" w:themeColor="text1"/>
          <w:kern w:val="0"/>
          <w:sz w:val="22"/>
          <w:szCs w:val="22"/>
          <w:lang w:eastAsia="en-GB"/>
          <w14:ligatures w14:val="none"/>
        </w:rPr>
        <w:t>. It</w:t>
      </w:r>
      <w:r w:rsidR="00AE47B8">
        <w:rPr>
          <w:rFonts w:ascii="Arial" w:eastAsia="Times New Roman" w:hAnsi="Arial" w:cs="Arial"/>
          <w:color w:val="000000" w:themeColor="text1"/>
          <w:kern w:val="0"/>
          <w:sz w:val="22"/>
          <w:szCs w:val="22"/>
          <w:lang w:eastAsia="en-GB"/>
          <w14:ligatures w14:val="none"/>
        </w:rPr>
        <w:t xml:space="preserve"> lies </w:t>
      </w:r>
      <w:r w:rsidR="004D1FED">
        <w:rPr>
          <w:rFonts w:ascii="Arial" w:eastAsia="Times New Roman" w:hAnsi="Arial" w:cs="Arial"/>
          <w:color w:val="000000" w:themeColor="text1"/>
          <w:kern w:val="0"/>
          <w:sz w:val="22"/>
          <w:szCs w:val="22"/>
          <w:lang w:eastAsia="en-GB"/>
          <w14:ligatures w14:val="none"/>
        </w:rPr>
        <w:t xml:space="preserve">within </w:t>
      </w:r>
      <w:r w:rsidR="00112631">
        <w:rPr>
          <w:rFonts w:ascii="Arial" w:eastAsia="Times New Roman" w:hAnsi="Arial" w:cs="Arial"/>
          <w:color w:val="000000" w:themeColor="text1"/>
          <w:kern w:val="0"/>
          <w:sz w:val="22"/>
          <w:szCs w:val="22"/>
          <w:lang w:eastAsia="en-GB"/>
          <w14:ligatures w14:val="none"/>
        </w:rPr>
        <w:t>an established residential area</w:t>
      </w:r>
      <w:r w:rsidR="00AF2328">
        <w:rPr>
          <w:rFonts w:ascii="Arial" w:eastAsia="Times New Roman" w:hAnsi="Arial" w:cs="Arial"/>
          <w:color w:val="000000" w:themeColor="text1"/>
          <w:kern w:val="0"/>
          <w:sz w:val="22"/>
          <w:szCs w:val="22"/>
          <w:lang w:eastAsia="en-GB"/>
          <w14:ligatures w14:val="none"/>
        </w:rPr>
        <w:t xml:space="preserve"> and is visually separated from the designated area</w:t>
      </w:r>
      <w:r w:rsidR="00112631">
        <w:rPr>
          <w:rFonts w:ascii="Arial" w:eastAsia="Times New Roman" w:hAnsi="Arial" w:cs="Arial"/>
          <w:color w:val="000000" w:themeColor="text1"/>
          <w:kern w:val="0"/>
          <w:sz w:val="22"/>
          <w:szCs w:val="22"/>
          <w:lang w:eastAsia="en-GB"/>
          <w14:ligatures w14:val="none"/>
        </w:rPr>
        <w:t>,</w:t>
      </w:r>
      <w:r w:rsidR="00AF2328">
        <w:rPr>
          <w:rFonts w:ascii="Arial" w:eastAsia="Times New Roman" w:hAnsi="Arial" w:cs="Arial"/>
          <w:color w:val="000000" w:themeColor="text1"/>
          <w:kern w:val="0"/>
          <w:sz w:val="22"/>
          <w:szCs w:val="22"/>
          <w:lang w:eastAsia="en-GB"/>
          <w14:ligatures w14:val="none"/>
        </w:rPr>
        <w:t xml:space="preserve"> </w:t>
      </w:r>
      <w:r w:rsidR="00AF2328" w:rsidRPr="00AF2328">
        <w:rPr>
          <w:rFonts w:ascii="Arial" w:eastAsia="Times New Roman" w:hAnsi="Arial" w:cs="Arial"/>
          <w:color w:val="000000" w:themeColor="text1"/>
          <w:kern w:val="0"/>
          <w:sz w:val="22"/>
          <w:szCs w:val="22"/>
          <w:lang w:eastAsia="en-GB"/>
          <w14:ligatures w14:val="none"/>
        </w:rPr>
        <w:t>with no identified intervisibility from key views within or towards the conservation area.</w:t>
      </w:r>
      <w:r w:rsidR="00E57D4C">
        <w:rPr>
          <w:rFonts w:ascii="Arial" w:eastAsia="Times New Roman" w:hAnsi="Arial" w:cs="Arial"/>
          <w:color w:val="000000" w:themeColor="text1"/>
          <w:kern w:val="0"/>
          <w:sz w:val="22"/>
          <w:szCs w:val="22"/>
          <w:lang w:eastAsia="en-GB"/>
          <w14:ligatures w14:val="none"/>
        </w:rPr>
        <w:t xml:space="preserve"> </w:t>
      </w:r>
      <w:r w:rsidR="00BD4BAE" w:rsidRPr="00BD4BAE">
        <w:rPr>
          <w:rFonts w:ascii="Arial" w:eastAsia="Times New Roman" w:hAnsi="Arial" w:cs="Arial"/>
          <w:color w:val="000000" w:themeColor="text1"/>
          <w:kern w:val="0"/>
          <w:sz w:val="22"/>
          <w:szCs w:val="22"/>
          <w:lang w:eastAsia="en-GB"/>
          <w14:ligatures w14:val="none"/>
        </w:rPr>
        <w:t xml:space="preserve">The host dwelling is of relatively modern construction and does not </w:t>
      </w:r>
      <w:r w:rsidR="00AF2328">
        <w:rPr>
          <w:rFonts w:ascii="Arial" w:eastAsia="Times New Roman" w:hAnsi="Arial" w:cs="Arial"/>
          <w:color w:val="000000" w:themeColor="text1"/>
          <w:kern w:val="0"/>
          <w:sz w:val="22"/>
          <w:szCs w:val="22"/>
          <w:lang w:eastAsia="en-GB"/>
          <w14:ligatures w14:val="none"/>
        </w:rPr>
        <w:t>make</w:t>
      </w:r>
      <w:r w:rsidR="00BD4BAE" w:rsidRPr="00BD4BAE">
        <w:rPr>
          <w:rFonts w:ascii="Arial" w:eastAsia="Times New Roman" w:hAnsi="Arial" w:cs="Arial"/>
          <w:color w:val="000000" w:themeColor="text1"/>
          <w:kern w:val="0"/>
          <w:sz w:val="22"/>
          <w:szCs w:val="22"/>
          <w:lang w:eastAsia="en-GB"/>
          <w14:ligatures w14:val="none"/>
        </w:rPr>
        <w:t xml:space="preserve"> any </w:t>
      </w:r>
      <w:r w:rsidR="00AF2328">
        <w:rPr>
          <w:rFonts w:ascii="Arial" w:eastAsia="Times New Roman" w:hAnsi="Arial" w:cs="Arial"/>
          <w:color w:val="000000" w:themeColor="text1"/>
          <w:kern w:val="0"/>
          <w:sz w:val="22"/>
          <w:szCs w:val="22"/>
          <w:lang w:eastAsia="en-GB"/>
          <w14:ligatures w14:val="none"/>
        </w:rPr>
        <w:t>identified contribution to the significance or setting of the conservation area.</w:t>
      </w:r>
    </w:p>
    <w:p w14:paraId="20BE1DE6" w14:textId="77777777" w:rsidR="00BD4BAE" w:rsidRPr="006705B5" w:rsidRDefault="00BD4BA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6445DC" w14:textId="77777777" w:rsidR="00AF2328" w:rsidRP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r w:rsidRPr="00AF2328">
        <w:rPr>
          <w:rFonts w:ascii="Arial" w:eastAsia="Times New Roman" w:hAnsi="Arial" w:cs="Arial"/>
          <w:color w:val="000000" w:themeColor="text1"/>
          <w:kern w:val="0"/>
          <w:sz w:val="22"/>
          <w:szCs w:val="22"/>
          <w:lang w:eastAsia="en-GB"/>
          <w14:ligatures w14:val="none"/>
        </w:rPr>
        <w:t>Although the proposal would alter the appearance of the dwelling, its modest domestic scale and position within the established residential curtilage mean that it would not affect the setting or significance of the Great Bedwyn Conservation Area. The proposal would therefore have a neutral heritage impact and would cause no harm to the significance of the designated heritage asset.</w:t>
      </w:r>
    </w:p>
    <w:p w14:paraId="30BEC156" w14:textId="77777777" w:rsidR="008C32C7" w:rsidRPr="006705B5" w:rsidRDefault="008C32C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E8E9ED" w14:textId="77777777" w:rsidR="00AF2328" w:rsidRP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r w:rsidRPr="00AF2328">
        <w:rPr>
          <w:rFonts w:ascii="Arial" w:eastAsia="Times New Roman" w:hAnsi="Arial" w:cs="Arial"/>
          <w:color w:val="000000" w:themeColor="text1"/>
          <w:kern w:val="0"/>
          <w:sz w:val="22"/>
          <w:szCs w:val="22"/>
          <w:lang w:eastAsia="en-GB"/>
          <w14:ligatures w14:val="none"/>
        </w:rPr>
        <w:t>The development is therefore consistent with Core Policy 58 of the Wiltshire Core Strategy and the relevant heritage provisions of the NPPF.</w:t>
      </w:r>
    </w:p>
    <w:p w14:paraId="1BAFC5E0" w14:textId="77777777" w:rsidR="00BC19FB" w:rsidRDefault="00BC19F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7BA4485" w14:textId="77777777" w:rsidR="00BC19FB" w:rsidRDefault="00BC19F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7A190F6" w14:textId="4146E48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264BC6C" w14:textId="77777777" w:rsidR="00D43D72" w:rsidRPr="00F40F2D" w:rsidRDefault="00D43D7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42EAB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E33FF1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BCD2809"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1885BA9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AD22AB5" w14:textId="77777777" w:rsidR="00AF2328" w:rsidRPr="00AF2328" w:rsidRDefault="00AF2328" w:rsidP="00AF2328">
      <w:pPr>
        <w:spacing w:after="0" w:line="276" w:lineRule="auto"/>
        <w:jc w:val="both"/>
        <w:rPr>
          <w:rFonts w:ascii="Arial" w:eastAsia="Times New Roman" w:hAnsi="Arial" w:cs="Arial"/>
          <w:kern w:val="0"/>
          <w:sz w:val="22"/>
          <w:szCs w:val="22"/>
          <w:lang w:eastAsia="en-GB"/>
          <w14:ligatures w14:val="none"/>
        </w:rPr>
      </w:pPr>
      <w:r w:rsidRPr="00AF2328">
        <w:rPr>
          <w:rFonts w:ascii="Arial" w:eastAsia="Times New Roman" w:hAnsi="Arial" w:cs="Arial"/>
          <w:kern w:val="0"/>
          <w:sz w:val="22"/>
          <w:szCs w:val="22"/>
          <w:lang w:eastAsia="en-GB"/>
          <w14:ligatures w14:val="none"/>
        </w:rPr>
        <w:t>The proposal comprises a single-storey extension within the established residential curtilage of an existing dwellinghouse. It would not result in any encroachment into the open countryside and, having regard to its domestic scale and relationship with the existing dwelling, would not harm the special qualities of the North Wessex Downs National Landscape.</w:t>
      </w:r>
    </w:p>
    <w:p w14:paraId="05B9FE4A" w14:textId="77777777" w:rsidR="005145AF" w:rsidRPr="00F40F2D" w:rsidRDefault="005145A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6E4710C" w14:textId="6716255A" w:rsidR="00E10F53" w:rsidRDefault="00011EB4"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011EB4">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p>
    <w:p w14:paraId="45551476" w14:textId="77777777" w:rsidR="00011EB4" w:rsidRPr="00F40F2D" w:rsidRDefault="00011EB4"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4D1C97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29C66481" w14:textId="77777777" w:rsidR="00011EB4" w:rsidRPr="00F40F2D" w:rsidRDefault="00011EB4"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15B2BA0"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1A56746" w14:textId="5B38549B"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7886BC2" w14:textId="77777777" w:rsidR="00011EB4" w:rsidRPr="001B34A3" w:rsidRDefault="00011EB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77D394" w14:textId="77777777" w:rsid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284EAF">
        <w:rPr>
          <w:rFonts w:ascii="Arial" w:eastAsia="Times New Roman" w:hAnsi="Arial" w:cs="Arial"/>
          <w:color w:val="000000" w:themeColor="text1"/>
          <w:kern w:val="0"/>
          <w:sz w:val="22"/>
          <w:szCs w:val="22"/>
          <w:lang w:eastAsia="en-GB"/>
          <w14:ligatures w14:val="none"/>
        </w:rPr>
        <w:t>Core Policy 67 seeks to ensure development does not increase flood risk on-site or elsewhere and includes appropriate drainage where necessary. Policies F7 and F8 of the NPPF seek to ensure flood risk and drainage are appropriately managed.</w:t>
      </w:r>
    </w:p>
    <w:p w14:paraId="0CFCA4DE" w14:textId="77777777" w:rsidR="00284EAF" w:rsidRPr="001B34A3" w:rsidRDefault="00284EAF"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16D8B37" w14:textId="77777777" w:rsid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r w:rsidRPr="00AF2328">
        <w:rPr>
          <w:rFonts w:ascii="Arial" w:eastAsia="Times New Roman" w:hAnsi="Arial" w:cs="Arial"/>
          <w:color w:val="000000" w:themeColor="text1"/>
          <w:kern w:val="0"/>
          <w:sz w:val="22"/>
          <w:szCs w:val="22"/>
          <w:lang w:eastAsia="en-GB"/>
          <w14:ligatures w14:val="none"/>
        </w:rPr>
        <w:t>The application site lies within an area identified as being susceptible to groundwater flooding. However, the proposal would replace the existing garage and connecting structure and would also involve the removal of the rear conservatory. Consequently, the development would not materially increase the overall built footprint or extent of impermeable area when compared with the existing arrangement.</w:t>
      </w:r>
    </w:p>
    <w:p w14:paraId="3A4F326D" w14:textId="77777777" w:rsidR="00AF2328" w:rsidRP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p>
    <w:p w14:paraId="42829971" w14:textId="77777777" w:rsidR="00AF2328" w:rsidRP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r w:rsidRPr="00AF2328">
        <w:rPr>
          <w:rFonts w:ascii="Arial" w:eastAsia="Times New Roman" w:hAnsi="Arial" w:cs="Arial"/>
          <w:color w:val="000000" w:themeColor="text1"/>
          <w:kern w:val="0"/>
          <w:sz w:val="22"/>
          <w:szCs w:val="22"/>
          <w:lang w:eastAsia="en-GB"/>
          <w14:ligatures w14:val="none"/>
        </w:rPr>
        <w:t>Having regard to the relationship between the existing and proposed built form, together with the modest scale of the development and its location within the established residential curtilage, the proposal would not materially increase flood risk on the site or elsewhere. The development is therefore acceptable in drainage and flood-risk terms.</w:t>
      </w:r>
    </w:p>
    <w:p w14:paraId="7E9A88D7" w14:textId="34F0A5EF" w:rsidR="00AF2328" w:rsidRDefault="00AF2328"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C0A03C6" w14:textId="77777777" w:rsidR="00AF2328" w:rsidRPr="00AF2328" w:rsidRDefault="00AF2328" w:rsidP="00AF2328">
      <w:pPr>
        <w:spacing w:after="0" w:line="276" w:lineRule="auto"/>
        <w:jc w:val="both"/>
        <w:rPr>
          <w:rFonts w:ascii="Arial" w:eastAsia="Times New Roman" w:hAnsi="Arial" w:cs="Arial"/>
          <w:color w:val="000000" w:themeColor="text1"/>
          <w:kern w:val="0"/>
          <w:sz w:val="22"/>
          <w:szCs w:val="22"/>
          <w:lang w:eastAsia="en-GB"/>
          <w14:ligatures w14:val="none"/>
        </w:rPr>
      </w:pPr>
      <w:r w:rsidRPr="00AF2328">
        <w:rPr>
          <w:rFonts w:ascii="Arial" w:eastAsia="Times New Roman" w:hAnsi="Arial" w:cs="Arial"/>
          <w:color w:val="000000" w:themeColor="text1"/>
          <w:kern w:val="0"/>
          <w:sz w:val="22"/>
          <w:szCs w:val="22"/>
          <w:lang w:eastAsia="en-GB"/>
          <w14:ligatures w14:val="none"/>
        </w:rPr>
        <w:t>The proposal therefore accords with Core Policy 67 of the Wiltshire Core Strategy and the relevant flood-risk and drainage provisions of the NPPF.</w:t>
      </w:r>
    </w:p>
    <w:p w14:paraId="74390B32" w14:textId="77777777" w:rsidR="00CB564C" w:rsidRPr="00362D8F" w:rsidRDefault="00CB564C"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011DA46"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92241A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23E2AB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5FA8AF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7B24507"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22591F4"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665D0D70"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2FB5E524" w14:textId="77777777" w:rsidR="00CB3ABB" w:rsidRPr="00284CD5" w:rsidRDefault="00CB3ABB" w:rsidP="00284CD5">
      <w:pPr>
        <w:spacing w:after="0" w:line="276" w:lineRule="auto"/>
        <w:jc w:val="both"/>
        <w:rPr>
          <w:rFonts w:ascii="Arial" w:hAnsi="Arial" w:cs="Arial"/>
          <w:color w:val="000000" w:themeColor="text1"/>
          <w:sz w:val="22"/>
          <w:szCs w:val="22"/>
          <w:u w:val="single"/>
        </w:rPr>
      </w:pPr>
    </w:p>
    <w:p w14:paraId="1AD96CB0"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22B5E1A" w14:textId="77777777" w:rsidR="00284CD5" w:rsidRPr="004B2F79" w:rsidRDefault="00284CD5" w:rsidP="00284CD5">
      <w:pPr>
        <w:spacing w:after="0" w:line="276" w:lineRule="auto"/>
        <w:jc w:val="both"/>
        <w:rPr>
          <w:rFonts w:ascii="Arial" w:hAnsi="Arial" w:cs="Arial"/>
          <w:color w:val="000000" w:themeColor="text1"/>
          <w:sz w:val="22"/>
          <w:szCs w:val="22"/>
        </w:rPr>
      </w:pPr>
    </w:p>
    <w:p w14:paraId="74C5CDD4" w14:textId="77777777" w:rsidR="00284CD5"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D0C0B7C" w14:textId="77777777" w:rsidR="00C555BB" w:rsidRPr="004B2F79" w:rsidRDefault="00C555BB" w:rsidP="00284CD5">
      <w:pPr>
        <w:spacing w:after="0" w:line="276" w:lineRule="auto"/>
        <w:jc w:val="both"/>
        <w:rPr>
          <w:rFonts w:ascii="Arial" w:hAnsi="Arial" w:cs="Arial"/>
          <w:color w:val="000000" w:themeColor="text1"/>
          <w:sz w:val="22"/>
          <w:szCs w:val="22"/>
        </w:rPr>
      </w:pPr>
    </w:p>
    <w:p w14:paraId="63763BAB"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9DC007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80B8E6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4E8AB1B" w14:textId="77777777" w:rsidR="00487F05" w:rsidRPr="00487F05" w:rsidRDefault="00487F05" w:rsidP="00487F05">
      <w:pPr>
        <w:spacing w:after="0" w:line="276" w:lineRule="auto"/>
        <w:jc w:val="both"/>
        <w:rPr>
          <w:rFonts w:ascii="Arial" w:eastAsia="Times New Roman" w:hAnsi="Arial" w:cs="Arial"/>
          <w:color w:val="000000" w:themeColor="text1"/>
          <w:kern w:val="0"/>
          <w:sz w:val="22"/>
          <w:szCs w:val="22"/>
          <w:lang w:eastAsia="en-GB"/>
          <w14:ligatures w14:val="none"/>
        </w:rPr>
      </w:pPr>
      <w:r w:rsidRPr="00487F05">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flood risk or ecology.</w:t>
      </w:r>
    </w:p>
    <w:p w14:paraId="0CF8FC7C" w14:textId="77777777" w:rsidR="00487F05" w:rsidRPr="00487F05" w:rsidRDefault="00487F05" w:rsidP="00487F05">
      <w:pPr>
        <w:spacing w:after="0" w:line="276" w:lineRule="auto"/>
        <w:jc w:val="both"/>
        <w:rPr>
          <w:rFonts w:ascii="Arial" w:eastAsia="Times New Roman" w:hAnsi="Arial" w:cs="Arial"/>
          <w:color w:val="000000" w:themeColor="text1"/>
          <w:kern w:val="0"/>
          <w:sz w:val="22"/>
          <w:szCs w:val="22"/>
          <w:lang w:eastAsia="en-GB"/>
          <w14:ligatures w14:val="none"/>
        </w:rPr>
      </w:pPr>
    </w:p>
    <w:p w14:paraId="2964CC47" w14:textId="0D13AA84" w:rsidR="00FF264F" w:rsidRPr="003D05E9" w:rsidRDefault="00487F05" w:rsidP="00487F05">
      <w:pPr>
        <w:spacing w:after="0" w:line="276" w:lineRule="auto"/>
        <w:jc w:val="both"/>
        <w:rPr>
          <w:rFonts w:ascii="Arial" w:eastAsia="Times New Roman" w:hAnsi="Arial" w:cs="Arial"/>
          <w:color w:val="000000" w:themeColor="text1"/>
          <w:kern w:val="0"/>
          <w:sz w:val="22"/>
          <w:szCs w:val="22"/>
          <w:lang w:eastAsia="en-GB"/>
          <w14:ligatures w14:val="none"/>
        </w:rPr>
      </w:pPr>
      <w:r w:rsidRPr="00487F05">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the Wiltshire </w:t>
      </w:r>
      <w:r w:rsidR="00AF2328">
        <w:rPr>
          <w:rFonts w:ascii="Arial" w:eastAsia="Times New Roman" w:hAnsi="Arial" w:cs="Arial"/>
          <w:color w:val="000000" w:themeColor="text1"/>
          <w:kern w:val="0"/>
          <w:sz w:val="22"/>
          <w:szCs w:val="22"/>
          <w:lang w:eastAsia="en-GB"/>
          <w14:ligatures w14:val="none"/>
        </w:rPr>
        <w:t>Design Guide</w:t>
      </w:r>
      <w:r w:rsidRPr="00487F05">
        <w:rPr>
          <w:rFonts w:ascii="Arial" w:eastAsia="Times New Roman" w:hAnsi="Arial" w:cs="Arial"/>
          <w:color w:val="000000" w:themeColor="text1"/>
          <w:kern w:val="0"/>
          <w:sz w:val="22"/>
          <w:szCs w:val="22"/>
          <w:lang w:eastAsia="en-GB"/>
          <w14:ligatures w14:val="none"/>
        </w:rPr>
        <w:t>, and the National Planning Policy Framework. As such, the application is recommended for approval, subject to conditions.</w:t>
      </w:r>
    </w:p>
    <w:p w14:paraId="38184D7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75FB3A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D7BF212"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0E9"/>
    <w:rsid w:val="00011496"/>
    <w:rsid w:val="00011EB4"/>
    <w:rsid w:val="000143A5"/>
    <w:rsid w:val="000148E7"/>
    <w:rsid w:val="00015ADB"/>
    <w:rsid w:val="000221CB"/>
    <w:rsid w:val="00027D5C"/>
    <w:rsid w:val="00033847"/>
    <w:rsid w:val="00036B7E"/>
    <w:rsid w:val="00043B9C"/>
    <w:rsid w:val="000610AC"/>
    <w:rsid w:val="00063A02"/>
    <w:rsid w:val="00063D1C"/>
    <w:rsid w:val="0006701C"/>
    <w:rsid w:val="00067A8A"/>
    <w:rsid w:val="00071E19"/>
    <w:rsid w:val="0007377C"/>
    <w:rsid w:val="0007735A"/>
    <w:rsid w:val="00080A81"/>
    <w:rsid w:val="000815DE"/>
    <w:rsid w:val="0008454F"/>
    <w:rsid w:val="00084F9D"/>
    <w:rsid w:val="00085C56"/>
    <w:rsid w:val="00091944"/>
    <w:rsid w:val="00092CC2"/>
    <w:rsid w:val="00093398"/>
    <w:rsid w:val="0009391A"/>
    <w:rsid w:val="0009527B"/>
    <w:rsid w:val="00097010"/>
    <w:rsid w:val="000B4864"/>
    <w:rsid w:val="000B66D7"/>
    <w:rsid w:val="000B6B01"/>
    <w:rsid w:val="000C7F98"/>
    <w:rsid w:val="000D0858"/>
    <w:rsid w:val="000D092E"/>
    <w:rsid w:val="000D5131"/>
    <w:rsid w:val="000D5836"/>
    <w:rsid w:val="000E063D"/>
    <w:rsid w:val="000E18EB"/>
    <w:rsid w:val="000E6021"/>
    <w:rsid w:val="000E7462"/>
    <w:rsid w:val="000F3916"/>
    <w:rsid w:val="00101406"/>
    <w:rsid w:val="001044B1"/>
    <w:rsid w:val="00111D21"/>
    <w:rsid w:val="00112631"/>
    <w:rsid w:val="001156F0"/>
    <w:rsid w:val="001177BA"/>
    <w:rsid w:val="00134D23"/>
    <w:rsid w:val="00141929"/>
    <w:rsid w:val="0014198B"/>
    <w:rsid w:val="00143784"/>
    <w:rsid w:val="00146329"/>
    <w:rsid w:val="00152901"/>
    <w:rsid w:val="0016162B"/>
    <w:rsid w:val="00162405"/>
    <w:rsid w:val="00180909"/>
    <w:rsid w:val="0018298F"/>
    <w:rsid w:val="00185935"/>
    <w:rsid w:val="001A22B9"/>
    <w:rsid w:val="001A4142"/>
    <w:rsid w:val="001A6E40"/>
    <w:rsid w:val="001B34A3"/>
    <w:rsid w:val="001B7E79"/>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49EA"/>
    <w:rsid w:val="00215395"/>
    <w:rsid w:val="002175E1"/>
    <w:rsid w:val="002215A6"/>
    <w:rsid w:val="00221D04"/>
    <w:rsid w:val="00234EE2"/>
    <w:rsid w:val="00245E7E"/>
    <w:rsid w:val="00247CD5"/>
    <w:rsid w:val="002625DD"/>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5126"/>
    <w:rsid w:val="002E6C51"/>
    <w:rsid w:val="002F4B4D"/>
    <w:rsid w:val="0030007E"/>
    <w:rsid w:val="00302D05"/>
    <w:rsid w:val="003030A4"/>
    <w:rsid w:val="00307390"/>
    <w:rsid w:val="00312C7F"/>
    <w:rsid w:val="00315AE0"/>
    <w:rsid w:val="00320631"/>
    <w:rsid w:val="003278EA"/>
    <w:rsid w:val="00331E7A"/>
    <w:rsid w:val="00332D09"/>
    <w:rsid w:val="003342BE"/>
    <w:rsid w:val="00335B14"/>
    <w:rsid w:val="00337C62"/>
    <w:rsid w:val="003415BB"/>
    <w:rsid w:val="00341E66"/>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B0285"/>
    <w:rsid w:val="003C586C"/>
    <w:rsid w:val="003C7574"/>
    <w:rsid w:val="003D05E9"/>
    <w:rsid w:val="003D190E"/>
    <w:rsid w:val="003E08E2"/>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71A9E"/>
    <w:rsid w:val="004810AA"/>
    <w:rsid w:val="00482050"/>
    <w:rsid w:val="00486D8A"/>
    <w:rsid w:val="00487D26"/>
    <w:rsid w:val="00487F05"/>
    <w:rsid w:val="004908AE"/>
    <w:rsid w:val="00491C07"/>
    <w:rsid w:val="00492385"/>
    <w:rsid w:val="00492C16"/>
    <w:rsid w:val="00496A46"/>
    <w:rsid w:val="004A4A11"/>
    <w:rsid w:val="004A6A25"/>
    <w:rsid w:val="004A6DB3"/>
    <w:rsid w:val="004B0B23"/>
    <w:rsid w:val="004B3C0C"/>
    <w:rsid w:val="004C107B"/>
    <w:rsid w:val="004C4611"/>
    <w:rsid w:val="004D1FED"/>
    <w:rsid w:val="004D3798"/>
    <w:rsid w:val="004D3857"/>
    <w:rsid w:val="004D3BA9"/>
    <w:rsid w:val="004D4AA6"/>
    <w:rsid w:val="004E7970"/>
    <w:rsid w:val="004F18D5"/>
    <w:rsid w:val="004F6135"/>
    <w:rsid w:val="004F635C"/>
    <w:rsid w:val="004F65E7"/>
    <w:rsid w:val="004F6857"/>
    <w:rsid w:val="005145AF"/>
    <w:rsid w:val="00515980"/>
    <w:rsid w:val="00516035"/>
    <w:rsid w:val="0051645C"/>
    <w:rsid w:val="0052069C"/>
    <w:rsid w:val="00520E30"/>
    <w:rsid w:val="0054068B"/>
    <w:rsid w:val="00540D13"/>
    <w:rsid w:val="00550749"/>
    <w:rsid w:val="00551DE2"/>
    <w:rsid w:val="005542CC"/>
    <w:rsid w:val="00561A9C"/>
    <w:rsid w:val="00582EB0"/>
    <w:rsid w:val="0059524B"/>
    <w:rsid w:val="00597BBB"/>
    <w:rsid w:val="005A2832"/>
    <w:rsid w:val="005A2CD7"/>
    <w:rsid w:val="005A5492"/>
    <w:rsid w:val="005B0FD5"/>
    <w:rsid w:val="005B5D26"/>
    <w:rsid w:val="005B7F54"/>
    <w:rsid w:val="005C1D3F"/>
    <w:rsid w:val="005D04A7"/>
    <w:rsid w:val="005D13DC"/>
    <w:rsid w:val="005D24B8"/>
    <w:rsid w:val="005D30AB"/>
    <w:rsid w:val="005D7EDB"/>
    <w:rsid w:val="005E0776"/>
    <w:rsid w:val="005E0F78"/>
    <w:rsid w:val="005E2BAD"/>
    <w:rsid w:val="005E7F84"/>
    <w:rsid w:val="00615302"/>
    <w:rsid w:val="006164A3"/>
    <w:rsid w:val="00616DC2"/>
    <w:rsid w:val="0062234B"/>
    <w:rsid w:val="006242FB"/>
    <w:rsid w:val="00631B2E"/>
    <w:rsid w:val="0063206F"/>
    <w:rsid w:val="006373DA"/>
    <w:rsid w:val="006407C9"/>
    <w:rsid w:val="00640FEC"/>
    <w:rsid w:val="00643C57"/>
    <w:rsid w:val="00647E0D"/>
    <w:rsid w:val="00653CA6"/>
    <w:rsid w:val="00656AFE"/>
    <w:rsid w:val="006612F9"/>
    <w:rsid w:val="00662C0A"/>
    <w:rsid w:val="00663D3A"/>
    <w:rsid w:val="00664B60"/>
    <w:rsid w:val="006656F8"/>
    <w:rsid w:val="0066737B"/>
    <w:rsid w:val="006705B5"/>
    <w:rsid w:val="00673B87"/>
    <w:rsid w:val="00680DA9"/>
    <w:rsid w:val="00683C17"/>
    <w:rsid w:val="0068763A"/>
    <w:rsid w:val="00696570"/>
    <w:rsid w:val="006A15F9"/>
    <w:rsid w:val="006A6EB8"/>
    <w:rsid w:val="006A735A"/>
    <w:rsid w:val="006B1193"/>
    <w:rsid w:val="006B6C79"/>
    <w:rsid w:val="006C2EF8"/>
    <w:rsid w:val="006C5A72"/>
    <w:rsid w:val="006D1073"/>
    <w:rsid w:val="006D4A80"/>
    <w:rsid w:val="006D5228"/>
    <w:rsid w:val="006D5E93"/>
    <w:rsid w:val="006E139C"/>
    <w:rsid w:val="006F27E2"/>
    <w:rsid w:val="007007A6"/>
    <w:rsid w:val="00711058"/>
    <w:rsid w:val="00711526"/>
    <w:rsid w:val="00714FE5"/>
    <w:rsid w:val="00715057"/>
    <w:rsid w:val="007235F5"/>
    <w:rsid w:val="00741C53"/>
    <w:rsid w:val="00742C35"/>
    <w:rsid w:val="00744E80"/>
    <w:rsid w:val="007452BF"/>
    <w:rsid w:val="00750FD1"/>
    <w:rsid w:val="00755B0D"/>
    <w:rsid w:val="007638C3"/>
    <w:rsid w:val="007659B9"/>
    <w:rsid w:val="00771C95"/>
    <w:rsid w:val="00790038"/>
    <w:rsid w:val="00793652"/>
    <w:rsid w:val="007A021F"/>
    <w:rsid w:val="007B5FF2"/>
    <w:rsid w:val="007B70B8"/>
    <w:rsid w:val="007C1403"/>
    <w:rsid w:val="007C143D"/>
    <w:rsid w:val="007C2730"/>
    <w:rsid w:val="007C28D5"/>
    <w:rsid w:val="007C6DE3"/>
    <w:rsid w:val="007D187B"/>
    <w:rsid w:val="007D390B"/>
    <w:rsid w:val="007D4B14"/>
    <w:rsid w:val="007D5706"/>
    <w:rsid w:val="007D6521"/>
    <w:rsid w:val="007E0226"/>
    <w:rsid w:val="007E229B"/>
    <w:rsid w:val="007E4274"/>
    <w:rsid w:val="007E4322"/>
    <w:rsid w:val="007F3ABA"/>
    <w:rsid w:val="00802C50"/>
    <w:rsid w:val="00806554"/>
    <w:rsid w:val="00810B9F"/>
    <w:rsid w:val="00816E64"/>
    <w:rsid w:val="008176BD"/>
    <w:rsid w:val="0083213E"/>
    <w:rsid w:val="008376A8"/>
    <w:rsid w:val="00842BB0"/>
    <w:rsid w:val="0084670A"/>
    <w:rsid w:val="00852CAC"/>
    <w:rsid w:val="008532FE"/>
    <w:rsid w:val="00855117"/>
    <w:rsid w:val="0085527B"/>
    <w:rsid w:val="00857C5A"/>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B77EA"/>
    <w:rsid w:val="008C2176"/>
    <w:rsid w:val="008C2985"/>
    <w:rsid w:val="008C2C2F"/>
    <w:rsid w:val="008C32C7"/>
    <w:rsid w:val="008C3D5B"/>
    <w:rsid w:val="008C51CC"/>
    <w:rsid w:val="008C5FD2"/>
    <w:rsid w:val="008C67C6"/>
    <w:rsid w:val="008C704F"/>
    <w:rsid w:val="008D694B"/>
    <w:rsid w:val="008D7802"/>
    <w:rsid w:val="008E3EA2"/>
    <w:rsid w:val="008E684D"/>
    <w:rsid w:val="008E7966"/>
    <w:rsid w:val="008F0D3D"/>
    <w:rsid w:val="008F1CF8"/>
    <w:rsid w:val="008F6030"/>
    <w:rsid w:val="00912761"/>
    <w:rsid w:val="009156A3"/>
    <w:rsid w:val="00921A38"/>
    <w:rsid w:val="0092325F"/>
    <w:rsid w:val="00924221"/>
    <w:rsid w:val="0092586B"/>
    <w:rsid w:val="00932A4E"/>
    <w:rsid w:val="009350D4"/>
    <w:rsid w:val="00936962"/>
    <w:rsid w:val="00937CB9"/>
    <w:rsid w:val="00940BC0"/>
    <w:rsid w:val="00961C4E"/>
    <w:rsid w:val="00965A06"/>
    <w:rsid w:val="00965FBC"/>
    <w:rsid w:val="00967722"/>
    <w:rsid w:val="00967DCB"/>
    <w:rsid w:val="00970A8A"/>
    <w:rsid w:val="00972DD7"/>
    <w:rsid w:val="00974EA2"/>
    <w:rsid w:val="009858F4"/>
    <w:rsid w:val="00990A8B"/>
    <w:rsid w:val="00997B32"/>
    <w:rsid w:val="009A1B10"/>
    <w:rsid w:val="009A7BFF"/>
    <w:rsid w:val="009B007D"/>
    <w:rsid w:val="009B63DB"/>
    <w:rsid w:val="009B77AD"/>
    <w:rsid w:val="009B7AD7"/>
    <w:rsid w:val="009C0B6E"/>
    <w:rsid w:val="009C1702"/>
    <w:rsid w:val="009C3071"/>
    <w:rsid w:val="009C36DF"/>
    <w:rsid w:val="009C3A91"/>
    <w:rsid w:val="009C6015"/>
    <w:rsid w:val="009D47BD"/>
    <w:rsid w:val="009D6751"/>
    <w:rsid w:val="009E1642"/>
    <w:rsid w:val="009E3CDB"/>
    <w:rsid w:val="009E77F7"/>
    <w:rsid w:val="009F070B"/>
    <w:rsid w:val="009F0B56"/>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8678E"/>
    <w:rsid w:val="00A9028A"/>
    <w:rsid w:val="00A919D6"/>
    <w:rsid w:val="00A92E23"/>
    <w:rsid w:val="00AA368F"/>
    <w:rsid w:val="00AA6A4D"/>
    <w:rsid w:val="00AB52C2"/>
    <w:rsid w:val="00AC01A4"/>
    <w:rsid w:val="00AD2BC0"/>
    <w:rsid w:val="00AD39FA"/>
    <w:rsid w:val="00AD6A5F"/>
    <w:rsid w:val="00AE028B"/>
    <w:rsid w:val="00AE04FE"/>
    <w:rsid w:val="00AE47B8"/>
    <w:rsid w:val="00AF104C"/>
    <w:rsid w:val="00AF2328"/>
    <w:rsid w:val="00AF2650"/>
    <w:rsid w:val="00AF2AF9"/>
    <w:rsid w:val="00B01936"/>
    <w:rsid w:val="00B111D2"/>
    <w:rsid w:val="00B16D71"/>
    <w:rsid w:val="00B1710B"/>
    <w:rsid w:val="00B203F0"/>
    <w:rsid w:val="00B3075F"/>
    <w:rsid w:val="00B44C99"/>
    <w:rsid w:val="00B44EC9"/>
    <w:rsid w:val="00B46BAB"/>
    <w:rsid w:val="00B54DA2"/>
    <w:rsid w:val="00B633AB"/>
    <w:rsid w:val="00B6556B"/>
    <w:rsid w:val="00B67C4B"/>
    <w:rsid w:val="00B71530"/>
    <w:rsid w:val="00B71D0E"/>
    <w:rsid w:val="00B7214D"/>
    <w:rsid w:val="00B80CC3"/>
    <w:rsid w:val="00B82691"/>
    <w:rsid w:val="00B915D4"/>
    <w:rsid w:val="00BA2753"/>
    <w:rsid w:val="00BB5ECE"/>
    <w:rsid w:val="00BB7690"/>
    <w:rsid w:val="00BC19FB"/>
    <w:rsid w:val="00BD0640"/>
    <w:rsid w:val="00BD4BAE"/>
    <w:rsid w:val="00BD6B4D"/>
    <w:rsid w:val="00BE579C"/>
    <w:rsid w:val="00BE5F7B"/>
    <w:rsid w:val="00BE7481"/>
    <w:rsid w:val="00BF1DB2"/>
    <w:rsid w:val="00BF51BC"/>
    <w:rsid w:val="00BF5878"/>
    <w:rsid w:val="00BF7456"/>
    <w:rsid w:val="00C03688"/>
    <w:rsid w:val="00C13167"/>
    <w:rsid w:val="00C1522E"/>
    <w:rsid w:val="00C21B1F"/>
    <w:rsid w:val="00C224C6"/>
    <w:rsid w:val="00C261CE"/>
    <w:rsid w:val="00C27C39"/>
    <w:rsid w:val="00C318BF"/>
    <w:rsid w:val="00C326D3"/>
    <w:rsid w:val="00C37EDD"/>
    <w:rsid w:val="00C40230"/>
    <w:rsid w:val="00C43BC6"/>
    <w:rsid w:val="00C44C6D"/>
    <w:rsid w:val="00C45665"/>
    <w:rsid w:val="00C508EE"/>
    <w:rsid w:val="00C555BB"/>
    <w:rsid w:val="00C575A0"/>
    <w:rsid w:val="00C66E1F"/>
    <w:rsid w:val="00C73630"/>
    <w:rsid w:val="00C760C4"/>
    <w:rsid w:val="00C81A53"/>
    <w:rsid w:val="00C8654A"/>
    <w:rsid w:val="00C86A61"/>
    <w:rsid w:val="00CA3A97"/>
    <w:rsid w:val="00CA3E2A"/>
    <w:rsid w:val="00CB3ABB"/>
    <w:rsid w:val="00CB564C"/>
    <w:rsid w:val="00CB6B3B"/>
    <w:rsid w:val="00CC51B9"/>
    <w:rsid w:val="00CC552A"/>
    <w:rsid w:val="00CC57A0"/>
    <w:rsid w:val="00CC77F1"/>
    <w:rsid w:val="00CD745F"/>
    <w:rsid w:val="00CE4551"/>
    <w:rsid w:val="00CE7093"/>
    <w:rsid w:val="00CE7338"/>
    <w:rsid w:val="00CF4F6C"/>
    <w:rsid w:val="00CF7529"/>
    <w:rsid w:val="00D06D32"/>
    <w:rsid w:val="00D12FC2"/>
    <w:rsid w:val="00D14841"/>
    <w:rsid w:val="00D15F32"/>
    <w:rsid w:val="00D20665"/>
    <w:rsid w:val="00D22F8E"/>
    <w:rsid w:val="00D30022"/>
    <w:rsid w:val="00D30109"/>
    <w:rsid w:val="00D31C28"/>
    <w:rsid w:val="00D3717E"/>
    <w:rsid w:val="00D43D72"/>
    <w:rsid w:val="00D44370"/>
    <w:rsid w:val="00D5047C"/>
    <w:rsid w:val="00D50CF6"/>
    <w:rsid w:val="00D54DCB"/>
    <w:rsid w:val="00D72A39"/>
    <w:rsid w:val="00D7435B"/>
    <w:rsid w:val="00D74EA0"/>
    <w:rsid w:val="00D831EE"/>
    <w:rsid w:val="00D859CC"/>
    <w:rsid w:val="00D902FA"/>
    <w:rsid w:val="00D907C3"/>
    <w:rsid w:val="00DA3A36"/>
    <w:rsid w:val="00DA41A3"/>
    <w:rsid w:val="00DB13C3"/>
    <w:rsid w:val="00DB7D89"/>
    <w:rsid w:val="00DC0041"/>
    <w:rsid w:val="00DC46EC"/>
    <w:rsid w:val="00DC6E07"/>
    <w:rsid w:val="00DD0655"/>
    <w:rsid w:val="00DD1F50"/>
    <w:rsid w:val="00DD2D61"/>
    <w:rsid w:val="00DD3F9C"/>
    <w:rsid w:val="00DD5DF9"/>
    <w:rsid w:val="00DD76CB"/>
    <w:rsid w:val="00DE0D23"/>
    <w:rsid w:val="00DE442D"/>
    <w:rsid w:val="00DF2FE5"/>
    <w:rsid w:val="00E0076E"/>
    <w:rsid w:val="00E0301C"/>
    <w:rsid w:val="00E10F53"/>
    <w:rsid w:val="00E12366"/>
    <w:rsid w:val="00E162CA"/>
    <w:rsid w:val="00E16B1D"/>
    <w:rsid w:val="00E22DFC"/>
    <w:rsid w:val="00E25F53"/>
    <w:rsid w:val="00E37C6D"/>
    <w:rsid w:val="00E47FC6"/>
    <w:rsid w:val="00E51166"/>
    <w:rsid w:val="00E53A12"/>
    <w:rsid w:val="00E57D1F"/>
    <w:rsid w:val="00E57D4C"/>
    <w:rsid w:val="00E61170"/>
    <w:rsid w:val="00E61ADC"/>
    <w:rsid w:val="00E70135"/>
    <w:rsid w:val="00E70D98"/>
    <w:rsid w:val="00E856AB"/>
    <w:rsid w:val="00E90A3F"/>
    <w:rsid w:val="00E95266"/>
    <w:rsid w:val="00E977C4"/>
    <w:rsid w:val="00EB421A"/>
    <w:rsid w:val="00EB5898"/>
    <w:rsid w:val="00EC2E4E"/>
    <w:rsid w:val="00EC4E9E"/>
    <w:rsid w:val="00EE47DB"/>
    <w:rsid w:val="00EE5C03"/>
    <w:rsid w:val="00EE6AA5"/>
    <w:rsid w:val="00EE7315"/>
    <w:rsid w:val="00EF0DA4"/>
    <w:rsid w:val="00F005A4"/>
    <w:rsid w:val="00F01283"/>
    <w:rsid w:val="00F07D8C"/>
    <w:rsid w:val="00F12235"/>
    <w:rsid w:val="00F1263F"/>
    <w:rsid w:val="00F1491F"/>
    <w:rsid w:val="00F15E48"/>
    <w:rsid w:val="00F17D1C"/>
    <w:rsid w:val="00F20E1E"/>
    <w:rsid w:val="00F2477F"/>
    <w:rsid w:val="00F24E24"/>
    <w:rsid w:val="00F272A5"/>
    <w:rsid w:val="00F27C9D"/>
    <w:rsid w:val="00F335B4"/>
    <w:rsid w:val="00F33A0F"/>
    <w:rsid w:val="00F400B5"/>
    <w:rsid w:val="00F40F2D"/>
    <w:rsid w:val="00F424DF"/>
    <w:rsid w:val="00F50F61"/>
    <w:rsid w:val="00F7017C"/>
    <w:rsid w:val="00F7609E"/>
    <w:rsid w:val="00F77540"/>
    <w:rsid w:val="00F83EAB"/>
    <w:rsid w:val="00F85D5A"/>
    <w:rsid w:val="00F86303"/>
    <w:rsid w:val="00F9178A"/>
    <w:rsid w:val="00F932D6"/>
    <w:rsid w:val="00FA3D27"/>
    <w:rsid w:val="00FA3DF1"/>
    <w:rsid w:val="00FA5EC3"/>
    <w:rsid w:val="00FB193A"/>
    <w:rsid w:val="00FB1AAE"/>
    <w:rsid w:val="00FB4253"/>
    <w:rsid w:val="00FB7194"/>
    <w:rsid w:val="00FC07FD"/>
    <w:rsid w:val="00FD0031"/>
    <w:rsid w:val="00FD61A0"/>
    <w:rsid w:val="00FD7F4A"/>
    <w:rsid w:val="00FE250F"/>
    <w:rsid w:val="00FE699C"/>
    <w:rsid w:val="00FF21CE"/>
    <w:rsid w:val="00FF264F"/>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873A"/>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2076</TotalTime>
  <Pages>1</Pages>
  <Words>2130</Words>
  <Characters>12314</Characters>
  <Application>Microsoft Office Word</Application>
  <DocSecurity>0</DocSecurity>
  <Lines>300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salesforceId:caabe869-fc91-4634-bcbc-70ee87dc8c32</dc:subject>
  <dc:creator>O'Donoghue, Ruaridh</dc:creator>
  <cp:keywords/>
  <dc:description/>
  <cp:lastModifiedBy>Pardoe, Paul</cp:lastModifiedBy>
  <cp:revision>99</cp:revision>
  <dcterms:created xsi:type="dcterms:W3CDTF">2026-09-03T15:10:00Z</dcterms:created>
  <dcterms:modified xsi:type="dcterms:W3CDTF">2026-09-14T08:07:00Z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069Q300000TP24dIAD</vt:lpwstr>
  </property>
</Properties>
</file>