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C5238C" w:rsidRDefault="00B15AD7" w:rsidP="00AF3412">
      <w:pPr>
        <w:tabs>
          <w:tab w:val="left" w:pos="2520"/>
        </w:tabs>
        <w:jc w:val="both"/>
        <w:rPr>
          <w:rFonts w:ascii="Arial" w:hAnsi="Arial" w:cs="Arial"/>
          <w:b/>
          <w:sz w:val="22"/>
          <w:szCs w:val="22"/>
          <w:u w:val="single"/>
        </w:rPr>
      </w:pPr>
    </w:p>
    <w:p w14:paraId="77EB85E6" w14:textId="4CC477DC" w:rsidR="00DE34F6" w:rsidRPr="00C5238C" w:rsidRDefault="00DE34F6" w:rsidP="00AF3412">
      <w:pPr>
        <w:tabs>
          <w:tab w:val="left" w:pos="2520"/>
        </w:tabs>
        <w:jc w:val="both"/>
        <w:rPr>
          <w:rFonts w:ascii="Arial" w:hAnsi="Arial" w:cs="Arial"/>
          <w:b/>
          <w:sz w:val="22"/>
          <w:szCs w:val="22"/>
          <w:u w:val="single"/>
        </w:rPr>
      </w:pPr>
    </w:p>
    <w:p w14:paraId="1561D830" w14:textId="30D5FA92" w:rsidR="00DE34F6" w:rsidRPr="009C62E7" w:rsidRDefault="00DE34F6" w:rsidP="00AF3412">
      <w:pPr>
        <w:spacing w:line="276" w:lineRule="auto"/>
        <w:jc w:val="both"/>
        <w:rPr>
          <w:rFonts w:ascii="Arial" w:eastAsia="Arial" w:hAnsi="Arial" w:cs="Arial"/>
          <w:b/>
          <w:bCs/>
          <w:sz w:val="22"/>
          <w:szCs w:val="22"/>
        </w:rPr>
      </w:pPr>
      <w:r w:rsidRPr="009C62E7">
        <w:rPr>
          <w:rFonts w:ascii="Arial" w:hAnsi="Arial" w:cs="Arial"/>
          <w:noProof/>
          <w:sz w:val="22"/>
          <w:szCs w:val="22"/>
        </w:rPr>
        <w:drawing>
          <wp:anchor distT="0" distB="0" distL="114300" distR="114300" simplePos="0" relativeHeight="251659264" behindDoc="0" locked="0" layoutInCell="1" allowOverlap="1" wp14:anchorId="3365D9A5" wp14:editId="484876F0">
            <wp:simplePos x="0" y="0"/>
            <wp:positionH relativeFrom="column">
              <wp:posOffset>3175</wp:posOffset>
            </wp:positionH>
            <wp:positionV relativeFrom="paragraph">
              <wp:posOffset>273050</wp:posOffset>
            </wp:positionV>
            <wp:extent cx="6057900" cy="26648"/>
            <wp:effectExtent l="0" t="0" r="0" b="0"/>
            <wp:wrapNone/>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5"/>
                    <a:stretch>
                      <a:fillRect/>
                    </a:stretch>
                  </pic:blipFill>
                  <pic:spPr>
                    <a:xfrm>
                      <a:off x="0" y="0"/>
                      <a:ext cx="6057900" cy="26648"/>
                    </a:xfrm>
                    <a:prstGeom prst="rect">
                      <a:avLst/>
                    </a:prstGeom>
                  </pic:spPr>
                </pic:pic>
              </a:graphicData>
            </a:graphic>
          </wp:anchor>
        </w:drawing>
      </w:r>
      <w:r w:rsidRPr="009C62E7">
        <w:rPr>
          <w:rFonts w:ascii="Arial" w:eastAsia="Arial" w:hAnsi="Arial" w:cs="Arial"/>
          <w:b/>
          <w:bCs/>
          <w:sz w:val="22"/>
          <w:szCs w:val="22"/>
        </w:rPr>
        <w:t>DELEGATED REPORT</w:t>
      </w:r>
    </w:p>
    <w:p w14:paraId="65AF6A19" w14:textId="4B204A7A" w:rsidR="00DE34F6" w:rsidRPr="009C62E7" w:rsidRDefault="00DE34F6" w:rsidP="00AF3412">
      <w:pPr>
        <w:jc w:val="both"/>
        <w:rPr>
          <w:rFonts w:ascii="Arial" w:hAnsi="Arial" w:cs="Arial"/>
          <w:sz w:val="22"/>
          <w:szCs w:val="22"/>
        </w:rPr>
      </w:pPr>
      <w:r w:rsidRPr="009C62E7">
        <w:rPr>
          <w:rFonts w:ascii="Arial" w:eastAsia="Arial" w:hAnsi="Arial" w:cs="Arial"/>
          <w:sz w:val="22"/>
          <w:szCs w:val="22"/>
        </w:rPr>
        <w:t> </w:t>
      </w:r>
    </w:p>
    <w:tbl>
      <w:tblPr>
        <w:tblW w:w="10632" w:type="dxa"/>
        <w:tblInd w:w="108" w:type="dxa"/>
        <w:tblCellMar>
          <w:left w:w="0" w:type="dxa"/>
          <w:right w:w="0" w:type="dxa"/>
        </w:tblCellMar>
        <w:tblLook w:val="04A0" w:firstRow="1" w:lastRow="0" w:firstColumn="1" w:lastColumn="0" w:noHBand="0" w:noVBand="1"/>
      </w:tblPr>
      <w:tblGrid>
        <w:gridCol w:w="2694"/>
        <w:gridCol w:w="7938"/>
      </w:tblGrid>
      <w:tr w:rsidR="00DE34F6" w:rsidRPr="00652626" w14:paraId="2485FFDC" w14:textId="77777777" w:rsidTr="00DE745B">
        <w:tc>
          <w:tcPr>
            <w:tcW w:w="2694" w:type="dxa"/>
            <w:tcMar>
              <w:top w:w="0" w:type="dxa"/>
              <w:left w:w="108" w:type="dxa"/>
              <w:bottom w:w="0" w:type="dxa"/>
              <w:right w:w="108" w:type="dxa"/>
            </w:tcMar>
          </w:tcPr>
          <w:p w14:paraId="158637EC" w14:textId="77777777" w:rsidR="00DE34F6" w:rsidRPr="00652626" w:rsidRDefault="00DE34F6" w:rsidP="00AF3412">
            <w:pPr>
              <w:spacing w:line="276" w:lineRule="auto"/>
              <w:jc w:val="both"/>
              <w:rPr>
                <w:rFonts w:ascii="Arial" w:hAnsi="Arial" w:cs="Arial"/>
                <w:color w:val="000000"/>
                <w:sz w:val="22"/>
                <w:szCs w:val="22"/>
              </w:rPr>
            </w:pPr>
            <w:r w:rsidRPr="00652626">
              <w:rPr>
                <w:rFonts w:ascii="Arial" w:eastAsia="Arial" w:hAnsi="Arial" w:cs="Arial"/>
                <w:b/>
                <w:bCs/>
                <w:color w:val="000000"/>
                <w:sz w:val="22"/>
                <w:szCs w:val="22"/>
              </w:rPr>
              <w:t>Application Reference:</w:t>
            </w:r>
          </w:p>
        </w:tc>
        <w:tc>
          <w:tcPr>
            <w:tcW w:w="7938" w:type="dxa"/>
            <w:tcMar>
              <w:top w:w="0" w:type="dxa"/>
              <w:left w:w="108" w:type="dxa"/>
              <w:bottom w:w="0" w:type="dxa"/>
              <w:right w:w="108" w:type="dxa"/>
            </w:tcMar>
          </w:tcPr>
          <w:p w14:paraId="591C0F5B" w14:textId="783EF87C" w:rsidR="00DE34F6" w:rsidRPr="00652626" w:rsidRDefault="009C62E7" w:rsidP="00AF3412">
            <w:pPr>
              <w:spacing w:line="276" w:lineRule="auto"/>
              <w:jc w:val="both"/>
              <w:rPr>
                <w:rFonts w:ascii="Arial" w:hAnsi="Arial" w:cs="Arial"/>
                <w:color w:val="000000"/>
                <w:sz w:val="22"/>
                <w:szCs w:val="22"/>
              </w:rPr>
            </w:pPr>
            <w:r w:rsidRPr="00652626">
              <w:rPr>
                <w:rFonts w:ascii="Arial" w:hAnsi="Arial" w:cs="Arial"/>
                <w:color w:val="000000"/>
                <w:sz w:val="22"/>
                <w:szCs w:val="22"/>
              </w:rPr>
              <w:t>PL/202</w:t>
            </w:r>
            <w:r w:rsidR="00801C23">
              <w:rPr>
                <w:rFonts w:ascii="Arial" w:hAnsi="Arial" w:cs="Arial"/>
                <w:color w:val="000000"/>
                <w:sz w:val="22"/>
                <w:szCs w:val="22"/>
              </w:rPr>
              <w:t>6/</w:t>
            </w:r>
            <w:r w:rsidR="009952B0">
              <w:rPr>
                <w:rFonts w:ascii="Arial" w:hAnsi="Arial" w:cs="Arial"/>
                <w:color w:val="000000"/>
                <w:sz w:val="22"/>
                <w:szCs w:val="22"/>
              </w:rPr>
              <w:t>05</w:t>
            </w:r>
            <w:r w:rsidR="00E45427">
              <w:rPr>
                <w:rFonts w:ascii="Arial" w:hAnsi="Arial" w:cs="Arial"/>
                <w:color w:val="000000"/>
                <w:sz w:val="22"/>
                <w:szCs w:val="22"/>
              </w:rPr>
              <w:t>146</w:t>
            </w:r>
          </w:p>
        </w:tc>
      </w:tr>
      <w:tr w:rsidR="00DE34F6" w:rsidRPr="00652626" w14:paraId="71475647" w14:textId="77777777" w:rsidTr="00DE745B">
        <w:tc>
          <w:tcPr>
            <w:tcW w:w="2694" w:type="dxa"/>
            <w:tcMar>
              <w:top w:w="0" w:type="dxa"/>
              <w:left w:w="108" w:type="dxa"/>
              <w:bottom w:w="0" w:type="dxa"/>
              <w:right w:w="108" w:type="dxa"/>
            </w:tcMar>
          </w:tcPr>
          <w:p w14:paraId="43B560AE" w14:textId="77777777" w:rsidR="00DE34F6" w:rsidRPr="00652626" w:rsidRDefault="00DE34F6" w:rsidP="00AF3412">
            <w:pPr>
              <w:spacing w:line="276" w:lineRule="auto"/>
              <w:jc w:val="both"/>
              <w:rPr>
                <w:rFonts w:ascii="Arial" w:hAnsi="Arial" w:cs="Arial"/>
                <w:color w:val="000000"/>
                <w:sz w:val="22"/>
                <w:szCs w:val="22"/>
              </w:rPr>
            </w:pPr>
            <w:r w:rsidRPr="00652626">
              <w:rPr>
                <w:rFonts w:ascii="Arial" w:eastAsia="Arial" w:hAnsi="Arial" w:cs="Arial"/>
                <w:b/>
                <w:bCs/>
                <w:color w:val="000000"/>
                <w:sz w:val="22"/>
                <w:szCs w:val="22"/>
              </w:rPr>
              <w:t>Application Type:</w:t>
            </w:r>
          </w:p>
        </w:tc>
        <w:tc>
          <w:tcPr>
            <w:tcW w:w="7938" w:type="dxa"/>
            <w:tcMar>
              <w:top w:w="0" w:type="dxa"/>
              <w:left w:w="108" w:type="dxa"/>
              <w:bottom w:w="0" w:type="dxa"/>
              <w:right w:w="108" w:type="dxa"/>
            </w:tcMar>
          </w:tcPr>
          <w:p w14:paraId="204AD12C" w14:textId="16924FF5" w:rsidR="00DE34F6" w:rsidRPr="00652626" w:rsidRDefault="00A87D11" w:rsidP="00AF3412">
            <w:pPr>
              <w:spacing w:line="276" w:lineRule="auto"/>
              <w:jc w:val="both"/>
              <w:rPr>
                <w:rFonts w:ascii="Arial" w:hAnsi="Arial" w:cs="Arial"/>
                <w:color w:val="000000"/>
                <w:sz w:val="22"/>
                <w:szCs w:val="22"/>
              </w:rPr>
            </w:pPr>
            <w:r w:rsidRPr="00652626">
              <w:rPr>
                <w:rFonts w:ascii="Arial" w:eastAsia="Arial" w:hAnsi="Arial" w:cs="Arial"/>
                <w:color w:val="000000"/>
                <w:sz w:val="22"/>
                <w:szCs w:val="22"/>
              </w:rPr>
              <w:t>Prior notification: Demolition</w:t>
            </w:r>
          </w:p>
        </w:tc>
      </w:tr>
    </w:tbl>
    <w:p w14:paraId="42A7E5A0" w14:textId="77777777" w:rsidR="00DE34F6" w:rsidRPr="00652626" w:rsidRDefault="00DE34F6" w:rsidP="00AF3412">
      <w:pPr>
        <w:jc w:val="both"/>
        <w:rPr>
          <w:rFonts w:ascii="Arial" w:eastAsia="Arial" w:hAnsi="Arial" w:cs="Arial"/>
          <w:sz w:val="22"/>
          <w:szCs w:val="22"/>
        </w:rPr>
      </w:pPr>
      <w:r w:rsidRPr="00652626">
        <w:rPr>
          <w:rFonts w:ascii="Arial" w:hAnsi="Arial" w:cs="Arial"/>
          <w:noProof/>
          <w:sz w:val="22"/>
          <w:szCs w:val="22"/>
        </w:rPr>
        <w:drawing>
          <wp:anchor distT="0" distB="0" distL="114300" distR="114300" simplePos="0" relativeHeight="251660288" behindDoc="0" locked="0" layoutInCell="1" allowOverlap="1" wp14:anchorId="7FEC2585" wp14:editId="21686D15">
            <wp:simplePos x="0" y="0"/>
            <wp:positionH relativeFrom="margin">
              <wp:posOffset>0</wp:posOffset>
            </wp:positionH>
            <wp:positionV relativeFrom="paragraph">
              <wp:posOffset>74295</wp:posOffset>
            </wp:positionV>
            <wp:extent cx="6057900" cy="26648"/>
            <wp:effectExtent l="0" t="0" r="0" b="0"/>
            <wp:wrapNone/>
            <wp:docPr id="100001" name="Picture 100001"/>
            <wp:cNvGraphicFramePr/>
            <a:graphic xmlns:a="http://schemas.openxmlformats.org/drawingml/2006/main">
              <a:graphicData uri="http://schemas.openxmlformats.org/drawingml/2006/picture">
                <pic:pic xmlns:pic="http://schemas.openxmlformats.org/drawingml/2006/picture">
                  <pic:nvPicPr>
                    <pic:cNvPr id="100001" name=""/>
                    <pic:cNvPicPr/>
                  </pic:nvPicPr>
                  <pic:blipFill>
                    <a:blip r:embed="rId5"/>
                    <a:stretch>
                      <a:fillRect/>
                    </a:stretch>
                  </pic:blipFill>
                  <pic:spPr>
                    <a:xfrm>
                      <a:off x="0" y="0"/>
                      <a:ext cx="6057900" cy="26648"/>
                    </a:xfrm>
                    <a:prstGeom prst="rect">
                      <a:avLst/>
                    </a:prstGeom>
                  </pic:spPr>
                </pic:pic>
              </a:graphicData>
            </a:graphic>
          </wp:anchor>
        </w:drawing>
      </w:r>
      <w:r w:rsidRPr="00652626">
        <w:rPr>
          <w:rFonts w:ascii="Arial" w:eastAsia="Arial" w:hAnsi="Arial" w:cs="Arial"/>
          <w:sz w:val="22"/>
          <w:szCs w:val="22"/>
        </w:rPr>
        <w:t> </w:t>
      </w:r>
    </w:p>
    <w:tbl>
      <w:tblPr>
        <w:tblW w:w="10347" w:type="dxa"/>
        <w:tblInd w:w="108" w:type="dxa"/>
        <w:tblCellMar>
          <w:left w:w="0" w:type="dxa"/>
          <w:right w:w="0" w:type="dxa"/>
        </w:tblCellMar>
        <w:tblLook w:val="04A0" w:firstRow="1" w:lastRow="0" w:firstColumn="1" w:lastColumn="0" w:noHBand="0" w:noVBand="1"/>
      </w:tblPr>
      <w:tblGrid>
        <w:gridCol w:w="2835"/>
        <w:gridCol w:w="7512"/>
      </w:tblGrid>
      <w:tr w:rsidR="00DE745B" w:rsidRPr="00652626" w14:paraId="03DD0C1C" w14:textId="0E2B27F3" w:rsidTr="00DE745B">
        <w:tc>
          <w:tcPr>
            <w:tcW w:w="2835" w:type="dxa"/>
            <w:tcMar>
              <w:top w:w="0" w:type="dxa"/>
              <w:left w:w="108" w:type="dxa"/>
              <w:bottom w:w="0" w:type="dxa"/>
              <w:right w:w="108" w:type="dxa"/>
            </w:tcMar>
          </w:tcPr>
          <w:p w14:paraId="3E20F5D5" w14:textId="77777777"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Site Address:</w:t>
            </w:r>
          </w:p>
        </w:tc>
        <w:tc>
          <w:tcPr>
            <w:tcW w:w="7512" w:type="dxa"/>
          </w:tcPr>
          <w:p w14:paraId="28A84ADA" w14:textId="182EE8AB" w:rsidR="00DE745B" w:rsidRPr="00652626" w:rsidRDefault="00E45427" w:rsidP="00AF3412">
            <w:pPr>
              <w:rPr>
                <w:rFonts w:ascii="Arial" w:eastAsia="Arial" w:hAnsi="Arial" w:cs="Arial"/>
                <w:color w:val="000000"/>
                <w:sz w:val="22"/>
                <w:szCs w:val="22"/>
              </w:rPr>
            </w:pPr>
            <w:r w:rsidRPr="00E45427">
              <w:rPr>
                <w:rFonts w:ascii="Arial" w:eastAsia="Arial" w:hAnsi="Arial" w:cs="Arial"/>
                <w:color w:val="000000"/>
                <w:sz w:val="22"/>
                <w:szCs w:val="22"/>
              </w:rPr>
              <w:t>Land at Blackmore Farm, Melksham</w:t>
            </w:r>
          </w:p>
        </w:tc>
      </w:tr>
      <w:tr w:rsidR="00DE745B" w:rsidRPr="00652626" w14:paraId="0DE4DE08" w14:textId="77777777" w:rsidTr="00DE745B">
        <w:tc>
          <w:tcPr>
            <w:tcW w:w="2835" w:type="dxa"/>
            <w:tcMar>
              <w:top w:w="0" w:type="dxa"/>
              <w:left w:w="108" w:type="dxa"/>
              <w:bottom w:w="0" w:type="dxa"/>
              <w:right w:w="108" w:type="dxa"/>
            </w:tcMar>
          </w:tcPr>
          <w:p w14:paraId="52264CBC" w14:textId="1D7D6063"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Proposal:</w:t>
            </w:r>
          </w:p>
        </w:tc>
        <w:tc>
          <w:tcPr>
            <w:tcW w:w="7512" w:type="dxa"/>
          </w:tcPr>
          <w:p w14:paraId="1C5EBE5A" w14:textId="208975BA" w:rsidR="0085689F" w:rsidRPr="00652626" w:rsidRDefault="00E45427" w:rsidP="00AF3412">
            <w:pPr>
              <w:spacing w:line="276" w:lineRule="auto"/>
              <w:rPr>
                <w:rFonts w:ascii="Arial" w:hAnsi="Arial" w:cs="Arial"/>
                <w:color w:val="000000"/>
                <w:sz w:val="22"/>
                <w:szCs w:val="22"/>
              </w:rPr>
            </w:pPr>
            <w:r w:rsidRPr="00E45427">
              <w:rPr>
                <w:rFonts w:ascii="Arial" w:hAnsi="Arial" w:cs="Arial"/>
                <w:color w:val="000000"/>
                <w:sz w:val="22"/>
                <w:szCs w:val="22"/>
              </w:rPr>
              <w:t>Prior Notification for the proposed demolition of agricultural buildings</w:t>
            </w:r>
            <w:r w:rsidR="0015139F" w:rsidRPr="00652626">
              <w:rPr>
                <w:rFonts w:ascii="Arial" w:hAnsi="Arial" w:cs="Arial"/>
                <w:color w:val="000000"/>
                <w:sz w:val="22"/>
                <w:szCs w:val="22"/>
              </w:rPr>
              <w:t>.</w:t>
            </w:r>
          </w:p>
        </w:tc>
      </w:tr>
      <w:tr w:rsidR="00DE745B" w:rsidRPr="00652626" w14:paraId="22EF51D7" w14:textId="77777777" w:rsidTr="00DE745B">
        <w:tc>
          <w:tcPr>
            <w:tcW w:w="2835" w:type="dxa"/>
            <w:tcMar>
              <w:top w:w="0" w:type="dxa"/>
              <w:left w:w="108" w:type="dxa"/>
              <w:bottom w:w="0" w:type="dxa"/>
              <w:right w:w="108" w:type="dxa"/>
            </w:tcMar>
          </w:tcPr>
          <w:p w14:paraId="202691DB" w14:textId="77777777"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Recommendation:</w:t>
            </w:r>
          </w:p>
        </w:tc>
        <w:tc>
          <w:tcPr>
            <w:tcW w:w="7512" w:type="dxa"/>
          </w:tcPr>
          <w:p w14:paraId="5134E998" w14:textId="43EBC259" w:rsidR="00DE745B" w:rsidRPr="00652626" w:rsidRDefault="00EA1B62" w:rsidP="00AF3412">
            <w:pPr>
              <w:spacing w:line="276" w:lineRule="auto"/>
              <w:jc w:val="both"/>
              <w:rPr>
                <w:rFonts w:ascii="Arial" w:eastAsia="Arial" w:hAnsi="Arial" w:cs="Arial"/>
                <w:color w:val="000000"/>
                <w:sz w:val="22"/>
                <w:szCs w:val="22"/>
              </w:rPr>
            </w:pPr>
            <w:r w:rsidRPr="00652626">
              <w:rPr>
                <w:rFonts w:ascii="Arial" w:eastAsia="Arial" w:hAnsi="Arial" w:cs="Arial"/>
                <w:color w:val="000000"/>
                <w:sz w:val="22"/>
                <w:szCs w:val="22"/>
              </w:rPr>
              <w:t>Prior approval required and granted</w:t>
            </w:r>
          </w:p>
        </w:tc>
      </w:tr>
    </w:tbl>
    <w:p w14:paraId="52236851" w14:textId="77777777" w:rsidR="00DE34F6" w:rsidRPr="00652626" w:rsidRDefault="00DE34F6" w:rsidP="00AF3412">
      <w:pPr>
        <w:jc w:val="both"/>
        <w:rPr>
          <w:rFonts w:ascii="Arial" w:eastAsia="Arial" w:hAnsi="Arial" w:cs="Arial"/>
          <w:sz w:val="22"/>
          <w:szCs w:val="22"/>
        </w:rPr>
      </w:pPr>
      <w:r w:rsidRPr="00652626">
        <w:rPr>
          <w:rFonts w:ascii="Arial" w:hAnsi="Arial" w:cs="Arial"/>
          <w:noProof/>
          <w:sz w:val="22"/>
          <w:szCs w:val="22"/>
        </w:rPr>
        <w:drawing>
          <wp:anchor distT="0" distB="0" distL="114300" distR="114300" simplePos="0" relativeHeight="251661312" behindDoc="0" locked="0" layoutInCell="1" allowOverlap="1" wp14:anchorId="3E2D8B95" wp14:editId="74509B82">
            <wp:simplePos x="0" y="0"/>
            <wp:positionH relativeFrom="margin">
              <wp:posOffset>0</wp:posOffset>
            </wp:positionH>
            <wp:positionV relativeFrom="paragraph">
              <wp:posOffset>51435</wp:posOffset>
            </wp:positionV>
            <wp:extent cx="6057900" cy="26648"/>
            <wp:effectExtent l="0" t="0" r="0" b="0"/>
            <wp:wrapNone/>
            <wp:docPr id="100002" name="Picture 100002"/>
            <wp:cNvGraphicFramePr/>
            <a:graphic xmlns:a="http://schemas.openxmlformats.org/drawingml/2006/main">
              <a:graphicData uri="http://schemas.openxmlformats.org/drawingml/2006/picture">
                <pic:pic xmlns:pic="http://schemas.openxmlformats.org/drawingml/2006/picture">
                  <pic:nvPicPr>
                    <pic:cNvPr id="100002" name=""/>
                    <pic:cNvPicPr/>
                  </pic:nvPicPr>
                  <pic:blipFill>
                    <a:blip r:embed="rId5"/>
                    <a:stretch>
                      <a:fillRect/>
                    </a:stretch>
                  </pic:blipFill>
                  <pic:spPr>
                    <a:xfrm>
                      <a:off x="0" y="0"/>
                      <a:ext cx="6057900" cy="26648"/>
                    </a:xfrm>
                    <a:prstGeom prst="rect">
                      <a:avLst/>
                    </a:prstGeom>
                  </pic:spPr>
                </pic:pic>
              </a:graphicData>
            </a:graphic>
          </wp:anchor>
        </w:drawing>
      </w:r>
      <w:r w:rsidRPr="00652626">
        <w:rPr>
          <w:rFonts w:ascii="Arial" w:eastAsia="Arial" w:hAnsi="Arial" w:cs="Arial"/>
          <w:sz w:val="22"/>
          <w:szCs w:val="22"/>
        </w:rPr>
        <w:t> </w:t>
      </w:r>
    </w:p>
    <w:p w14:paraId="283711DC" w14:textId="63B4DDB7" w:rsidR="00DE34F6" w:rsidRPr="00652626" w:rsidRDefault="00DE34F6" w:rsidP="00AF3412">
      <w:pPr>
        <w:tabs>
          <w:tab w:val="left" w:pos="2520"/>
        </w:tabs>
        <w:jc w:val="both"/>
        <w:rPr>
          <w:rFonts w:ascii="Arial" w:hAnsi="Arial" w:cs="Arial"/>
          <w:b/>
          <w:sz w:val="22"/>
          <w:szCs w:val="22"/>
          <w:u w:val="single"/>
        </w:rPr>
      </w:pPr>
    </w:p>
    <w:p w14:paraId="3EA992CF" w14:textId="77777777" w:rsidR="003B136F" w:rsidRPr="00652626" w:rsidRDefault="003B136F" w:rsidP="00AF3412">
      <w:pPr>
        <w:jc w:val="both"/>
        <w:rPr>
          <w:rFonts w:ascii="Arial" w:hAnsi="Arial" w:cs="Arial"/>
          <w:b/>
          <w:sz w:val="22"/>
          <w:szCs w:val="22"/>
        </w:rPr>
      </w:pPr>
      <w:r w:rsidRPr="00652626">
        <w:rPr>
          <w:rFonts w:ascii="Arial" w:hAnsi="Arial" w:cs="Arial"/>
          <w:b/>
          <w:sz w:val="22"/>
          <w:szCs w:val="22"/>
        </w:rPr>
        <w:t>PROPOSAL</w:t>
      </w:r>
    </w:p>
    <w:p w14:paraId="0A71E6DE" w14:textId="77777777" w:rsidR="003B136F" w:rsidRPr="00652626" w:rsidRDefault="003B136F" w:rsidP="00AF3412">
      <w:pPr>
        <w:jc w:val="both"/>
        <w:rPr>
          <w:rFonts w:ascii="Arial" w:hAnsi="Arial" w:cs="Arial"/>
          <w:b/>
          <w:sz w:val="22"/>
          <w:szCs w:val="22"/>
        </w:rPr>
      </w:pPr>
    </w:p>
    <w:p w14:paraId="5A33E198" w14:textId="6E4DFD57" w:rsidR="00684A31" w:rsidRDefault="009A5695" w:rsidP="00684A31">
      <w:pPr>
        <w:spacing w:line="276" w:lineRule="auto"/>
        <w:jc w:val="both"/>
        <w:rPr>
          <w:rFonts w:ascii="Arial" w:hAnsi="Arial" w:cs="Arial"/>
          <w:color w:val="000000"/>
          <w:sz w:val="22"/>
          <w:szCs w:val="22"/>
        </w:rPr>
      </w:pPr>
      <w:r w:rsidRPr="00652626">
        <w:rPr>
          <w:rFonts w:ascii="Arial" w:hAnsi="Arial" w:cs="Arial"/>
          <w:color w:val="000000"/>
          <w:sz w:val="22"/>
          <w:szCs w:val="22"/>
        </w:rPr>
        <w:t xml:space="preserve">Proposed </w:t>
      </w:r>
      <w:r w:rsidR="00947EA9">
        <w:rPr>
          <w:rFonts w:ascii="Arial" w:hAnsi="Arial" w:cs="Arial"/>
          <w:color w:val="000000"/>
          <w:sz w:val="22"/>
          <w:szCs w:val="22"/>
        </w:rPr>
        <w:t xml:space="preserve">demolition of agricultural buildings, as shown within the red line plan below, associated with the Outline planning consent </w:t>
      </w:r>
      <w:r w:rsidR="00525B60" w:rsidRPr="00525B60">
        <w:rPr>
          <w:rFonts w:ascii="Arial" w:hAnsi="Arial" w:cs="Arial"/>
          <w:color w:val="000000"/>
          <w:sz w:val="22"/>
          <w:szCs w:val="22"/>
        </w:rPr>
        <w:t xml:space="preserve">ref. </w:t>
      </w:r>
      <w:r w:rsidR="00525B60">
        <w:rPr>
          <w:rFonts w:ascii="Arial" w:hAnsi="Arial" w:cs="Arial"/>
          <w:color w:val="000000"/>
          <w:sz w:val="22"/>
          <w:szCs w:val="22"/>
        </w:rPr>
        <w:t>P</w:t>
      </w:r>
      <w:r w:rsidR="00525B60" w:rsidRPr="00525B60">
        <w:rPr>
          <w:rFonts w:ascii="Arial" w:hAnsi="Arial" w:cs="Arial"/>
          <w:color w:val="000000"/>
          <w:sz w:val="22"/>
          <w:szCs w:val="22"/>
        </w:rPr>
        <w:t>L/2023/11188 for mixed use development. A Reserves Matters Application has been submitted for the Site and is currently pending approval (ref. PL/2026/01555). The demolition of the barns is required to facilitate the wider development.</w:t>
      </w:r>
    </w:p>
    <w:p w14:paraId="3CDB5381" w14:textId="77777777" w:rsidR="00FD1ED5" w:rsidRDefault="00FD1ED5" w:rsidP="00684A31">
      <w:pPr>
        <w:spacing w:line="276" w:lineRule="auto"/>
        <w:jc w:val="both"/>
        <w:rPr>
          <w:rFonts w:ascii="Arial" w:hAnsi="Arial" w:cs="Arial"/>
          <w:color w:val="000000"/>
          <w:sz w:val="22"/>
          <w:szCs w:val="22"/>
        </w:rPr>
      </w:pPr>
    </w:p>
    <w:p w14:paraId="5AA6D469" w14:textId="39868E8E" w:rsidR="00FD1ED5" w:rsidRDefault="001B71B9" w:rsidP="00684A31">
      <w:pPr>
        <w:spacing w:line="276" w:lineRule="auto"/>
        <w:jc w:val="both"/>
        <w:rPr>
          <w:rFonts w:ascii="Arial" w:hAnsi="Arial" w:cs="Arial"/>
          <w:color w:val="000000"/>
          <w:sz w:val="22"/>
          <w:szCs w:val="22"/>
        </w:rPr>
      </w:pPr>
      <w:r w:rsidRPr="001B71B9">
        <w:rPr>
          <w:rFonts w:ascii="Arial" w:hAnsi="Arial" w:cs="Arial"/>
          <w:noProof/>
          <w:color w:val="000000"/>
          <w:sz w:val="22"/>
          <w:szCs w:val="22"/>
        </w:rPr>
        <w:drawing>
          <wp:inline distT="0" distB="0" distL="0" distR="0" wp14:anchorId="5C0DA6CE" wp14:editId="7FD0B0E9">
            <wp:extent cx="6629400" cy="2818765"/>
            <wp:effectExtent l="0" t="0" r="0" b="635"/>
            <wp:docPr id="32359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9400" cy="2818765"/>
                    </a:xfrm>
                    <a:prstGeom prst="rect">
                      <a:avLst/>
                    </a:prstGeom>
                    <a:noFill/>
                    <a:ln>
                      <a:noFill/>
                    </a:ln>
                  </pic:spPr>
                </pic:pic>
              </a:graphicData>
            </a:graphic>
          </wp:inline>
        </w:drawing>
      </w:r>
    </w:p>
    <w:p w14:paraId="17B9A81F" w14:textId="77777777" w:rsidR="00652626" w:rsidRPr="000D3D15" w:rsidRDefault="00652626" w:rsidP="00684A31">
      <w:pPr>
        <w:spacing w:line="276" w:lineRule="auto"/>
        <w:jc w:val="both"/>
        <w:rPr>
          <w:rFonts w:ascii="Arial" w:hAnsi="Arial" w:cs="Arial"/>
          <w:color w:val="000000"/>
          <w:sz w:val="22"/>
          <w:szCs w:val="22"/>
          <w:highlight w:val="yellow"/>
        </w:rPr>
      </w:pPr>
    </w:p>
    <w:p w14:paraId="340F82EB" w14:textId="77777777" w:rsidR="003B136F" w:rsidRPr="00D100A6" w:rsidRDefault="003B136F" w:rsidP="00AF3412">
      <w:pPr>
        <w:jc w:val="both"/>
        <w:rPr>
          <w:rFonts w:ascii="Arial" w:hAnsi="Arial" w:cs="Arial"/>
          <w:b/>
          <w:sz w:val="22"/>
          <w:szCs w:val="22"/>
        </w:rPr>
      </w:pPr>
      <w:r w:rsidRPr="00D100A6">
        <w:rPr>
          <w:rFonts w:ascii="Arial" w:hAnsi="Arial" w:cs="Arial"/>
          <w:b/>
          <w:sz w:val="22"/>
          <w:szCs w:val="22"/>
        </w:rPr>
        <w:t>SITE DESCRIPTION/CONTEXT</w:t>
      </w:r>
    </w:p>
    <w:p w14:paraId="418625D7" w14:textId="77777777" w:rsidR="003D3155" w:rsidRPr="00D100A6" w:rsidRDefault="003D3155" w:rsidP="00AF3412">
      <w:pPr>
        <w:jc w:val="both"/>
        <w:rPr>
          <w:rFonts w:ascii="Arial" w:hAnsi="Arial" w:cs="Arial"/>
          <w:b/>
          <w:sz w:val="22"/>
          <w:szCs w:val="22"/>
        </w:rPr>
      </w:pPr>
    </w:p>
    <w:p w14:paraId="2B11C6C4" w14:textId="517D1F8A" w:rsidR="00322EA7" w:rsidRPr="00322EA7" w:rsidRDefault="00322EA7" w:rsidP="00322EA7">
      <w:pPr>
        <w:jc w:val="both"/>
        <w:rPr>
          <w:rFonts w:ascii="Arial" w:hAnsi="Arial" w:cs="Arial"/>
          <w:bCs/>
          <w:sz w:val="22"/>
          <w:szCs w:val="22"/>
        </w:rPr>
      </w:pPr>
      <w:r w:rsidRPr="00322EA7">
        <w:rPr>
          <w:rFonts w:ascii="Arial" w:hAnsi="Arial" w:cs="Arial"/>
          <w:bCs/>
          <w:sz w:val="22"/>
          <w:szCs w:val="22"/>
        </w:rPr>
        <w:t xml:space="preserve">The application site </w:t>
      </w:r>
      <w:r>
        <w:rPr>
          <w:rFonts w:ascii="Arial" w:hAnsi="Arial" w:cs="Arial"/>
          <w:bCs/>
          <w:sz w:val="22"/>
          <w:szCs w:val="22"/>
        </w:rPr>
        <w:t xml:space="preserve">relates to the most northern part of a wider development site that </w:t>
      </w:r>
      <w:r w:rsidRPr="00322EA7">
        <w:rPr>
          <w:rFonts w:ascii="Arial" w:hAnsi="Arial" w:cs="Arial"/>
          <w:bCs/>
          <w:sz w:val="22"/>
          <w:szCs w:val="22"/>
        </w:rPr>
        <w:t xml:space="preserve">extends to over 37 hectares. The site is located immediately south of Sandridge Common Road (the A3102) and to the east of Eastern Way. </w:t>
      </w:r>
    </w:p>
    <w:p w14:paraId="640312F6" w14:textId="77777777" w:rsidR="00322EA7" w:rsidRPr="00322EA7" w:rsidRDefault="00322EA7" w:rsidP="00322EA7">
      <w:pPr>
        <w:jc w:val="both"/>
        <w:rPr>
          <w:rFonts w:ascii="Arial" w:hAnsi="Arial" w:cs="Arial"/>
          <w:bCs/>
          <w:sz w:val="22"/>
          <w:szCs w:val="22"/>
        </w:rPr>
      </w:pPr>
    </w:p>
    <w:p w14:paraId="64FB4553" w14:textId="12AE770E" w:rsidR="00322EA7" w:rsidRPr="00322EA7" w:rsidRDefault="00322EA7" w:rsidP="00322EA7">
      <w:pPr>
        <w:jc w:val="both"/>
        <w:rPr>
          <w:rFonts w:ascii="Arial" w:hAnsi="Arial" w:cs="Arial"/>
          <w:bCs/>
          <w:sz w:val="22"/>
          <w:szCs w:val="22"/>
        </w:rPr>
      </w:pPr>
      <w:r w:rsidRPr="00322EA7">
        <w:rPr>
          <w:rFonts w:ascii="Arial" w:hAnsi="Arial" w:cs="Arial"/>
          <w:bCs/>
          <w:sz w:val="22"/>
          <w:szCs w:val="22"/>
        </w:rPr>
        <w:t xml:space="preserve">As shown in the aerial insert above right, Blackmore Farm has a range of agricultural buildings. </w:t>
      </w:r>
    </w:p>
    <w:p w14:paraId="169F78D1" w14:textId="77777777" w:rsidR="00322EA7" w:rsidRPr="00322EA7" w:rsidRDefault="00322EA7" w:rsidP="00322EA7">
      <w:pPr>
        <w:jc w:val="both"/>
        <w:rPr>
          <w:rFonts w:ascii="Arial" w:hAnsi="Arial" w:cs="Arial"/>
          <w:bCs/>
          <w:sz w:val="22"/>
          <w:szCs w:val="22"/>
        </w:rPr>
      </w:pPr>
    </w:p>
    <w:p w14:paraId="66D658BA" w14:textId="77777777" w:rsidR="00322EA7" w:rsidRPr="00322EA7" w:rsidRDefault="00322EA7" w:rsidP="00322EA7">
      <w:pPr>
        <w:jc w:val="both"/>
        <w:rPr>
          <w:rFonts w:ascii="Arial" w:hAnsi="Arial" w:cs="Arial"/>
          <w:bCs/>
          <w:sz w:val="22"/>
          <w:szCs w:val="22"/>
        </w:rPr>
      </w:pPr>
      <w:r w:rsidRPr="00322EA7">
        <w:rPr>
          <w:rFonts w:ascii="Arial" w:hAnsi="Arial" w:cs="Arial"/>
          <w:bCs/>
          <w:sz w:val="22"/>
          <w:szCs w:val="22"/>
        </w:rPr>
        <w:t>To the west, the significant modern town expansion on land to the northeast of Snowberry Lane and south of Sandridge Road is clearly evident – which formed part of a 2004 outline permission for 670 dwellings, which was subject to numerous applications through the years. The site is located just over 2km east of Melksham’s town centre.</w:t>
      </w:r>
    </w:p>
    <w:p w14:paraId="4816B501" w14:textId="77777777" w:rsidR="00322EA7" w:rsidRPr="00322EA7" w:rsidRDefault="00322EA7" w:rsidP="00322EA7">
      <w:pPr>
        <w:jc w:val="both"/>
        <w:rPr>
          <w:rFonts w:ascii="Arial" w:hAnsi="Arial" w:cs="Arial"/>
          <w:bCs/>
          <w:sz w:val="22"/>
          <w:szCs w:val="22"/>
        </w:rPr>
      </w:pPr>
    </w:p>
    <w:p w14:paraId="3D12C462" w14:textId="77777777" w:rsidR="00322EA7" w:rsidRPr="00322EA7" w:rsidRDefault="00322EA7" w:rsidP="00322EA7">
      <w:pPr>
        <w:jc w:val="both"/>
        <w:rPr>
          <w:rFonts w:ascii="Arial" w:hAnsi="Arial" w:cs="Arial"/>
          <w:bCs/>
          <w:sz w:val="22"/>
          <w:szCs w:val="22"/>
        </w:rPr>
      </w:pPr>
      <w:r w:rsidRPr="00322EA7">
        <w:rPr>
          <w:rFonts w:ascii="Arial" w:hAnsi="Arial" w:cs="Arial"/>
          <w:bCs/>
          <w:sz w:val="22"/>
          <w:szCs w:val="22"/>
        </w:rPr>
        <w:t xml:space="preserve">The topography of the site is fairly flat and low lying, gently sloping from the north boundary. </w:t>
      </w:r>
    </w:p>
    <w:p w14:paraId="1404C623" w14:textId="77777777" w:rsidR="00322EA7" w:rsidRPr="00322EA7" w:rsidRDefault="00322EA7" w:rsidP="00322EA7">
      <w:pPr>
        <w:jc w:val="both"/>
        <w:rPr>
          <w:rFonts w:ascii="Arial" w:hAnsi="Arial" w:cs="Arial"/>
          <w:bCs/>
          <w:sz w:val="22"/>
          <w:szCs w:val="22"/>
        </w:rPr>
      </w:pPr>
    </w:p>
    <w:p w14:paraId="1631DAB9" w14:textId="77777777" w:rsidR="00322EA7" w:rsidRPr="00322EA7" w:rsidRDefault="00322EA7" w:rsidP="00322EA7">
      <w:pPr>
        <w:jc w:val="both"/>
        <w:rPr>
          <w:rFonts w:ascii="Arial" w:hAnsi="Arial" w:cs="Arial"/>
          <w:bCs/>
          <w:sz w:val="22"/>
          <w:szCs w:val="22"/>
        </w:rPr>
      </w:pPr>
      <w:r w:rsidRPr="00322EA7">
        <w:rPr>
          <w:rFonts w:ascii="Arial" w:hAnsi="Arial" w:cs="Arial"/>
          <w:bCs/>
          <w:sz w:val="22"/>
          <w:szCs w:val="22"/>
        </w:rPr>
        <w:t xml:space="preserve">Trees are found throughout the site nestling amongst the hedgerows while a small copse of broadleaved trees is located in the southern section of the site. </w:t>
      </w:r>
    </w:p>
    <w:p w14:paraId="11A0B2EB" w14:textId="77777777" w:rsidR="00322EA7" w:rsidRPr="00322EA7" w:rsidRDefault="00322EA7" w:rsidP="00322EA7">
      <w:pPr>
        <w:jc w:val="both"/>
        <w:rPr>
          <w:rFonts w:ascii="Arial" w:hAnsi="Arial" w:cs="Arial"/>
          <w:bCs/>
          <w:sz w:val="22"/>
          <w:szCs w:val="22"/>
        </w:rPr>
      </w:pPr>
    </w:p>
    <w:p w14:paraId="5CFC8E54" w14:textId="77777777" w:rsidR="00322EA7" w:rsidRPr="00322EA7" w:rsidRDefault="00322EA7" w:rsidP="00322EA7">
      <w:pPr>
        <w:jc w:val="both"/>
        <w:rPr>
          <w:rFonts w:ascii="Arial" w:hAnsi="Arial" w:cs="Arial"/>
          <w:bCs/>
          <w:sz w:val="22"/>
          <w:szCs w:val="22"/>
        </w:rPr>
      </w:pPr>
      <w:r w:rsidRPr="00322EA7">
        <w:rPr>
          <w:rFonts w:ascii="Arial" w:hAnsi="Arial" w:cs="Arial"/>
          <w:bCs/>
          <w:sz w:val="22"/>
          <w:szCs w:val="22"/>
        </w:rPr>
        <w:t xml:space="preserve">The site falls within the Avon Open Clay Vale character area while the Wooded Greensand Hill Special Character Area is located approximately 600 metres to the northeast. The site is located within flood zone 1. Some minor areas of the site are subject to surface water flooding associated with Clackers Brook. </w:t>
      </w:r>
    </w:p>
    <w:p w14:paraId="31F83523" w14:textId="77777777" w:rsidR="000F069B" w:rsidRPr="004008C1" w:rsidRDefault="000F069B" w:rsidP="00322EA7">
      <w:pPr>
        <w:jc w:val="both"/>
        <w:rPr>
          <w:rFonts w:ascii="Arial" w:hAnsi="Arial" w:cs="Arial"/>
          <w:b/>
          <w:sz w:val="22"/>
          <w:szCs w:val="22"/>
        </w:rPr>
      </w:pPr>
    </w:p>
    <w:p w14:paraId="7BE08CA6" w14:textId="656FB053" w:rsidR="00E85E15" w:rsidRPr="004008C1" w:rsidRDefault="00E85E15" w:rsidP="00AF3412">
      <w:pPr>
        <w:jc w:val="both"/>
        <w:rPr>
          <w:rFonts w:ascii="Arial" w:hAnsi="Arial" w:cs="Arial"/>
          <w:b/>
          <w:sz w:val="22"/>
          <w:szCs w:val="22"/>
        </w:rPr>
      </w:pPr>
      <w:r w:rsidRPr="004008C1">
        <w:rPr>
          <w:rFonts w:ascii="Arial" w:hAnsi="Arial" w:cs="Arial"/>
          <w:b/>
          <w:sz w:val="22"/>
          <w:szCs w:val="22"/>
        </w:rPr>
        <w:t>PLANNING HISTORY</w:t>
      </w:r>
    </w:p>
    <w:p w14:paraId="072B5E14" w14:textId="77777777" w:rsidR="0010661F" w:rsidRPr="004008C1" w:rsidRDefault="0010661F" w:rsidP="00AF3412">
      <w:pPr>
        <w:jc w:val="both"/>
        <w:rPr>
          <w:rFonts w:ascii="Arial" w:hAnsi="Arial" w:cs="Arial"/>
          <w:b/>
          <w:sz w:val="22"/>
          <w:szCs w:val="22"/>
        </w:rPr>
      </w:pPr>
    </w:p>
    <w:p w14:paraId="0E7F721A" w14:textId="1D35FC0F" w:rsidR="00BB1052" w:rsidRDefault="001F599C" w:rsidP="00AF3412">
      <w:pPr>
        <w:jc w:val="both"/>
        <w:rPr>
          <w:rFonts w:ascii="Arial" w:hAnsi="Arial" w:cs="Arial"/>
          <w:bCs/>
          <w:sz w:val="22"/>
          <w:szCs w:val="22"/>
        </w:rPr>
      </w:pPr>
      <w:r w:rsidRPr="001F599C">
        <w:rPr>
          <w:rFonts w:ascii="Arial" w:hAnsi="Arial" w:cs="Arial"/>
          <w:bCs/>
          <w:sz w:val="22"/>
          <w:szCs w:val="22"/>
        </w:rPr>
        <w:t>PL/2023/11188</w:t>
      </w:r>
      <w:r>
        <w:rPr>
          <w:rFonts w:ascii="Arial" w:hAnsi="Arial" w:cs="Arial"/>
          <w:bCs/>
          <w:sz w:val="22"/>
          <w:szCs w:val="22"/>
        </w:rPr>
        <w:t xml:space="preserve"> - </w:t>
      </w:r>
      <w:r w:rsidR="007C0A98" w:rsidRPr="007C0A98">
        <w:rPr>
          <w:rFonts w:ascii="Arial" w:hAnsi="Arial" w:cs="Arial"/>
          <w:bCs/>
          <w:sz w:val="22"/>
          <w:szCs w:val="22"/>
        </w:rPr>
        <w:t>Demolition of agricultural buildings and development of up to 500 dwellings; up to 5,000 square metres of employment (class E(g)(i)) &amp; class E(g)(ii)); land for primary school (class F1); land for mixed-use hub (class E / class F); open space; provision of access infrastructure from Sandridge Common (A3102); and provision of all associated infrastructure necessary to facilitate the development of the site (Outline application relating to access)</w:t>
      </w:r>
      <w:r w:rsidR="007C0A98">
        <w:rPr>
          <w:rFonts w:ascii="Arial" w:hAnsi="Arial" w:cs="Arial"/>
          <w:bCs/>
          <w:sz w:val="22"/>
          <w:szCs w:val="22"/>
        </w:rPr>
        <w:t xml:space="preserve"> – Approved 12/05/2025</w:t>
      </w:r>
    </w:p>
    <w:p w14:paraId="787FDEAB" w14:textId="77777777" w:rsidR="007C0A98" w:rsidRDefault="007C0A98" w:rsidP="00AF3412">
      <w:pPr>
        <w:jc w:val="both"/>
        <w:rPr>
          <w:rFonts w:ascii="Arial" w:hAnsi="Arial" w:cs="Arial"/>
          <w:bCs/>
          <w:sz w:val="22"/>
          <w:szCs w:val="22"/>
        </w:rPr>
      </w:pPr>
    </w:p>
    <w:p w14:paraId="58215C00" w14:textId="25057F82" w:rsidR="007C0A98" w:rsidRDefault="001973B1" w:rsidP="00AF3412">
      <w:pPr>
        <w:jc w:val="both"/>
        <w:rPr>
          <w:rFonts w:ascii="Arial" w:hAnsi="Arial" w:cs="Arial"/>
          <w:bCs/>
          <w:sz w:val="22"/>
          <w:szCs w:val="22"/>
        </w:rPr>
      </w:pPr>
      <w:r w:rsidRPr="001973B1">
        <w:rPr>
          <w:rFonts w:ascii="Arial" w:hAnsi="Arial" w:cs="Arial"/>
          <w:bCs/>
          <w:sz w:val="22"/>
          <w:szCs w:val="22"/>
        </w:rPr>
        <w:t>PL/2026/01555</w:t>
      </w:r>
      <w:r>
        <w:rPr>
          <w:rFonts w:ascii="Arial" w:hAnsi="Arial" w:cs="Arial"/>
          <w:bCs/>
          <w:sz w:val="22"/>
          <w:szCs w:val="22"/>
        </w:rPr>
        <w:t xml:space="preserve"> - </w:t>
      </w:r>
      <w:r w:rsidRPr="001973B1">
        <w:rPr>
          <w:rFonts w:ascii="Arial" w:hAnsi="Arial" w:cs="Arial"/>
          <w:bCs/>
          <w:sz w:val="22"/>
          <w:szCs w:val="22"/>
        </w:rPr>
        <w:t>A reserved matters application (appearance, layout, scale and landscaping) for 229 dwellings and associated infrastructure – Reserved Matters pursuant to Outline permission PL/2023/11188</w:t>
      </w:r>
      <w:r>
        <w:rPr>
          <w:rFonts w:ascii="Arial" w:hAnsi="Arial" w:cs="Arial"/>
          <w:bCs/>
          <w:sz w:val="22"/>
          <w:szCs w:val="22"/>
        </w:rPr>
        <w:t xml:space="preserve"> - Pending</w:t>
      </w:r>
    </w:p>
    <w:p w14:paraId="6F5AF3F8" w14:textId="77777777" w:rsidR="007C0A98" w:rsidRDefault="007C0A98" w:rsidP="00AF3412">
      <w:pPr>
        <w:jc w:val="both"/>
        <w:rPr>
          <w:rFonts w:ascii="Arial" w:hAnsi="Arial" w:cs="Arial"/>
          <w:bCs/>
          <w:sz w:val="22"/>
          <w:szCs w:val="22"/>
        </w:rPr>
      </w:pPr>
    </w:p>
    <w:p w14:paraId="7A6BCA74" w14:textId="77777777" w:rsidR="00B15AD7" w:rsidRPr="00751F8A" w:rsidRDefault="00B15AD7" w:rsidP="00AF3412">
      <w:pPr>
        <w:jc w:val="both"/>
        <w:rPr>
          <w:rFonts w:ascii="Arial" w:hAnsi="Arial" w:cs="Arial"/>
          <w:sz w:val="22"/>
          <w:szCs w:val="22"/>
        </w:rPr>
      </w:pPr>
      <w:r w:rsidRPr="00751F8A">
        <w:rPr>
          <w:rFonts w:ascii="Arial" w:hAnsi="Arial" w:cs="Arial"/>
          <w:b/>
          <w:sz w:val="22"/>
          <w:szCs w:val="22"/>
        </w:rPr>
        <w:t>POLICIES</w:t>
      </w:r>
      <w:r w:rsidRPr="00751F8A">
        <w:rPr>
          <w:rFonts w:ascii="Arial" w:hAnsi="Arial" w:cs="Arial"/>
          <w:sz w:val="22"/>
          <w:szCs w:val="22"/>
        </w:rPr>
        <w:t xml:space="preserve">  </w:t>
      </w:r>
    </w:p>
    <w:p w14:paraId="1442BB94" w14:textId="77777777" w:rsidR="006E26D9" w:rsidRPr="00751F8A" w:rsidRDefault="006E26D9" w:rsidP="00AF3412">
      <w:pPr>
        <w:jc w:val="both"/>
        <w:rPr>
          <w:rFonts w:ascii="Arial" w:hAnsi="Arial" w:cs="Arial"/>
          <w:sz w:val="22"/>
          <w:szCs w:val="22"/>
        </w:rPr>
      </w:pPr>
    </w:p>
    <w:p w14:paraId="17065C3A" w14:textId="74BF5194" w:rsidR="004409DD" w:rsidRPr="00751F8A" w:rsidRDefault="004409DD" w:rsidP="00AF3412">
      <w:pPr>
        <w:jc w:val="both"/>
        <w:rPr>
          <w:rFonts w:ascii="Arial" w:hAnsi="Arial" w:cs="Arial"/>
          <w:color w:val="000000" w:themeColor="text1"/>
          <w:sz w:val="22"/>
          <w:szCs w:val="22"/>
        </w:rPr>
      </w:pPr>
      <w:r w:rsidRPr="00751F8A">
        <w:rPr>
          <w:rFonts w:ascii="Arial" w:hAnsi="Arial" w:cs="Arial"/>
          <w:color w:val="000000" w:themeColor="text1"/>
          <w:sz w:val="22"/>
          <w:szCs w:val="22"/>
        </w:rPr>
        <w:t>Policy which is relevant to the proposal: Class B of Part 11 of Schedule 2 of The Town and</w:t>
      </w:r>
      <w:r w:rsidR="00AF3412" w:rsidRPr="00751F8A">
        <w:rPr>
          <w:rFonts w:ascii="Arial" w:hAnsi="Arial" w:cs="Arial"/>
          <w:color w:val="000000" w:themeColor="text1"/>
          <w:sz w:val="22"/>
          <w:szCs w:val="22"/>
        </w:rPr>
        <w:t xml:space="preserve"> </w:t>
      </w:r>
      <w:r w:rsidRPr="00751F8A">
        <w:rPr>
          <w:rFonts w:ascii="Arial" w:hAnsi="Arial" w:cs="Arial"/>
          <w:color w:val="000000" w:themeColor="text1"/>
          <w:sz w:val="22"/>
          <w:szCs w:val="22"/>
        </w:rPr>
        <w:t>Country Planning (General Permitted Development) (England) Order 2015.</w:t>
      </w:r>
    </w:p>
    <w:p w14:paraId="5F22E4EC" w14:textId="77777777" w:rsidR="00B15AD7" w:rsidRPr="000D3D15" w:rsidRDefault="00B15AD7" w:rsidP="00AF3412">
      <w:pPr>
        <w:jc w:val="both"/>
        <w:rPr>
          <w:rFonts w:ascii="Arial" w:hAnsi="Arial" w:cs="Arial"/>
          <w:b/>
          <w:sz w:val="22"/>
          <w:szCs w:val="22"/>
          <w:highlight w:val="yellow"/>
        </w:rPr>
      </w:pPr>
    </w:p>
    <w:p w14:paraId="0A03C8CE" w14:textId="0B964174" w:rsidR="003B136F" w:rsidRPr="00751F8A" w:rsidRDefault="003B136F" w:rsidP="00AF3412">
      <w:pPr>
        <w:jc w:val="both"/>
        <w:rPr>
          <w:rFonts w:ascii="Arial" w:hAnsi="Arial" w:cs="Arial"/>
          <w:b/>
          <w:sz w:val="22"/>
          <w:szCs w:val="22"/>
        </w:rPr>
      </w:pPr>
      <w:r w:rsidRPr="00751F8A">
        <w:rPr>
          <w:rFonts w:ascii="Arial" w:hAnsi="Arial" w:cs="Arial"/>
          <w:b/>
          <w:sz w:val="22"/>
          <w:szCs w:val="22"/>
        </w:rPr>
        <w:t>CONSULTATION</w:t>
      </w:r>
    </w:p>
    <w:p w14:paraId="4E3B3D29" w14:textId="77777777" w:rsidR="003B136F" w:rsidRPr="00751F8A" w:rsidRDefault="003B136F" w:rsidP="00AF3412">
      <w:pPr>
        <w:jc w:val="both"/>
        <w:rPr>
          <w:rFonts w:ascii="Arial" w:hAnsi="Arial" w:cs="Arial"/>
          <w:b/>
          <w:sz w:val="22"/>
          <w:szCs w:val="22"/>
        </w:rPr>
      </w:pPr>
    </w:p>
    <w:p w14:paraId="51A61BD2" w14:textId="410627BC" w:rsidR="003B136F" w:rsidRPr="00751F8A" w:rsidRDefault="008F2F96" w:rsidP="00AF3412">
      <w:pPr>
        <w:jc w:val="both"/>
        <w:rPr>
          <w:rFonts w:ascii="Arial" w:hAnsi="Arial" w:cs="Arial"/>
          <w:sz w:val="22"/>
          <w:szCs w:val="22"/>
        </w:rPr>
      </w:pPr>
      <w:r w:rsidRPr="00751F8A">
        <w:rPr>
          <w:rFonts w:ascii="Arial" w:hAnsi="Arial" w:cs="Arial"/>
          <w:sz w:val="22"/>
          <w:szCs w:val="22"/>
        </w:rPr>
        <w:t>None</w:t>
      </w:r>
    </w:p>
    <w:p w14:paraId="6C861D87" w14:textId="77777777" w:rsidR="003B136F" w:rsidRPr="00751F8A" w:rsidRDefault="003B136F" w:rsidP="00AF3412">
      <w:pPr>
        <w:jc w:val="both"/>
        <w:rPr>
          <w:rFonts w:ascii="Arial" w:hAnsi="Arial" w:cs="Arial"/>
          <w:b/>
          <w:sz w:val="22"/>
          <w:szCs w:val="22"/>
        </w:rPr>
      </w:pPr>
    </w:p>
    <w:p w14:paraId="4105122F" w14:textId="1E59C174" w:rsidR="003B136F" w:rsidRPr="00751F8A" w:rsidRDefault="00B15AD7" w:rsidP="00AF3412">
      <w:pPr>
        <w:jc w:val="both"/>
        <w:rPr>
          <w:rFonts w:ascii="Arial" w:hAnsi="Arial" w:cs="Arial"/>
          <w:b/>
          <w:sz w:val="22"/>
          <w:szCs w:val="22"/>
        </w:rPr>
      </w:pPr>
      <w:r w:rsidRPr="00751F8A">
        <w:rPr>
          <w:rFonts w:ascii="Arial" w:hAnsi="Arial" w:cs="Arial"/>
          <w:b/>
          <w:sz w:val="22"/>
          <w:szCs w:val="22"/>
        </w:rPr>
        <w:t>REPRESENTATIONS</w:t>
      </w:r>
    </w:p>
    <w:p w14:paraId="7A975F53" w14:textId="77777777" w:rsidR="003B136F" w:rsidRPr="00751F8A" w:rsidRDefault="003B136F" w:rsidP="00AF3412">
      <w:pPr>
        <w:jc w:val="both"/>
        <w:rPr>
          <w:rFonts w:ascii="Arial" w:hAnsi="Arial" w:cs="Arial"/>
          <w:b/>
          <w:sz w:val="22"/>
          <w:szCs w:val="22"/>
        </w:rPr>
      </w:pPr>
    </w:p>
    <w:p w14:paraId="1C30F395" w14:textId="6839B65D" w:rsidR="00B15AD7" w:rsidRPr="00751F8A" w:rsidRDefault="008F2F96" w:rsidP="00AF3412">
      <w:pPr>
        <w:jc w:val="both"/>
        <w:rPr>
          <w:rFonts w:ascii="Arial" w:hAnsi="Arial" w:cs="Arial"/>
          <w:sz w:val="22"/>
          <w:szCs w:val="22"/>
        </w:rPr>
      </w:pPr>
      <w:r w:rsidRPr="00751F8A">
        <w:rPr>
          <w:rFonts w:ascii="Arial" w:hAnsi="Arial" w:cs="Arial"/>
          <w:sz w:val="22"/>
          <w:szCs w:val="22"/>
        </w:rPr>
        <w:t>None</w:t>
      </w:r>
    </w:p>
    <w:p w14:paraId="3EABCBBD" w14:textId="77777777" w:rsidR="00B15AD7" w:rsidRPr="00751F8A" w:rsidRDefault="00B15AD7" w:rsidP="00AF3412">
      <w:pPr>
        <w:jc w:val="both"/>
        <w:rPr>
          <w:rFonts w:ascii="Arial" w:hAnsi="Arial" w:cs="Arial"/>
          <w:b/>
          <w:sz w:val="22"/>
          <w:szCs w:val="22"/>
        </w:rPr>
      </w:pPr>
    </w:p>
    <w:p w14:paraId="3AC358C6" w14:textId="77777777" w:rsidR="008F2F96" w:rsidRPr="00751F8A" w:rsidRDefault="008F2F96" w:rsidP="00AF3412">
      <w:pPr>
        <w:jc w:val="both"/>
        <w:rPr>
          <w:rStyle w:val="fontstyle11"/>
          <w:rFonts w:ascii="Arial" w:hAnsi="Arial" w:cs="Arial"/>
          <w:color w:val="000000" w:themeColor="text1"/>
        </w:rPr>
      </w:pPr>
      <w:r w:rsidRPr="00751F8A">
        <w:rPr>
          <w:rStyle w:val="fontstyle01"/>
          <w:rFonts w:ascii="Arial" w:hAnsi="Arial" w:cs="Arial"/>
          <w:color w:val="000000" w:themeColor="text1"/>
        </w:rPr>
        <w:t>ASSESSMENT</w:t>
      </w:r>
      <w:r w:rsidRPr="00751F8A">
        <w:rPr>
          <w:rStyle w:val="fontstyle11"/>
          <w:rFonts w:ascii="Arial" w:hAnsi="Arial" w:cs="Arial"/>
          <w:color w:val="000000" w:themeColor="text1"/>
        </w:rPr>
        <w:t>:</w:t>
      </w:r>
    </w:p>
    <w:p w14:paraId="733180EA" w14:textId="6B220CF0"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11"/>
          <w:rFonts w:ascii="Arial" w:hAnsi="Arial" w:cs="Arial"/>
          <w:color w:val="000000" w:themeColor="text1"/>
        </w:rPr>
        <w:t xml:space="preserve">This is an application for prior notification of proposed demolition, submitted under Class B of Part 11 of Schedule 2 of The Town and Country Planning (General </w:t>
      </w:r>
      <w:r w:rsidR="00AD4323" w:rsidRPr="00751F8A">
        <w:rPr>
          <w:rStyle w:val="fontstyle11"/>
          <w:rFonts w:ascii="Arial" w:hAnsi="Arial" w:cs="Arial"/>
          <w:color w:val="000000" w:themeColor="text1"/>
        </w:rPr>
        <w:t>Permitted Development</w:t>
      </w:r>
      <w:r w:rsidRPr="00751F8A">
        <w:rPr>
          <w:rStyle w:val="fontstyle11"/>
          <w:rFonts w:ascii="Arial" w:hAnsi="Arial" w:cs="Arial"/>
          <w:color w:val="000000" w:themeColor="text1"/>
        </w:rPr>
        <w:t>) (England) Order 2015 (As amended)</w:t>
      </w:r>
      <w:r w:rsidR="00A77DD1" w:rsidRPr="00751F8A">
        <w:rPr>
          <w:rStyle w:val="fontstyle11"/>
          <w:rFonts w:ascii="Arial" w:hAnsi="Arial" w:cs="Arial"/>
          <w:color w:val="000000" w:themeColor="text1"/>
        </w:rPr>
        <w:t>.</w:t>
      </w:r>
    </w:p>
    <w:p w14:paraId="4D2B7ACE"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11"/>
          <w:rFonts w:ascii="Arial" w:hAnsi="Arial" w:cs="Arial"/>
          <w:color w:val="000000" w:themeColor="text1"/>
        </w:rPr>
        <w:t>Permitted development rights exist where planning permission is deemed to be granted for demolition without the need to make a formal planning application. Before exercising Permitted development rights, conditions need to be met, including:</w:t>
      </w:r>
    </w:p>
    <w:p w14:paraId="18131CF6"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31"/>
          <w:rFonts w:ascii="Arial" w:hAnsi="Arial" w:cs="Arial"/>
          <w:color w:val="000000" w:themeColor="text1"/>
        </w:rPr>
        <w:t xml:space="preserve">• </w:t>
      </w:r>
      <w:r w:rsidRPr="00751F8A">
        <w:rPr>
          <w:rStyle w:val="fontstyle11"/>
          <w:rFonts w:ascii="Arial" w:hAnsi="Arial" w:cs="Arial"/>
          <w:color w:val="000000" w:themeColor="text1"/>
        </w:rPr>
        <w:t>Before demolishing any building, the developer should apply to the local planning authority (LPA) for a determination as to whether the prior approval of the authority will be required as to the method of demolition and any proposed restoration of the site; and</w:t>
      </w:r>
    </w:p>
    <w:p w14:paraId="304AC0F7"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31"/>
          <w:rFonts w:ascii="Arial" w:hAnsi="Arial" w:cs="Arial"/>
          <w:color w:val="000000" w:themeColor="text1"/>
        </w:rPr>
        <w:t xml:space="preserve">• </w:t>
      </w:r>
      <w:r w:rsidRPr="00751F8A">
        <w:rPr>
          <w:rStyle w:val="fontstyle11"/>
          <w:rFonts w:ascii="Arial" w:hAnsi="Arial" w:cs="Arial"/>
          <w:color w:val="000000" w:themeColor="text1"/>
        </w:rPr>
        <w:t>Where demolition is urgently required in the interests of safety or health, the developer should provide to the LPA, as soon as reasonably practical, a written justification for the demolition.</w:t>
      </w:r>
    </w:p>
    <w:p w14:paraId="3ED99507"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11"/>
          <w:rFonts w:ascii="Arial" w:hAnsi="Arial" w:cs="Arial"/>
          <w:color w:val="000000" w:themeColor="text1"/>
        </w:rPr>
        <w:t>The legislation indicates that the Local Planning Authority can only consider the proposed method of demolition and the proposed restoration of the site. The purpose of this control is to give local planning authorities the opportunity to regulate the details of demolition to minimise the impact of that activity on local amenity.</w:t>
      </w:r>
    </w:p>
    <w:p w14:paraId="52B28BB5" w14:textId="77777777" w:rsidR="00B15AD7" w:rsidRPr="000D3D15" w:rsidRDefault="00B15AD7" w:rsidP="00AF3412">
      <w:pPr>
        <w:jc w:val="both"/>
        <w:rPr>
          <w:rFonts w:ascii="Arial" w:hAnsi="Arial" w:cs="Arial"/>
          <w:sz w:val="22"/>
          <w:szCs w:val="22"/>
          <w:highlight w:val="yellow"/>
        </w:rPr>
      </w:pPr>
    </w:p>
    <w:p w14:paraId="1F28F9CE" w14:textId="5EBDAFC8" w:rsidR="00892C3F" w:rsidRPr="004C3CC6" w:rsidRDefault="00892C3F" w:rsidP="00AF3412">
      <w:pPr>
        <w:jc w:val="both"/>
        <w:rPr>
          <w:rFonts w:ascii="Arial" w:hAnsi="Arial" w:cs="Arial"/>
          <w:color w:val="000000" w:themeColor="text1"/>
          <w:sz w:val="22"/>
          <w:szCs w:val="22"/>
          <w:u w:val="single"/>
        </w:rPr>
      </w:pPr>
      <w:r w:rsidRPr="004C3CC6">
        <w:rPr>
          <w:rFonts w:ascii="Arial" w:hAnsi="Arial" w:cs="Arial"/>
          <w:color w:val="000000" w:themeColor="text1"/>
          <w:sz w:val="22"/>
          <w:szCs w:val="22"/>
          <w:u w:val="single"/>
        </w:rPr>
        <w:t>LEGISLATION</w:t>
      </w:r>
      <w:r w:rsidR="000D3693" w:rsidRPr="004C3CC6">
        <w:rPr>
          <w:rFonts w:ascii="Arial" w:hAnsi="Arial" w:cs="Arial"/>
          <w:color w:val="000000" w:themeColor="text1"/>
          <w:sz w:val="22"/>
          <w:szCs w:val="22"/>
          <w:u w:val="single"/>
        </w:rPr>
        <w:t xml:space="preserve"> IN FULL BELOW</w:t>
      </w:r>
    </w:p>
    <w:p w14:paraId="02041D7F" w14:textId="77777777" w:rsidR="00892C3F" w:rsidRPr="004C3CC6" w:rsidRDefault="00892C3F" w:rsidP="00AF3412">
      <w:pPr>
        <w:jc w:val="both"/>
        <w:rPr>
          <w:rFonts w:ascii="Arial" w:hAnsi="Arial" w:cs="Arial"/>
          <w:b/>
          <w:bCs/>
          <w:color w:val="000000" w:themeColor="text1"/>
          <w:sz w:val="22"/>
          <w:szCs w:val="22"/>
        </w:rPr>
      </w:pPr>
    </w:p>
    <w:p w14:paraId="72EC3373"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Part 11, Class B of the GPDO</w:t>
      </w:r>
    </w:p>
    <w:p w14:paraId="6A7ECA53" w14:textId="77777777" w:rsidR="00892C3F" w:rsidRPr="004C3CC6" w:rsidRDefault="00892C3F" w:rsidP="00AF3412">
      <w:pPr>
        <w:jc w:val="both"/>
        <w:rPr>
          <w:rFonts w:ascii="Arial" w:hAnsi="Arial" w:cs="Arial"/>
          <w:i/>
          <w:iCs/>
          <w:color w:val="000000" w:themeColor="text1"/>
          <w:sz w:val="22"/>
          <w:szCs w:val="22"/>
        </w:rPr>
      </w:pPr>
    </w:p>
    <w:p w14:paraId="1D24B33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Permitted development</w:t>
      </w:r>
    </w:p>
    <w:p w14:paraId="23FAF488" w14:textId="77777777" w:rsidR="00892C3F" w:rsidRPr="004C3CC6" w:rsidRDefault="00892C3F" w:rsidP="00AF3412">
      <w:pPr>
        <w:jc w:val="both"/>
        <w:rPr>
          <w:rFonts w:ascii="Arial" w:hAnsi="Arial" w:cs="Arial"/>
          <w:i/>
          <w:iCs/>
          <w:color w:val="000000" w:themeColor="text1"/>
          <w:sz w:val="22"/>
          <w:szCs w:val="22"/>
        </w:rPr>
      </w:pPr>
    </w:p>
    <w:p w14:paraId="6D83D2C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Any building operation consisting of the demolition of a building.</w:t>
      </w:r>
    </w:p>
    <w:p w14:paraId="753B1B06" w14:textId="77777777" w:rsidR="00892C3F" w:rsidRPr="004C3CC6" w:rsidRDefault="00892C3F" w:rsidP="00AF3412">
      <w:pPr>
        <w:jc w:val="both"/>
        <w:rPr>
          <w:rFonts w:ascii="Arial" w:hAnsi="Arial" w:cs="Arial"/>
          <w:i/>
          <w:iCs/>
          <w:color w:val="000000" w:themeColor="text1"/>
          <w:sz w:val="22"/>
          <w:szCs w:val="22"/>
        </w:rPr>
      </w:pPr>
    </w:p>
    <w:p w14:paraId="7788AE7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Development not permitted</w:t>
      </w:r>
    </w:p>
    <w:p w14:paraId="519ACE3F" w14:textId="77777777" w:rsidR="00892C3F" w:rsidRPr="004C3CC6" w:rsidRDefault="00892C3F" w:rsidP="00AF3412">
      <w:pPr>
        <w:jc w:val="both"/>
        <w:rPr>
          <w:rFonts w:ascii="Arial" w:hAnsi="Arial" w:cs="Arial"/>
          <w:i/>
          <w:iCs/>
          <w:color w:val="000000" w:themeColor="text1"/>
          <w:sz w:val="22"/>
          <w:szCs w:val="22"/>
        </w:rPr>
      </w:pPr>
    </w:p>
    <w:p w14:paraId="0B820456" w14:textId="77777777" w:rsidR="00EA1B62"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B.1 Development is not permitted by Class B if</w:t>
      </w:r>
      <w:r w:rsidR="00F220EE" w:rsidRPr="004C3CC6">
        <w:rPr>
          <w:rFonts w:ascii="Arial" w:hAnsi="Arial" w:cs="Arial"/>
          <w:i/>
          <w:iCs/>
          <w:color w:val="000000" w:themeColor="text1"/>
          <w:sz w:val="22"/>
          <w:szCs w:val="22"/>
        </w:rPr>
        <w:t xml:space="preserve"> </w:t>
      </w:r>
    </w:p>
    <w:p w14:paraId="40A19373" w14:textId="77777777" w:rsidR="00EA1B62" w:rsidRPr="004C3CC6" w:rsidRDefault="00EA1B62" w:rsidP="00AF3412">
      <w:pPr>
        <w:jc w:val="both"/>
        <w:rPr>
          <w:rFonts w:ascii="Arial" w:hAnsi="Arial" w:cs="Arial"/>
          <w:i/>
          <w:iCs/>
          <w:color w:val="000000" w:themeColor="text1"/>
          <w:sz w:val="22"/>
          <w:szCs w:val="22"/>
        </w:rPr>
      </w:pPr>
    </w:p>
    <w:p w14:paraId="3AE722D3" w14:textId="15ED033A"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 the building has been rendered unsafe or otherwise uninhabitable by the action of any person with an interest in the land</w:t>
      </w:r>
    </w:p>
    <w:p w14:paraId="502FCD9F" w14:textId="77777777" w:rsidR="00892C3F" w:rsidRPr="004C3CC6" w:rsidRDefault="00892C3F" w:rsidP="00AF3412">
      <w:pPr>
        <w:jc w:val="both"/>
        <w:rPr>
          <w:rFonts w:ascii="Arial" w:hAnsi="Arial" w:cs="Arial"/>
          <w:i/>
          <w:iCs/>
          <w:color w:val="000000" w:themeColor="text1"/>
          <w:sz w:val="22"/>
          <w:szCs w:val="22"/>
        </w:rPr>
      </w:pPr>
    </w:p>
    <w:p w14:paraId="54F025DA"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the demolition is relevant demolition for the purposes of section 196D of the Act (demolition of an unlisted building etc, building in a conservation area)</w:t>
      </w:r>
    </w:p>
    <w:p w14:paraId="1BE8F4EA" w14:textId="77777777" w:rsidR="00892C3F" w:rsidRPr="004C3CC6" w:rsidRDefault="00892C3F" w:rsidP="00AF3412">
      <w:pPr>
        <w:jc w:val="both"/>
        <w:rPr>
          <w:rFonts w:ascii="Arial" w:hAnsi="Arial" w:cs="Arial"/>
          <w:i/>
          <w:iCs/>
          <w:color w:val="000000" w:themeColor="text1"/>
          <w:sz w:val="22"/>
          <w:szCs w:val="22"/>
        </w:rPr>
      </w:pPr>
    </w:p>
    <w:p w14:paraId="53086AE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 the building is used, or was last used, for a purpose falling within—</w:t>
      </w:r>
    </w:p>
    <w:p w14:paraId="04F92A96"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article 3(6)(p) (drinking establishments etc.) of the Use Classes Order; or</w:t>
      </w:r>
    </w:p>
    <w:p w14:paraId="65E35EB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article 3(6)(q) (drinking establishments with expanded food provision) of that Order</w:t>
      </w:r>
    </w:p>
    <w:p w14:paraId="5EB62C82" w14:textId="77777777" w:rsidR="00892C3F" w:rsidRPr="004C3CC6" w:rsidRDefault="00892C3F" w:rsidP="00AF3412">
      <w:pPr>
        <w:jc w:val="both"/>
        <w:rPr>
          <w:rFonts w:ascii="Arial" w:hAnsi="Arial" w:cs="Arial"/>
          <w:i/>
          <w:iCs/>
          <w:color w:val="000000" w:themeColor="text1"/>
          <w:sz w:val="22"/>
          <w:szCs w:val="22"/>
        </w:rPr>
      </w:pPr>
    </w:p>
    <w:p w14:paraId="0DD66BB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d) the building is used, or was last used, for the purpose of-</w:t>
      </w:r>
    </w:p>
    <w:p w14:paraId="75F01CC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a concert hall</w:t>
      </w:r>
    </w:p>
    <w:p w14:paraId="178E014D"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a venue for live music performance; or</w:t>
      </w:r>
    </w:p>
    <w:p w14:paraId="3DD4A13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(iii) a theatre: or</w:t>
      </w:r>
    </w:p>
    <w:p w14:paraId="2138B3D0" w14:textId="77777777" w:rsidR="00892C3F" w:rsidRPr="004C3CC6" w:rsidRDefault="00892C3F" w:rsidP="00AF3412">
      <w:pPr>
        <w:jc w:val="both"/>
        <w:rPr>
          <w:rFonts w:ascii="Arial" w:hAnsi="Arial" w:cs="Arial"/>
          <w:i/>
          <w:iCs/>
          <w:color w:val="000000" w:themeColor="text1"/>
          <w:sz w:val="22"/>
          <w:szCs w:val="22"/>
        </w:rPr>
      </w:pPr>
    </w:p>
    <w:p w14:paraId="1756F25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e) the demolition relates to a statue, memorial or monument in place for a period of at least 10 years on the date of any proposed demolition, other than a commemorative structure-</w:t>
      </w:r>
    </w:p>
    <w:p w14:paraId="7D9B4A17"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that is a listed building</w:t>
      </w:r>
    </w:p>
    <w:p w14:paraId="497662CB"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that is a scheduled monument</w:t>
      </w:r>
    </w:p>
    <w:p w14:paraId="5DB8EB1F"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(iii) within a cemetery, on consecrated land, or within the curtilage of a place of public worship</w:t>
      </w:r>
    </w:p>
    <w:p w14:paraId="1A20FB4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(iv) within the grounds of a museum or art gallery; or(v) within the curtilage of a dwelling house</w:t>
      </w:r>
    </w:p>
    <w:p w14:paraId="7E538ACE" w14:textId="77777777" w:rsidR="00892C3F" w:rsidRPr="004C3CC6" w:rsidRDefault="00892C3F" w:rsidP="00AF3412">
      <w:pPr>
        <w:jc w:val="both"/>
        <w:rPr>
          <w:rFonts w:ascii="Arial" w:hAnsi="Arial" w:cs="Arial"/>
          <w:i/>
          <w:iCs/>
          <w:color w:val="000000" w:themeColor="text1"/>
          <w:sz w:val="22"/>
          <w:szCs w:val="22"/>
        </w:rPr>
      </w:pPr>
    </w:p>
    <w:p w14:paraId="660108C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Class B Conditions:</w:t>
      </w:r>
    </w:p>
    <w:p w14:paraId="50B9C122" w14:textId="77777777" w:rsidR="00892C3F" w:rsidRPr="004C3CC6" w:rsidRDefault="00892C3F" w:rsidP="00AF3412">
      <w:pPr>
        <w:jc w:val="both"/>
        <w:rPr>
          <w:rFonts w:ascii="Arial" w:hAnsi="Arial" w:cs="Arial"/>
          <w:i/>
          <w:iCs/>
          <w:color w:val="000000" w:themeColor="text1"/>
          <w:sz w:val="22"/>
          <w:szCs w:val="22"/>
        </w:rPr>
      </w:pPr>
    </w:p>
    <w:p w14:paraId="01331A36"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B.2 Development is permitted by Class B subject to the following conditions—</w:t>
      </w:r>
    </w:p>
    <w:p w14:paraId="20812977" w14:textId="77777777" w:rsidR="00892C3F" w:rsidRPr="004C3CC6" w:rsidRDefault="00892C3F" w:rsidP="00AF3412">
      <w:pPr>
        <w:jc w:val="both"/>
        <w:rPr>
          <w:rFonts w:ascii="Arial" w:hAnsi="Arial" w:cs="Arial"/>
          <w:i/>
          <w:iCs/>
          <w:color w:val="000000" w:themeColor="text1"/>
          <w:sz w:val="22"/>
          <w:szCs w:val="22"/>
        </w:rPr>
      </w:pPr>
    </w:p>
    <w:p w14:paraId="16207547"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 where demolition is urgently necessary in the interest of safety or health and the measures immediately necessary in such interest are the demolition of the building, the developer must, as soon as reasonably practicable, give the local planning authority a written justification of the demolition;</w:t>
      </w:r>
    </w:p>
    <w:p w14:paraId="763FE8DD" w14:textId="77777777" w:rsidR="00892C3F" w:rsidRPr="004C3CC6" w:rsidRDefault="00892C3F" w:rsidP="00AF3412">
      <w:pPr>
        <w:jc w:val="both"/>
        <w:rPr>
          <w:rFonts w:ascii="Arial" w:hAnsi="Arial" w:cs="Arial"/>
          <w:i/>
          <w:iCs/>
          <w:color w:val="000000" w:themeColor="text1"/>
          <w:sz w:val="22"/>
          <w:szCs w:val="22"/>
        </w:rPr>
      </w:pPr>
    </w:p>
    <w:p w14:paraId="0CD55419"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where demolition does not fall within paragraph (a) and is not excluded demolition:</w:t>
      </w:r>
    </w:p>
    <w:p w14:paraId="6F07EADE" w14:textId="77777777" w:rsidR="00892C3F" w:rsidRPr="004C3CC6" w:rsidRDefault="00892C3F" w:rsidP="00AF3412">
      <w:pPr>
        <w:jc w:val="both"/>
        <w:rPr>
          <w:rFonts w:ascii="Arial" w:hAnsi="Arial" w:cs="Arial"/>
          <w:i/>
          <w:iCs/>
          <w:color w:val="000000" w:themeColor="text1"/>
          <w:sz w:val="22"/>
          <w:szCs w:val="22"/>
        </w:rPr>
      </w:pPr>
    </w:p>
    <w:p w14:paraId="1DCA31C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the developer must, before beginning the development, apply for the local planning authority for a determination as to whether the prior approval of the authority will be required as to the method of demolition and any proposed restoration of the site.</w:t>
      </w:r>
    </w:p>
    <w:p w14:paraId="70E52F5B"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an application described in paragraph (b)(i) must be accompanied by a written description of the proposed development, a statement that a notice has been posted in accordance with paragraph (b)</w:t>
      </w:r>
    </w:p>
    <w:p w14:paraId="2356A48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(iv) and any fee required to be paid.</w:t>
      </w:r>
    </w:p>
    <w:p w14:paraId="4DF1B8D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 xml:space="preserve">(iv)subject to paragraph (b)(v), the applicant must display a site notice by site display on or near the land on which the building to be demolished is sited and must leave the notice in place for not less than 21 days in </w:t>
      </w:r>
      <w:r w:rsidRPr="004C3CC6">
        <w:rPr>
          <w:rFonts w:ascii="Arial" w:hAnsi="Arial" w:cs="Arial"/>
          <w:i/>
          <w:iCs/>
          <w:color w:val="000000" w:themeColor="text1"/>
          <w:sz w:val="22"/>
          <w:szCs w:val="22"/>
        </w:rPr>
        <w:lastRenderedPageBreak/>
        <w:t>the period of 28 days beginning with the date on which the application was submitted to the local planning authority;</w:t>
      </w:r>
    </w:p>
    <w:p w14:paraId="4D4BD62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(v)where the site notice is, without any fault or intention of the applicant, removed, obscured or defaced before the period of 21 days referred to in paragraph (b)(iv) has elapsed, the applicant is treated as having complied with the requirements of that paragraph if the applicant has taken reasonable steps for protection of the notice and, if need be, its replacement;</w:t>
      </w:r>
    </w:p>
    <w:p w14:paraId="7162B6A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(vii) the development must not begin before the occurrence of one of the following—</w:t>
      </w:r>
    </w:p>
    <w:p w14:paraId="73054E59" w14:textId="77777777" w:rsidR="00892C3F" w:rsidRPr="004C3CC6" w:rsidRDefault="00892C3F" w:rsidP="00AF3412">
      <w:pPr>
        <w:jc w:val="both"/>
        <w:rPr>
          <w:rFonts w:ascii="Arial" w:hAnsi="Arial" w:cs="Arial"/>
          <w:i/>
          <w:iCs/>
          <w:color w:val="000000" w:themeColor="text1"/>
          <w:sz w:val="22"/>
          <w:szCs w:val="22"/>
        </w:rPr>
      </w:pPr>
    </w:p>
    <w:p w14:paraId="2D9BA2F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(aa)the receipt by the applicant from the local planning authority of a written notice of their determination that such prior approval is not required;</w:t>
      </w:r>
    </w:p>
    <w:p w14:paraId="46C6E61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(bb)where the local planning authority give the applicant notice within 28 days following the date of receiving the application of their determination that such prior approval is required, the giving of such approval; or</w:t>
      </w:r>
    </w:p>
    <w:p w14:paraId="5775174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(cc)the expiry of 28 days following the date on which the application was received by the local planning authority without the local planning authority making any determination as to whether such approval is required or notifying the applicant of their determination;</w:t>
      </w:r>
    </w:p>
    <w:p w14:paraId="420BF236" w14:textId="77777777" w:rsidR="00892C3F" w:rsidRPr="004C3CC6" w:rsidRDefault="00892C3F" w:rsidP="00AF3412">
      <w:pPr>
        <w:jc w:val="both"/>
        <w:rPr>
          <w:rFonts w:ascii="Arial" w:hAnsi="Arial" w:cs="Arial"/>
          <w:i/>
          <w:iCs/>
          <w:color w:val="000000" w:themeColor="text1"/>
          <w:sz w:val="22"/>
          <w:szCs w:val="22"/>
        </w:rPr>
      </w:pPr>
    </w:p>
    <w:p w14:paraId="5F57EA8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(viii)the development must, except to the extent that the local planning authority otherwise agree in writing, be carried out</w:t>
      </w:r>
    </w:p>
    <w:p w14:paraId="4ACCAF2E" w14:textId="77777777" w:rsidR="00892C3F" w:rsidRPr="004C3CC6" w:rsidRDefault="00892C3F" w:rsidP="00AF3412">
      <w:pPr>
        <w:jc w:val="both"/>
        <w:rPr>
          <w:rFonts w:ascii="Arial" w:hAnsi="Arial" w:cs="Arial"/>
          <w:i/>
          <w:iCs/>
          <w:color w:val="000000" w:themeColor="text1"/>
          <w:sz w:val="22"/>
          <w:szCs w:val="22"/>
        </w:rPr>
      </w:pPr>
    </w:p>
    <w:p w14:paraId="296960C3"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(aa)where prior approval is required, in accordance with the details approved;</w:t>
      </w:r>
    </w:p>
    <w:p w14:paraId="4AB1E5A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(bb)where prior approval is not required, in accordance with the details submitted with the application;</w:t>
      </w:r>
    </w:p>
    <w:p w14:paraId="25C3A563" w14:textId="77777777" w:rsidR="00892C3F" w:rsidRPr="004C3CC6" w:rsidRDefault="00892C3F" w:rsidP="00AF3412">
      <w:pPr>
        <w:jc w:val="both"/>
        <w:rPr>
          <w:rFonts w:ascii="Arial" w:hAnsi="Arial" w:cs="Arial"/>
          <w:i/>
          <w:iCs/>
          <w:color w:val="000000" w:themeColor="text1"/>
          <w:sz w:val="22"/>
          <w:szCs w:val="22"/>
        </w:rPr>
      </w:pPr>
    </w:p>
    <w:p w14:paraId="5DAC948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(ix) the development must be carried out—</w:t>
      </w:r>
    </w:p>
    <w:p w14:paraId="5AFAAD4F" w14:textId="77777777" w:rsidR="00634B21" w:rsidRPr="004C3CC6" w:rsidRDefault="00634B21" w:rsidP="00AF3412">
      <w:pPr>
        <w:jc w:val="both"/>
        <w:rPr>
          <w:rFonts w:ascii="Arial" w:hAnsi="Arial" w:cs="Arial"/>
          <w:i/>
          <w:iCs/>
          <w:color w:val="000000" w:themeColor="text1"/>
          <w:sz w:val="22"/>
          <w:szCs w:val="22"/>
        </w:rPr>
      </w:pPr>
    </w:p>
    <w:p w14:paraId="40CA65B8"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(aa)where approval has been given by the local planning authority, within a period of 5 years from the date on which approval was given;</w:t>
      </w:r>
    </w:p>
    <w:p w14:paraId="2FAD0E8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(bb)in any other case, within a period of 5 years from the date on which the local planning authority were given the information referred to in paragraph (b)(ii);</w:t>
      </w:r>
    </w:p>
    <w:p w14:paraId="1D13EE5F" w14:textId="77777777" w:rsidR="00892C3F" w:rsidRPr="004C3CC6" w:rsidRDefault="00892C3F" w:rsidP="00AF3412">
      <w:pPr>
        <w:jc w:val="both"/>
        <w:rPr>
          <w:rFonts w:ascii="Arial" w:hAnsi="Arial" w:cs="Arial"/>
          <w:color w:val="000000" w:themeColor="text1"/>
          <w:sz w:val="22"/>
          <w:szCs w:val="22"/>
        </w:rPr>
      </w:pPr>
    </w:p>
    <w:p w14:paraId="20AC805D" w14:textId="77777777" w:rsidR="00892C3F" w:rsidRPr="00632257" w:rsidRDefault="00892C3F" w:rsidP="00AF3412">
      <w:pPr>
        <w:jc w:val="both"/>
        <w:rPr>
          <w:rFonts w:ascii="Arial" w:hAnsi="Arial" w:cs="Arial"/>
          <w:color w:val="000000" w:themeColor="text1"/>
          <w:sz w:val="22"/>
          <w:szCs w:val="22"/>
        </w:rPr>
      </w:pPr>
      <w:r w:rsidRPr="00632257">
        <w:rPr>
          <w:rFonts w:ascii="Arial" w:hAnsi="Arial" w:cs="Arial"/>
          <w:color w:val="000000" w:themeColor="text1"/>
          <w:sz w:val="22"/>
          <w:szCs w:val="22"/>
        </w:rPr>
        <w:t>In respect of the limitations set out at B1 above:</w:t>
      </w:r>
    </w:p>
    <w:p w14:paraId="39FF8867" w14:textId="77777777" w:rsidR="00AC0C4B" w:rsidRPr="00632257" w:rsidRDefault="00AC0C4B" w:rsidP="00AF3412">
      <w:pPr>
        <w:jc w:val="both"/>
        <w:rPr>
          <w:rFonts w:ascii="Arial" w:hAnsi="Arial" w:cs="Arial"/>
          <w:color w:val="000000" w:themeColor="text1"/>
          <w:sz w:val="22"/>
          <w:szCs w:val="22"/>
        </w:rPr>
      </w:pPr>
    </w:p>
    <w:p w14:paraId="727BED84" w14:textId="028E6054" w:rsidR="00632257" w:rsidRPr="00C42901" w:rsidRDefault="00892C3F" w:rsidP="008545FA">
      <w:pPr>
        <w:pStyle w:val="ListParagraph"/>
        <w:numPr>
          <w:ilvl w:val="0"/>
          <w:numId w:val="1"/>
        </w:numPr>
        <w:spacing w:after="0" w:line="240" w:lineRule="auto"/>
        <w:jc w:val="both"/>
        <w:rPr>
          <w:rFonts w:ascii="Arial" w:hAnsi="Arial" w:cs="Arial"/>
          <w:color w:val="000000" w:themeColor="text1"/>
        </w:rPr>
      </w:pPr>
      <w:r w:rsidRPr="00632257">
        <w:rPr>
          <w:rFonts w:ascii="Arial" w:hAnsi="Arial" w:cs="Arial"/>
          <w:color w:val="000000" w:themeColor="text1"/>
        </w:rPr>
        <w:t>The subject building</w:t>
      </w:r>
      <w:r w:rsidR="002C4DE2" w:rsidRPr="00632257">
        <w:rPr>
          <w:rFonts w:ascii="Arial" w:hAnsi="Arial" w:cs="Arial"/>
          <w:color w:val="000000" w:themeColor="text1"/>
        </w:rPr>
        <w:t>s</w:t>
      </w:r>
      <w:r w:rsidRPr="00632257">
        <w:rPr>
          <w:rFonts w:ascii="Arial" w:hAnsi="Arial" w:cs="Arial"/>
          <w:color w:val="000000" w:themeColor="text1"/>
        </w:rPr>
        <w:t xml:space="preserve"> of this demolition application </w:t>
      </w:r>
      <w:r w:rsidR="002C4DE2" w:rsidRPr="00632257">
        <w:rPr>
          <w:rFonts w:ascii="Arial" w:hAnsi="Arial" w:cs="Arial"/>
          <w:color w:val="000000" w:themeColor="text1"/>
        </w:rPr>
        <w:t>are</w:t>
      </w:r>
      <w:r w:rsidRPr="00632257">
        <w:rPr>
          <w:rFonts w:ascii="Arial" w:hAnsi="Arial" w:cs="Arial"/>
          <w:color w:val="000000" w:themeColor="text1"/>
        </w:rPr>
        <w:t xml:space="preserve"> </w:t>
      </w:r>
      <w:r w:rsidR="00CF1DF2" w:rsidRPr="00632257">
        <w:rPr>
          <w:rFonts w:ascii="Arial" w:hAnsi="Arial" w:cs="Arial"/>
          <w:color w:val="000000" w:themeColor="text1"/>
        </w:rPr>
        <w:t>currently vacant</w:t>
      </w:r>
      <w:r w:rsidR="006B25CD">
        <w:rPr>
          <w:rFonts w:ascii="Arial" w:hAnsi="Arial" w:cs="Arial"/>
          <w:color w:val="000000" w:themeColor="text1"/>
        </w:rPr>
        <w:t>.</w:t>
      </w:r>
      <w:r w:rsidR="00CF1DF2" w:rsidRPr="00632257">
        <w:rPr>
          <w:rFonts w:ascii="Arial" w:hAnsi="Arial" w:cs="Arial"/>
          <w:color w:val="000000" w:themeColor="text1"/>
        </w:rPr>
        <w:t xml:space="preserve"> </w:t>
      </w:r>
      <w:r w:rsidR="002C4DE2" w:rsidRPr="00632257">
        <w:rPr>
          <w:rFonts w:ascii="Arial" w:hAnsi="Arial" w:cs="Arial"/>
          <w:color w:val="000000" w:themeColor="text1"/>
        </w:rPr>
        <w:t>These building</w:t>
      </w:r>
      <w:r w:rsidR="00632257" w:rsidRPr="00632257">
        <w:rPr>
          <w:rFonts w:ascii="Arial" w:hAnsi="Arial" w:cs="Arial"/>
          <w:color w:val="000000" w:themeColor="text1"/>
        </w:rPr>
        <w:t>s</w:t>
      </w:r>
      <w:r w:rsidR="002C4DE2" w:rsidRPr="00632257">
        <w:rPr>
          <w:rFonts w:ascii="Arial" w:hAnsi="Arial" w:cs="Arial"/>
          <w:color w:val="000000" w:themeColor="text1"/>
        </w:rPr>
        <w:t xml:space="preserve"> </w:t>
      </w:r>
      <w:r w:rsidR="0075247D">
        <w:rPr>
          <w:rFonts w:ascii="Arial" w:hAnsi="Arial" w:cs="Arial"/>
          <w:color w:val="000000" w:themeColor="text1"/>
        </w:rPr>
        <w:t>are within the red line site plan for an approved mixed use evelopment (as set out above)</w:t>
      </w:r>
    </w:p>
    <w:p w14:paraId="090BCE7D" w14:textId="29630482" w:rsidR="00182B55" w:rsidRPr="00C42901" w:rsidRDefault="0075247D" w:rsidP="008545FA">
      <w:pPr>
        <w:pStyle w:val="ListParagraph"/>
        <w:numPr>
          <w:ilvl w:val="0"/>
          <w:numId w:val="1"/>
        </w:numPr>
        <w:spacing w:after="0" w:line="240" w:lineRule="auto"/>
        <w:jc w:val="both"/>
        <w:rPr>
          <w:rFonts w:ascii="Arial" w:hAnsi="Arial" w:cs="Arial"/>
          <w:color w:val="000000" w:themeColor="text1"/>
        </w:rPr>
      </w:pPr>
      <w:r>
        <w:rPr>
          <w:rFonts w:ascii="Arial" w:hAnsi="Arial" w:cs="Arial"/>
          <w:color w:val="000000" w:themeColor="text1"/>
        </w:rPr>
        <w:t>The buildings need to be demolished for the approved development to take place.</w:t>
      </w:r>
    </w:p>
    <w:p w14:paraId="6E110308"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There is no evidence to suggest that urgent measures are necessary in the interest of safety or health</w:t>
      </w:r>
    </w:p>
    <w:p w14:paraId="1DAE28EB"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 building is not relevant demolition in a Conservation Area.</w:t>
      </w:r>
    </w:p>
    <w:p w14:paraId="3D647F23"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 building is not in use or last used as a drinking establishment with/without food provision.</w:t>
      </w:r>
      <w:r w:rsidRPr="00C42901">
        <w:rPr>
          <w:rFonts w:ascii="Arial" w:hAnsi="Arial" w:cs="Arial"/>
          <w:color w:val="000000" w:themeColor="text1"/>
        </w:rPr>
        <w:cr/>
        <w:t>The building is not in use or last used as a concert hall, live music venue or theatre.</w:t>
      </w:r>
      <w:r w:rsidRPr="00C42901">
        <w:rPr>
          <w:rFonts w:ascii="Arial" w:hAnsi="Arial" w:cs="Arial"/>
          <w:color w:val="000000" w:themeColor="text1"/>
        </w:rPr>
        <w:cr/>
        <w:t>The building is not a statue, memorial or monument</w:t>
      </w:r>
    </w:p>
    <w:p w14:paraId="536E2B4B" w14:textId="77777777" w:rsidR="00892C3F" w:rsidRPr="00C42901" w:rsidRDefault="00892C3F" w:rsidP="00AF3412">
      <w:pPr>
        <w:jc w:val="both"/>
        <w:rPr>
          <w:rFonts w:ascii="Arial" w:hAnsi="Arial" w:cs="Arial"/>
          <w:color w:val="000000" w:themeColor="text1"/>
          <w:sz w:val="22"/>
          <w:szCs w:val="22"/>
        </w:rPr>
      </w:pPr>
    </w:p>
    <w:p w14:paraId="447FC452" w14:textId="77777777" w:rsidR="00892C3F" w:rsidRPr="00C42901" w:rsidRDefault="00892C3F" w:rsidP="00AF3412">
      <w:pPr>
        <w:jc w:val="both"/>
        <w:rPr>
          <w:rFonts w:ascii="Arial" w:hAnsi="Arial" w:cs="Arial"/>
          <w:color w:val="000000" w:themeColor="text1"/>
          <w:sz w:val="22"/>
          <w:szCs w:val="22"/>
        </w:rPr>
      </w:pPr>
      <w:r w:rsidRPr="00C42901">
        <w:rPr>
          <w:rFonts w:ascii="Arial" w:hAnsi="Arial" w:cs="Arial"/>
          <w:color w:val="000000" w:themeColor="text1"/>
          <w:sz w:val="22"/>
          <w:szCs w:val="22"/>
        </w:rPr>
        <w:t>In respect of the conditions set out at B2 above:</w:t>
      </w:r>
    </w:p>
    <w:p w14:paraId="749B6317" w14:textId="77777777" w:rsidR="00892C3F" w:rsidRPr="00C42901" w:rsidRDefault="00892C3F" w:rsidP="00AF3412">
      <w:pPr>
        <w:jc w:val="both"/>
        <w:rPr>
          <w:rFonts w:ascii="Arial" w:hAnsi="Arial" w:cs="Arial"/>
          <w:color w:val="000000" w:themeColor="text1"/>
          <w:sz w:val="22"/>
          <w:szCs w:val="22"/>
        </w:rPr>
      </w:pPr>
    </w:p>
    <w:p w14:paraId="1A57BD6E" w14:textId="289EEE51" w:rsidR="00986CC0" w:rsidRPr="00C42901" w:rsidRDefault="008E3096" w:rsidP="00C42901">
      <w:pPr>
        <w:jc w:val="both"/>
        <w:rPr>
          <w:rFonts w:ascii="Arial" w:hAnsi="Arial" w:cs="Arial"/>
          <w:i/>
          <w:iCs/>
          <w:color w:val="000000" w:themeColor="text1"/>
          <w:sz w:val="22"/>
          <w:szCs w:val="22"/>
        </w:rPr>
      </w:pPr>
      <w:r>
        <w:rPr>
          <w:rFonts w:ascii="Arial" w:hAnsi="Arial" w:cs="Arial"/>
          <w:color w:val="000000" w:themeColor="text1"/>
          <w:sz w:val="22"/>
          <w:szCs w:val="22"/>
        </w:rPr>
        <w:t xml:space="preserve">The application includes a Demolition Method Statement that appropriately considers and deals with all relevant matters, including site arrangements, </w:t>
      </w:r>
      <w:r w:rsidR="0012236E">
        <w:rPr>
          <w:rFonts w:ascii="Arial" w:hAnsi="Arial" w:cs="Arial"/>
          <w:color w:val="000000" w:themeColor="text1"/>
          <w:sz w:val="22"/>
          <w:szCs w:val="22"/>
        </w:rPr>
        <w:t>hazards, site safety, emergency arrangements and waste management.</w:t>
      </w:r>
    </w:p>
    <w:p w14:paraId="7F908E6F" w14:textId="77777777" w:rsidR="00C42901" w:rsidRPr="00C42901" w:rsidRDefault="00C42901" w:rsidP="00C42901">
      <w:pPr>
        <w:jc w:val="both"/>
        <w:rPr>
          <w:rFonts w:ascii="Arial" w:hAnsi="Arial" w:cs="Arial"/>
          <w:color w:val="000000" w:themeColor="text1"/>
          <w:sz w:val="22"/>
          <w:szCs w:val="22"/>
        </w:rPr>
      </w:pPr>
    </w:p>
    <w:p w14:paraId="1E5EB4F3" w14:textId="54165888" w:rsidR="00892C3F" w:rsidRPr="00C42901" w:rsidRDefault="00892C3F" w:rsidP="00A77DD1">
      <w:pPr>
        <w:jc w:val="both"/>
        <w:rPr>
          <w:rFonts w:ascii="Arial" w:hAnsi="Arial" w:cs="Arial"/>
          <w:color w:val="000000" w:themeColor="text1"/>
          <w:sz w:val="22"/>
          <w:szCs w:val="22"/>
        </w:rPr>
      </w:pPr>
      <w:r w:rsidRPr="00C42901">
        <w:rPr>
          <w:rFonts w:ascii="Arial" w:hAnsi="Arial" w:cs="Arial"/>
          <w:color w:val="000000" w:themeColor="text1"/>
          <w:sz w:val="22"/>
          <w:szCs w:val="22"/>
        </w:rPr>
        <w:t xml:space="preserve">Confirmation of a site notice being displayed on the </w:t>
      </w:r>
      <w:r w:rsidR="00CC65E5" w:rsidRPr="00C42901">
        <w:rPr>
          <w:rFonts w:ascii="Arial" w:hAnsi="Arial" w:cs="Arial"/>
          <w:color w:val="000000" w:themeColor="text1"/>
          <w:sz w:val="22"/>
          <w:szCs w:val="22"/>
        </w:rPr>
        <w:t>0</w:t>
      </w:r>
      <w:r w:rsidR="000432B3">
        <w:rPr>
          <w:rFonts w:ascii="Arial" w:hAnsi="Arial" w:cs="Arial"/>
          <w:color w:val="000000" w:themeColor="text1"/>
          <w:sz w:val="22"/>
          <w:szCs w:val="22"/>
        </w:rPr>
        <w:t>5</w:t>
      </w:r>
      <w:r w:rsidR="00D01D8E" w:rsidRPr="00C42901">
        <w:rPr>
          <w:rFonts w:ascii="Arial" w:hAnsi="Arial" w:cs="Arial"/>
          <w:color w:val="000000" w:themeColor="text1"/>
          <w:sz w:val="22"/>
          <w:szCs w:val="22"/>
        </w:rPr>
        <w:t xml:space="preserve"> </w:t>
      </w:r>
      <w:r w:rsidR="000432B3">
        <w:rPr>
          <w:rFonts w:ascii="Arial" w:hAnsi="Arial" w:cs="Arial"/>
          <w:color w:val="000000" w:themeColor="text1"/>
          <w:sz w:val="22"/>
          <w:szCs w:val="22"/>
        </w:rPr>
        <w:t>August</w:t>
      </w:r>
      <w:r w:rsidR="00D01D8E" w:rsidRPr="00C42901">
        <w:rPr>
          <w:rFonts w:ascii="Arial" w:hAnsi="Arial" w:cs="Arial"/>
          <w:color w:val="000000" w:themeColor="text1"/>
          <w:sz w:val="22"/>
          <w:szCs w:val="22"/>
        </w:rPr>
        <w:t xml:space="preserve"> 202</w:t>
      </w:r>
      <w:r w:rsidR="000432B3">
        <w:rPr>
          <w:rFonts w:ascii="Arial" w:hAnsi="Arial" w:cs="Arial"/>
          <w:color w:val="000000" w:themeColor="text1"/>
          <w:sz w:val="22"/>
          <w:szCs w:val="22"/>
        </w:rPr>
        <w:t>6</w:t>
      </w:r>
      <w:r w:rsidRPr="00C42901">
        <w:rPr>
          <w:rFonts w:ascii="Arial" w:hAnsi="Arial" w:cs="Arial"/>
          <w:color w:val="000000" w:themeColor="text1"/>
          <w:sz w:val="22"/>
          <w:szCs w:val="22"/>
        </w:rPr>
        <w:t xml:space="preserve"> has been submitted with the application with the appropriate fee. The development has not begun. It is intended to commence </w:t>
      </w:r>
      <w:r w:rsidR="000432B3">
        <w:rPr>
          <w:rFonts w:ascii="Arial" w:hAnsi="Arial" w:cs="Arial"/>
          <w:color w:val="000000" w:themeColor="text1"/>
          <w:sz w:val="22"/>
          <w:szCs w:val="22"/>
        </w:rPr>
        <w:t>o</w:t>
      </w:r>
      <w:r w:rsidR="00CC65E5" w:rsidRPr="00C42901">
        <w:rPr>
          <w:rFonts w:ascii="Arial" w:hAnsi="Arial" w:cs="Arial"/>
          <w:color w:val="000000" w:themeColor="text1"/>
          <w:sz w:val="22"/>
          <w:szCs w:val="22"/>
        </w:rPr>
        <w:t>n</w:t>
      </w:r>
      <w:r w:rsidR="000432B3">
        <w:rPr>
          <w:rFonts w:ascii="Arial" w:hAnsi="Arial" w:cs="Arial"/>
          <w:color w:val="000000" w:themeColor="text1"/>
          <w:sz w:val="22"/>
          <w:szCs w:val="22"/>
        </w:rPr>
        <w:t xml:space="preserve"> 19th</w:t>
      </w:r>
      <w:r w:rsidR="00CC65E5" w:rsidRPr="00C42901">
        <w:rPr>
          <w:rFonts w:ascii="Arial" w:hAnsi="Arial" w:cs="Arial"/>
          <w:color w:val="000000" w:themeColor="text1"/>
          <w:sz w:val="22"/>
          <w:szCs w:val="22"/>
        </w:rPr>
        <w:t xml:space="preserve"> </w:t>
      </w:r>
      <w:r w:rsidR="000432B3">
        <w:rPr>
          <w:rFonts w:ascii="Arial" w:hAnsi="Arial" w:cs="Arial"/>
          <w:color w:val="000000" w:themeColor="text1"/>
          <w:sz w:val="22"/>
          <w:szCs w:val="22"/>
        </w:rPr>
        <w:t>October</w:t>
      </w:r>
      <w:r w:rsidR="005E49A1" w:rsidRPr="00C42901">
        <w:rPr>
          <w:rFonts w:ascii="Arial" w:hAnsi="Arial" w:cs="Arial"/>
          <w:color w:val="000000" w:themeColor="text1"/>
          <w:sz w:val="22"/>
          <w:szCs w:val="22"/>
        </w:rPr>
        <w:t xml:space="preserve"> 2026</w:t>
      </w:r>
      <w:r w:rsidRPr="00C42901">
        <w:rPr>
          <w:rFonts w:ascii="Arial" w:hAnsi="Arial" w:cs="Arial"/>
          <w:color w:val="000000" w:themeColor="text1"/>
          <w:sz w:val="22"/>
          <w:szCs w:val="22"/>
        </w:rPr>
        <w:t>.</w:t>
      </w:r>
    </w:p>
    <w:p w14:paraId="32508E44" w14:textId="77777777" w:rsidR="00892C3F" w:rsidRPr="0025538E" w:rsidRDefault="00892C3F" w:rsidP="00A77DD1">
      <w:pPr>
        <w:jc w:val="both"/>
        <w:rPr>
          <w:rFonts w:ascii="Arial" w:hAnsi="Arial" w:cs="Arial"/>
          <w:color w:val="000000" w:themeColor="text1"/>
          <w:sz w:val="22"/>
          <w:szCs w:val="22"/>
        </w:rPr>
      </w:pPr>
    </w:p>
    <w:p w14:paraId="576EA530" w14:textId="30B121DA" w:rsidR="00892C3F" w:rsidRPr="0025538E" w:rsidRDefault="00892C3F" w:rsidP="00A77DD1">
      <w:pPr>
        <w:jc w:val="both"/>
        <w:rPr>
          <w:rFonts w:ascii="Arial" w:hAnsi="Arial" w:cs="Arial"/>
          <w:color w:val="000000" w:themeColor="text1"/>
          <w:sz w:val="22"/>
          <w:szCs w:val="22"/>
        </w:rPr>
      </w:pPr>
      <w:r w:rsidRPr="0025538E">
        <w:rPr>
          <w:rFonts w:ascii="Arial" w:hAnsi="Arial" w:cs="Arial"/>
          <w:color w:val="000000" w:themeColor="text1"/>
          <w:sz w:val="22"/>
          <w:szCs w:val="22"/>
        </w:rPr>
        <w:t>The prior approval application has been submitted for determination in accordance with the</w:t>
      </w:r>
      <w:r w:rsidR="00A77DD1" w:rsidRPr="0025538E">
        <w:rPr>
          <w:rFonts w:ascii="Arial" w:hAnsi="Arial" w:cs="Arial"/>
          <w:color w:val="000000" w:themeColor="text1"/>
          <w:sz w:val="22"/>
          <w:szCs w:val="22"/>
        </w:rPr>
        <w:t xml:space="preserve"> r</w:t>
      </w:r>
      <w:r w:rsidRPr="0025538E">
        <w:rPr>
          <w:rFonts w:ascii="Arial" w:hAnsi="Arial" w:cs="Arial"/>
          <w:color w:val="000000" w:themeColor="text1"/>
          <w:sz w:val="22"/>
          <w:szCs w:val="22"/>
        </w:rPr>
        <w:t>equirements.</w:t>
      </w:r>
    </w:p>
    <w:p w14:paraId="26A68269" w14:textId="77777777" w:rsidR="003B136F" w:rsidRPr="0025538E" w:rsidRDefault="003B136F" w:rsidP="00AF3412">
      <w:pPr>
        <w:jc w:val="both"/>
        <w:rPr>
          <w:rFonts w:ascii="Arial" w:hAnsi="Arial" w:cs="Arial"/>
          <w:sz w:val="22"/>
          <w:szCs w:val="22"/>
        </w:rPr>
      </w:pPr>
    </w:p>
    <w:p w14:paraId="13F50013" w14:textId="77777777" w:rsidR="005F5FC1" w:rsidRPr="0025538E" w:rsidRDefault="005F5FC1" w:rsidP="00AF3412">
      <w:pPr>
        <w:jc w:val="both"/>
        <w:rPr>
          <w:rFonts w:ascii="Arial" w:hAnsi="Arial" w:cs="Arial"/>
          <w:color w:val="000000" w:themeColor="text1"/>
          <w:sz w:val="22"/>
          <w:szCs w:val="22"/>
        </w:rPr>
      </w:pPr>
    </w:p>
    <w:p w14:paraId="6CC727C8" w14:textId="78E8819B" w:rsidR="00617A03" w:rsidRPr="00D16F5E" w:rsidRDefault="00AF3412" w:rsidP="00AF3412">
      <w:pPr>
        <w:jc w:val="both"/>
        <w:rPr>
          <w:rFonts w:ascii="Arial" w:hAnsi="Arial" w:cs="Arial"/>
          <w:color w:val="000000" w:themeColor="text1"/>
          <w:sz w:val="22"/>
          <w:szCs w:val="22"/>
        </w:rPr>
      </w:pPr>
      <w:r w:rsidRPr="00D16F5E">
        <w:rPr>
          <w:rFonts w:ascii="Arial" w:hAnsi="Arial" w:cs="Arial"/>
          <w:color w:val="000000" w:themeColor="text1"/>
          <w:sz w:val="22"/>
          <w:szCs w:val="22"/>
        </w:rPr>
        <w:lastRenderedPageBreak/>
        <w:t xml:space="preserve">The site is located </w:t>
      </w:r>
      <w:r w:rsidR="00617A03" w:rsidRPr="00D16F5E">
        <w:rPr>
          <w:rFonts w:ascii="Arial" w:hAnsi="Arial" w:cs="Arial"/>
          <w:color w:val="000000" w:themeColor="text1"/>
          <w:sz w:val="22"/>
          <w:szCs w:val="22"/>
        </w:rPr>
        <w:t xml:space="preserve">within a private </w:t>
      </w:r>
      <w:r w:rsidR="006457C0">
        <w:rPr>
          <w:rFonts w:ascii="Arial" w:hAnsi="Arial" w:cs="Arial"/>
          <w:color w:val="000000" w:themeColor="text1"/>
          <w:sz w:val="22"/>
          <w:szCs w:val="22"/>
        </w:rPr>
        <w:t>agricultural holding</w:t>
      </w:r>
      <w:r w:rsidR="00617A03" w:rsidRPr="00D16F5E">
        <w:rPr>
          <w:rFonts w:ascii="Arial" w:hAnsi="Arial" w:cs="Arial"/>
          <w:color w:val="000000" w:themeColor="text1"/>
          <w:sz w:val="22"/>
          <w:szCs w:val="22"/>
        </w:rPr>
        <w:t xml:space="preserve"> away from the public </w:t>
      </w:r>
      <w:r w:rsidR="00F10674" w:rsidRPr="00D16F5E">
        <w:rPr>
          <w:rFonts w:ascii="Arial" w:hAnsi="Arial" w:cs="Arial"/>
          <w:color w:val="000000" w:themeColor="text1"/>
          <w:sz w:val="22"/>
          <w:szCs w:val="22"/>
        </w:rPr>
        <w:t xml:space="preserve">realm. In this instance </w:t>
      </w:r>
      <w:r w:rsidR="009777D3" w:rsidRPr="00D16F5E">
        <w:rPr>
          <w:rFonts w:ascii="Arial" w:hAnsi="Arial" w:cs="Arial"/>
          <w:color w:val="000000" w:themeColor="text1"/>
          <w:sz w:val="22"/>
          <w:szCs w:val="22"/>
        </w:rPr>
        <w:t xml:space="preserve">it is considered that sufficient detail has been provided </w:t>
      </w:r>
      <w:r w:rsidR="000A2796" w:rsidRPr="00D16F5E">
        <w:rPr>
          <w:rFonts w:ascii="Arial" w:hAnsi="Arial" w:cs="Arial"/>
          <w:color w:val="000000" w:themeColor="text1"/>
          <w:sz w:val="22"/>
          <w:szCs w:val="22"/>
        </w:rPr>
        <w:t xml:space="preserve">for the LPA to be </w:t>
      </w:r>
      <w:r w:rsidR="00E150C8">
        <w:rPr>
          <w:rFonts w:ascii="Arial" w:hAnsi="Arial" w:cs="Arial"/>
          <w:color w:val="000000" w:themeColor="text1"/>
          <w:sz w:val="22"/>
          <w:szCs w:val="22"/>
        </w:rPr>
        <w:t xml:space="preserve">satisfied </w:t>
      </w:r>
      <w:r w:rsidR="000A2796" w:rsidRPr="00D16F5E">
        <w:rPr>
          <w:rFonts w:ascii="Arial" w:hAnsi="Arial" w:cs="Arial"/>
          <w:color w:val="000000" w:themeColor="text1"/>
          <w:sz w:val="22"/>
          <w:szCs w:val="22"/>
        </w:rPr>
        <w:t xml:space="preserve"> that the method of demolition will be undertaken in an appropriate manner</w:t>
      </w:r>
      <w:r w:rsidR="00EA369C" w:rsidRPr="00D16F5E">
        <w:rPr>
          <w:rFonts w:ascii="Arial" w:hAnsi="Arial" w:cs="Arial"/>
          <w:color w:val="000000" w:themeColor="text1"/>
          <w:sz w:val="22"/>
          <w:szCs w:val="22"/>
        </w:rPr>
        <w:t xml:space="preserve"> and that the site post demolition will be left in a safe state.</w:t>
      </w:r>
    </w:p>
    <w:p w14:paraId="149EAEB2" w14:textId="77777777" w:rsidR="000B2A79" w:rsidRPr="000D3D15" w:rsidRDefault="000B2A79" w:rsidP="00AF3412">
      <w:pPr>
        <w:jc w:val="both"/>
        <w:rPr>
          <w:rFonts w:ascii="Arial" w:hAnsi="Arial" w:cs="Arial"/>
          <w:color w:val="000000" w:themeColor="text1"/>
          <w:sz w:val="22"/>
          <w:szCs w:val="22"/>
          <w:highlight w:val="yellow"/>
        </w:rPr>
      </w:pPr>
    </w:p>
    <w:p w14:paraId="4FDC98D1" w14:textId="77777777" w:rsidR="00AF3412" w:rsidRPr="00E43B5B" w:rsidRDefault="00AF3412" w:rsidP="00AF3412">
      <w:pPr>
        <w:jc w:val="both"/>
        <w:rPr>
          <w:rStyle w:val="fontstyle11"/>
          <w:rFonts w:ascii="Arial" w:hAnsi="Arial" w:cs="Arial"/>
          <w:b/>
          <w:bCs/>
          <w:color w:val="000000" w:themeColor="text1"/>
        </w:rPr>
      </w:pPr>
      <w:r w:rsidRPr="00E43B5B">
        <w:rPr>
          <w:rStyle w:val="fontstyle11"/>
          <w:rFonts w:ascii="Arial" w:hAnsi="Arial" w:cs="Arial"/>
          <w:b/>
          <w:bCs/>
          <w:color w:val="000000" w:themeColor="text1"/>
        </w:rPr>
        <w:t>Ecology</w:t>
      </w:r>
    </w:p>
    <w:p w14:paraId="3C25047F" w14:textId="77777777" w:rsidR="002A6FF5" w:rsidRPr="00E43B5B" w:rsidRDefault="002A6FF5" w:rsidP="00AF3412">
      <w:pPr>
        <w:jc w:val="both"/>
        <w:rPr>
          <w:rStyle w:val="fontstyle11"/>
          <w:rFonts w:ascii="Arial" w:hAnsi="Arial" w:cs="Arial"/>
          <w:b/>
          <w:bCs/>
          <w:color w:val="000000" w:themeColor="text1"/>
        </w:rPr>
      </w:pPr>
    </w:p>
    <w:p w14:paraId="5CDF58E6" w14:textId="515DB771" w:rsidR="00AF3412" w:rsidRPr="00E43B5B" w:rsidRDefault="002A6FF5" w:rsidP="00175C1F">
      <w:pPr>
        <w:jc w:val="both"/>
        <w:rPr>
          <w:rFonts w:ascii="Arial" w:hAnsi="Arial" w:cs="Arial"/>
          <w:color w:val="000000" w:themeColor="text1"/>
          <w:sz w:val="22"/>
          <w:szCs w:val="22"/>
        </w:rPr>
      </w:pPr>
      <w:r w:rsidRPr="00E43B5B">
        <w:rPr>
          <w:rFonts w:ascii="Arial" w:hAnsi="Arial" w:cs="Arial"/>
          <w:color w:val="000000" w:themeColor="text1"/>
          <w:sz w:val="22"/>
          <w:szCs w:val="22"/>
        </w:rPr>
        <w:t xml:space="preserve">The application </w:t>
      </w:r>
      <w:r w:rsidR="0075008F">
        <w:rPr>
          <w:rFonts w:ascii="Arial" w:hAnsi="Arial" w:cs="Arial"/>
          <w:color w:val="000000" w:themeColor="text1"/>
          <w:sz w:val="22"/>
          <w:szCs w:val="22"/>
        </w:rPr>
        <w:t xml:space="preserve">includes a Technical Note by EA Ecology that supplements bat roost surveys previously undertaken as part of the Outline planning application process referred to above. No bat roosts were identified during the previous inspection and emergence surveys. </w:t>
      </w:r>
      <w:r w:rsidR="00175C1F" w:rsidRPr="00175C1F">
        <w:rPr>
          <w:rFonts w:ascii="Arial" w:hAnsi="Arial" w:cs="Arial"/>
          <w:color w:val="000000" w:themeColor="text1"/>
          <w:sz w:val="22"/>
          <w:szCs w:val="22"/>
        </w:rPr>
        <w:t>The update surveys were undertaken as a</w:t>
      </w:r>
      <w:r w:rsidR="00175C1F">
        <w:rPr>
          <w:rFonts w:ascii="Arial" w:hAnsi="Arial" w:cs="Arial"/>
          <w:color w:val="000000" w:themeColor="text1"/>
          <w:sz w:val="22"/>
          <w:szCs w:val="22"/>
        </w:rPr>
        <w:t xml:space="preserve"> </w:t>
      </w:r>
      <w:r w:rsidR="00175C1F" w:rsidRPr="00175C1F">
        <w:rPr>
          <w:rFonts w:ascii="Arial" w:hAnsi="Arial" w:cs="Arial"/>
          <w:color w:val="000000" w:themeColor="text1"/>
          <w:sz w:val="22"/>
          <w:szCs w:val="22"/>
        </w:rPr>
        <w:t>precaution to ensure that no new roosts had established in the interim, which would</w:t>
      </w:r>
      <w:r w:rsidR="00175C1F">
        <w:rPr>
          <w:rFonts w:ascii="Arial" w:hAnsi="Arial" w:cs="Arial"/>
          <w:color w:val="000000" w:themeColor="text1"/>
          <w:sz w:val="22"/>
          <w:szCs w:val="22"/>
        </w:rPr>
        <w:t xml:space="preserve"> </w:t>
      </w:r>
      <w:r w:rsidR="00175C1F" w:rsidRPr="00175C1F">
        <w:rPr>
          <w:rFonts w:ascii="Arial" w:hAnsi="Arial" w:cs="Arial"/>
          <w:color w:val="000000" w:themeColor="text1"/>
          <w:sz w:val="22"/>
          <w:szCs w:val="22"/>
        </w:rPr>
        <w:t>necessitate a Natural England Bat Mitigation Licence to be obtained prior to demolition.</w:t>
      </w:r>
      <w:r w:rsidR="008D2DAC">
        <w:rPr>
          <w:rFonts w:ascii="Arial" w:hAnsi="Arial" w:cs="Arial"/>
          <w:color w:val="000000" w:themeColor="text1"/>
          <w:sz w:val="22"/>
          <w:szCs w:val="22"/>
        </w:rPr>
        <w:t xml:space="preserve"> The Technical Note demonstrates that</w:t>
      </w:r>
      <w:r w:rsidR="00021D4F">
        <w:rPr>
          <w:rFonts w:ascii="Arial" w:hAnsi="Arial" w:cs="Arial"/>
          <w:color w:val="000000" w:themeColor="text1"/>
          <w:sz w:val="22"/>
          <w:szCs w:val="22"/>
        </w:rPr>
        <w:t xml:space="preserve"> </w:t>
      </w:r>
      <w:r w:rsidR="00021D4F" w:rsidRPr="00021D4F">
        <w:rPr>
          <w:rFonts w:ascii="Arial" w:hAnsi="Arial" w:cs="Arial"/>
          <w:color w:val="000000" w:themeColor="text1"/>
          <w:sz w:val="22"/>
          <w:szCs w:val="22"/>
        </w:rPr>
        <w:t>the buildings proposed for demolition have negligible, low and no bat roost suitability</w:t>
      </w:r>
      <w:r w:rsidR="00021D4F">
        <w:rPr>
          <w:rFonts w:ascii="Arial" w:hAnsi="Arial" w:cs="Arial"/>
          <w:color w:val="000000" w:themeColor="text1"/>
          <w:sz w:val="22"/>
          <w:szCs w:val="22"/>
        </w:rPr>
        <w:t xml:space="preserve">. </w:t>
      </w:r>
    </w:p>
    <w:p w14:paraId="461DF0EA" w14:textId="77777777" w:rsidR="00E43B5B" w:rsidRPr="00E43B5B" w:rsidRDefault="00E43B5B" w:rsidP="00AF3412">
      <w:pPr>
        <w:jc w:val="both"/>
        <w:rPr>
          <w:rStyle w:val="fontstyle11"/>
          <w:rFonts w:ascii="Arial" w:hAnsi="Arial" w:cs="Arial"/>
          <w:color w:val="000000" w:themeColor="text1"/>
        </w:rPr>
      </w:pPr>
    </w:p>
    <w:p w14:paraId="38CDE107" w14:textId="77777777" w:rsidR="00AF3412" w:rsidRPr="00E43B5B" w:rsidRDefault="00AF3412" w:rsidP="00AF3412">
      <w:pPr>
        <w:jc w:val="both"/>
        <w:rPr>
          <w:rFonts w:ascii="Arial" w:hAnsi="Arial" w:cs="Arial"/>
          <w:b/>
          <w:bCs/>
          <w:color w:val="000000" w:themeColor="text1"/>
          <w:sz w:val="22"/>
          <w:szCs w:val="22"/>
        </w:rPr>
      </w:pPr>
      <w:r w:rsidRPr="00E43B5B">
        <w:rPr>
          <w:rFonts w:ascii="Arial" w:hAnsi="Arial" w:cs="Arial"/>
          <w:b/>
          <w:bCs/>
          <w:color w:val="000000" w:themeColor="text1"/>
          <w:sz w:val="22"/>
          <w:szCs w:val="22"/>
        </w:rPr>
        <w:t>CONCLUSION</w:t>
      </w:r>
    </w:p>
    <w:p w14:paraId="4D3EA149" w14:textId="77777777" w:rsidR="00AF3412" w:rsidRPr="00E43B5B" w:rsidRDefault="00AF3412" w:rsidP="00AF3412">
      <w:pPr>
        <w:jc w:val="both"/>
        <w:rPr>
          <w:rFonts w:ascii="Arial" w:hAnsi="Arial" w:cs="Arial"/>
          <w:color w:val="000000" w:themeColor="text1"/>
          <w:sz w:val="22"/>
          <w:szCs w:val="22"/>
        </w:rPr>
      </w:pPr>
    </w:p>
    <w:p w14:paraId="76BE3BE4" w14:textId="77777777" w:rsidR="00AF3412" w:rsidRPr="00C24E9E" w:rsidRDefault="00AF3412" w:rsidP="00AF3412">
      <w:pPr>
        <w:jc w:val="both"/>
        <w:rPr>
          <w:rStyle w:val="fontstyle11"/>
          <w:rFonts w:ascii="Arial" w:hAnsi="Arial" w:cs="Arial"/>
          <w:color w:val="000000" w:themeColor="text1"/>
        </w:rPr>
      </w:pPr>
      <w:r w:rsidRPr="00E43B5B">
        <w:rPr>
          <w:rStyle w:val="fontstyle11"/>
          <w:rFonts w:ascii="Arial" w:hAnsi="Arial" w:cs="Arial"/>
          <w:color w:val="000000" w:themeColor="text1"/>
        </w:rPr>
        <w:t>The legislation states that where prior approval is not required, the</w:t>
      </w:r>
      <w:r w:rsidRPr="00C24E9E">
        <w:rPr>
          <w:rStyle w:val="fontstyle11"/>
          <w:rFonts w:ascii="Arial" w:hAnsi="Arial" w:cs="Arial"/>
          <w:color w:val="000000" w:themeColor="text1"/>
        </w:rPr>
        <w:t xml:space="preserve"> development shall be in accordance with the details submitted with the application. To comply with Condition B.2 (vii) (bb) of Class B of Part 11 of Schedule 2 of The Town and Country Planning (General Permitted Development) (England) Order 2015 (as amended).</w:t>
      </w:r>
    </w:p>
    <w:p w14:paraId="7B0C99E1" w14:textId="77777777" w:rsidR="00AF3412" w:rsidRPr="00C24E9E" w:rsidRDefault="00AF3412" w:rsidP="00AF3412">
      <w:pPr>
        <w:jc w:val="both"/>
        <w:rPr>
          <w:rStyle w:val="fontstyle11"/>
          <w:rFonts w:ascii="Arial" w:hAnsi="Arial" w:cs="Arial"/>
          <w:color w:val="000000" w:themeColor="text1"/>
        </w:rPr>
      </w:pPr>
    </w:p>
    <w:p w14:paraId="2D7836EA" w14:textId="2719DC78" w:rsidR="00AF3412" w:rsidRPr="00C24E9E" w:rsidRDefault="00AF3412" w:rsidP="00AF3412">
      <w:pPr>
        <w:jc w:val="both"/>
        <w:rPr>
          <w:rStyle w:val="fontstyle11"/>
          <w:rFonts w:ascii="Arial" w:hAnsi="Arial" w:cs="Arial"/>
          <w:color w:val="000000" w:themeColor="text1"/>
        </w:rPr>
      </w:pPr>
      <w:r w:rsidRPr="00C24E9E">
        <w:rPr>
          <w:rStyle w:val="fontstyle11"/>
          <w:rFonts w:ascii="Arial" w:hAnsi="Arial" w:cs="Arial"/>
          <w:color w:val="000000" w:themeColor="text1"/>
        </w:rPr>
        <w:t xml:space="preserve">It is therefore considered that the proposal is permitted development and the proposed method of demolition </w:t>
      </w:r>
      <w:r w:rsidR="006368F4" w:rsidRPr="00C24E9E">
        <w:rPr>
          <w:rStyle w:val="fontstyle11"/>
          <w:rFonts w:ascii="Arial" w:hAnsi="Arial" w:cs="Arial"/>
          <w:color w:val="000000" w:themeColor="text1"/>
        </w:rPr>
        <w:t xml:space="preserve">for the </w:t>
      </w:r>
      <w:r w:rsidR="00021D4F">
        <w:rPr>
          <w:rStyle w:val="fontstyle11"/>
          <w:rFonts w:ascii="Arial" w:hAnsi="Arial" w:cs="Arial"/>
          <w:color w:val="000000" w:themeColor="text1"/>
        </w:rPr>
        <w:t>agricultural barns</w:t>
      </w:r>
      <w:r w:rsidR="00C24E9E" w:rsidRPr="00C24E9E">
        <w:rPr>
          <w:rFonts w:ascii="Arial" w:hAnsi="Arial" w:cs="Arial"/>
          <w:color w:val="000000" w:themeColor="text1"/>
          <w:sz w:val="22"/>
          <w:szCs w:val="22"/>
        </w:rPr>
        <w:t xml:space="preserve"> </w:t>
      </w:r>
      <w:r w:rsidRPr="00C24E9E">
        <w:rPr>
          <w:rStyle w:val="fontstyle11"/>
          <w:rFonts w:ascii="Arial" w:hAnsi="Arial" w:cs="Arial"/>
          <w:color w:val="000000" w:themeColor="text1"/>
        </w:rPr>
        <w:t xml:space="preserve">as </w:t>
      </w:r>
      <w:r w:rsidR="00AA27F8" w:rsidRPr="00C24E9E">
        <w:rPr>
          <w:rStyle w:val="fontstyle11"/>
          <w:rFonts w:ascii="Arial" w:hAnsi="Arial" w:cs="Arial"/>
          <w:color w:val="000000" w:themeColor="text1"/>
        </w:rPr>
        <w:t xml:space="preserve">per the details </w:t>
      </w:r>
      <w:r w:rsidRPr="00C24E9E">
        <w:rPr>
          <w:rStyle w:val="fontstyle11"/>
          <w:rFonts w:ascii="Arial" w:hAnsi="Arial" w:cs="Arial"/>
          <w:color w:val="000000" w:themeColor="text1"/>
        </w:rPr>
        <w:t xml:space="preserve">submitted with the application is considered to be acceptable. Prior approval has therefore been assessed and granted. </w:t>
      </w:r>
    </w:p>
    <w:p w14:paraId="77DF7151" w14:textId="77777777" w:rsidR="00AF3412" w:rsidRPr="00C24E9E" w:rsidRDefault="00AF3412" w:rsidP="00AF3412">
      <w:pPr>
        <w:jc w:val="both"/>
        <w:rPr>
          <w:rStyle w:val="fontstyle11"/>
          <w:rFonts w:ascii="Arial" w:hAnsi="Arial" w:cs="Arial"/>
          <w:color w:val="000000" w:themeColor="text1"/>
        </w:rPr>
      </w:pPr>
    </w:p>
    <w:p w14:paraId="520B271D" w14:textId="085CCABC" w:rsidR="00AF3412" w:rsidRPr="006776F8" w:rsidRDefault="00AF3412" w:rsidP="00AF3412">
      <w:pPr>
        <w:jc w:val="both"/>
        <w:rPr>
          <w:rStyle w:val="fontstyle11"/>
          <w:rFonts w:ascii="Arial" w:hAnsi="Arial" w:cs="Arial"/>
          <w:color w:val="000000" w:themeColor="text1"/>
        </w:rPr>
      </w:pPr>
      <w:r w:rsidRPr="006776F8">
        <w:rPr>
          <w:rStyle w:val="fontstyle11"/>
          <w:rFonts w:ascii="Arial" w:hAnsi="Arial" w:cs="Arial"/>
          <w:b/>
          <w:bCs/>
          <w:color w:val="000000" w:themeColor="text1"/>
        </w:rPr>
        <w:t>RECOMMENDATION</w:t>
      </w:r>
      <w:r w:rsidRPr="006776F8">
        <w:rPr>
          <w:rStyle w:val="fontstyle11"/>
          <w:rFonts w:ascii="Arial" w:hAnsi="Arial" w:cs="Arial"/>
          <w:color w:val="000000" w:themeColor="text1"/>
        </w:rPr>
        <w:t xml:space="preserve">: The proposal required prior </w:t>
      </w:r>
      <w:r w:rsidR="00C5238C" w:rsidRPr="006776F8">
        <w:rPr>
          <w:rStyle w:val="fontstyle11"/>
          <w:rFonts w:ascii="Arial" w:hAnsi="Arial" w:cs="Arial"/>
          <w:color w:val="000000" w:themeColor="text1"/>
        </w:rPr>
        <w:t>approval,</w:t>
      </w:r>
      <w:r w:rsidR="00134C1D" w:rsidRPr="006776F8">
        <w:rPr>
          <w:rStyle w:val="fontstyle11"/>
          <w:rFonts w:ascii="Arial" w:hAnsi="Arial" w:cs="Arial"/>
          <w:color w:val="000000" w:themeColor="text1"/>
        </w:rPr>
        <w:t xml:space="preserve"> and </w:t>
      </w:r>
      <w:r w:rsidRPr="006776F8">
        <w:rPr>
          <w:rStyle w:val="fontstyle11"/>
          <w:rFonts w:ascii="Arial" w:hAnsi="Arial" w:cs="Arial"/>
          <w:color w:val="000000" w:themeColor="text1"/>
        </w:rPr>
        <w:t xml:space="preserve">prior approval has been granted as sufficient details have been provided to allow assessment. </w:t>
      </w:r>
    </w:p>
    <w:p w14:paraId="10E85296" w14:textId="77777777" w:rsidR="00AF3412" w:rsidRPr="006776F8" w:rsidRDefault="00AF3412" w:rsidP="00AF3412">
      <w:pPr>
        <w:jc w:val="both"/>
        <w:rPr>
          <w:rFonts w:ascii="Arial" w:hAnsi="Arial" w:cs="Arial"/>
          <w:color w:val="000000" w:themeColor="text1"/>
          <w:sz w:val="22"/>
          <w:szCs w:val="22"/>
        </w:rPr>
      </w:pPr>
    </w:p>
    <w:p w14:paraId="3BB5102C" w14:textId="77777777" w:rsidR="00AF3412" w:rsidRPr="006776F8" w:rsidRDefault="00AF3412" w:rsidP="00AF3412">
      <w:pPr>
        <w:jc w:val="both"/>
        <w:rPr>
          <w:rFonts w:ascii="Arial" w:hAnsi="Arial" w:cs="Arial"/>
          <w:b/>
          <w:bCs/>
          <w:color w:val="000000" w:themeColor="text1"/>
          <w:sz w:val="22"/>
          <w:szCs w:val="22"/>
        </w:rPr>
      </w:pPr>
      <w:r w:rsidRPr="006776F8">
        <w:rPr>
          <w:rFonts w:ascii="Arial" w:hAnsi="Arial" w:cs="Arial"/>
          <w:b/>
          <w:bCs/>
          <w:color w:val="000000" w:themeColor="text1"/>
          <w:sz w:val="22"/>
          <w:szCs w:val="22"/>
        </w:rPr>
        <w:t xml:space="preserve">Conditions: </w:t>
      </w:r>
    </w:p>
    <w:p w14:paraId="7BC52281" w14:textId="77777777" w:rsidR="00134C1D" w:rsidRPr="006776F8" w:rsidRDefault="00134C1D" w:rsidP="00AF3412">
      <w:pPr>
        <w:jc w:val="both"/>
        <w:rPr>
          <w:rFonts w:ascii="Arial" w:hAnsi="Arial" w:cs="Arial"/>
          <w:color w:val="000000" w:themeColor="text1"/>
          <w:sz w:val="22"/>
          <w:szCs w:val="22"/>
        </w:rPr>
      </w:pPr>
    </w:p>
    <w:p w14:paraId="2C3A2CFF" w14:textId="554E9198"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1 The demolition hereby approved must be carried out in accordance with the following </w:t>
      </w:r>
      <w:r w:rsidR="00AD4323" w:rsidRPr="006776F8">
        <w:rPr>
          <w:rFonts w:ascii="Arial" w:hAnsi="Arial" w:cs="Arial"/>
          <w:color w:val="000000" w:themeColor="text1"/>
          <w:sz w:val="22"/>
          <w:szCs w:val="22"/>
        </w:rPr>
        <w:t>documents and</w:t>
      </w:r>
      <w:r w:rsidRPr="006776F8">
        <w:rPr>
          <w:rFonts w:ascii="Arial" w:hAnsi="Arial" w:cs="Arial"/>
          <w:color w:val="000000" w:themeColor="text1"/>
          <w:sz w:val="22"/>
          <w:szCs w:val="22"/>
        </w:rPr>
        <w:t xml:space="preserve"> must be completed within a period of 5 years from the date on which this approval was given</w:t>
      </w:r>
    </w:p>
    <w:p w14:paraId="4EDCF147" w14:textId="77777777" w:rsidR="00AF3412" w:rsidRPr="006776F8" w:rsidRDefault="00AF3412" w:rsidP="00AF3412">
      <w:pPr>
        <w:jc w:val="both"/>
        <w:rPr>
          <w:rFonts w:ascii="Arial" w:hAnsi="Arial" w:cs="Arial"/>
          <w:color w:val="000000" w:themeColor="text1"/>
          <w:sz w:val="22"/>
          <w:szCs w:val="22"/>
        </w:rPr>
      </w:pPr>
    </w:p>
    <w:p w14:paraId="1F7FC52C" w14:textId="17A1B7A2" w:rsid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17/8/2026</w:t>
      </w:r>
      <w:r w:rsidR="00052BFF">
        <w:rPr>
          <w:rFonts w:ascii="Arial" w:hAnsi="Arial" w:cs="Arial"/>
          <w:color w:val="000000" w:themeColor="text1"/>
        </w:rPr>
        <w:t xml:space="preserve"> - </w:t>
      </w:r>
      <w:r w:rsidRPr="00052BFF">
        <w:rPr>
          <w:rFonts w:ascii="Arial" w:hAnsi="Arial" w:cs="Arial"/>
          <w:color w:val="000000" w:themeColor="text1"/>
        </w:rPr>
        <w:t>Cover Lette</w:t>
      </w:r>
      <w:r w:rsidR="00052BFF">
        <w:rPr>
          <w:rFonts w:ascii="Arial" w:hAnsi="Arial" w:cs="Arial"/>
          <w:color w:val="000000" w:themeColor="text1"/>
        </w:rPr>
        <w:t>r</w:t>
      </w:r>
    </w:p>
    <w:p w14:paraId="174746DD" w14:textId="14AFA31D" w:rsid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14/8/2026</w:t>
      </w:r>
      <w:r w:rsidR="00052BFF">
        <w:rPr>
          <w:rFonts w:ascii="Arial" w:hAnsi="Arial" w:cs="Arial"/>
          <w:color w:val="000000" w:themeColor="text1"/>
        </w:rPr>
        <w:t xml:space="preserve"> - </w:t>
      </w:r>
      <w:r w:rsidRPr="00052BFF">
        <w:rPr>
          <w:rFonts w:ascii="Arial" w:hAnsi="Arial" w:cs="Arial"/>
          <w:color w:val="000000" w:themeColor="text1"/>
        </w:rPr>
        <w:t>Application Form</w:t>
      </w:r>
    </w:p>
    <w:p w14:paraId="28320D77" w14:textId="32A77BBF" w:rsid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14/8/2026</w:t>
      </w:r>
      <w:r w:rsidR="00052BFF">
        <w:rPr>
          <w:rFonts w:ascii="Arial" w:hAnsi="Arial" w:cs="Arial"/>
          <w:color w:val="000000" w:themeColor="text1"/>
        </w:rPr>
        <w:t xml:space="preserve"> - </w:t>
      </w:r>
      <w:r w:rsidRPr="00052BFF">
        <w:rPr>
          <w:rFonts w:ascii="Arial" w:hAnsi="Arial" w:cs="Arial"/>
          <w:color w:val="000000" w:themeColor="text1"/>
        </w:rPr>
        <w:t>BDW Trading Site Notice</w:t>
      </w:r>
    </w:p>
    <w:p w14:paraId="1D396DB8" w14:textId="11E9958C" w:rsid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14/8/2026</w:t>
      </w:r>
      <w:r w:rsidR="00052BFF">
        <w:rPr>
          <w:rFonts w:ascii="Arial" w:hAnsi="Arial" w:cs="Arial"/>
          <w:color w:val="000000" w:themeColor="text1"/>
        </w:rPr>
        <w:t xml:space="preserve"> - </w:t>
      </w:r>
      <w:r w:rsidRPr="00052BFF">
        <w:rPr>
          <w:rFonts w:ascii="Arial" w:hAnsi="Arial" w:cs="Arial"/>
          <w:color w:val="000000" w:themeColor="text1"/>
        </w:rPr>
        <w:t>Demolition Method Statement</w:t>
      </w:r>
    </w:p>
    <w:p w14:paraId="6A1534DD" w14:textId="621B13DB" w:rsid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14/8/2026</w:t>
      </w:r>
      <w:r w:rsidR="00052BFF">
        <w:rPr>
          <w:rFonts w:ascii="Arial" w:hAnsi="Arial" w:cs="Arial"/>
          <w:color w:val="000000" w:themeColor="text1"/>
        </w:rPr>
        <w:t xml:space="preserve"> - </w:t>
      </w:r>
      <w:r w:rsidRPr="00052BFF">
        <w:rPr>
          <w:rFonts w:ascii="Arial" w:hAnsi="Arial" w:cs="Arial"/>
          <w:color w:val="000000" w:themeColor="text1"/>
        </w:rPr>
        <w:t>Location Plan</w:t>
      </w:r>
    </w:p>
    <w:p w14:paraId="4048E2DE" w14:textId="70729713" w:rsidR="00A174A5" w:rsidRPr="00052BFF" w:rsidRDefault="00933332" w:rsidP="00933332">
      <w:pPr>
        <w:pStyle w:val="ListParagraph"/>
        <w:numPr>
          <w:ilvl w:val="0"/>
          <w:numId w:val="4"/>
        </w:numPr>
        <w:jc w:val="both"/>
        <w:rPr>
          <w:rFonts w:ascii="Arial" w:hAnsi="Arial" w:cs="Arial"/>
          <w:color w:val="000000" w:themeColor="text1"/>
        </w:rPr>
      </w:pPr>
      <w:r w:rsidRPr="00052BFF">
        <w:rPr>
          <w:rFonts w:ascii="Arial" w:hAnsi="Arial" w:cs="Arial"/>
          <w:color w:val="000000" w:themeColor="text1"/>
        </w:rPr>
        <w:t>14/8/2026</w:t>
      </w:r>
      <w:r w:rsidR="00052BFF">
        <w:rPr>
          <w:rFonts w:ascii="Arial" w:hAnsi="Arial" w:cs="Arial"/>
          <w:color w:val="000000" w:themeColor="text1"/>
        </w:rPr>
        <w:t xml:space="preserve"> - </w:t>
      </w:r>
      <w:r w:rsidRPr="00052BFF">
        <w:rPr>
          <w:rFonts w:ascii="Arial" w:hAnsi="Arial" w:cs="Arial"/>
          <w:color w:val="000000" w:themeColor="text1"/>
        </w:rPr>
        <w:t>Technical Note - Update Bat Roost Survey</w:t>
      </w:r>
    </w:p>
    <w:p w14:paraId="274227C9"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REASON: To comply with the provisions of Schedule 2, Part 11, Class B of the Town and Country Planning (General Permitted Development) Order 2015 (as amended) and for the avoidance of doubt. </w:t>
      </w:r>
    </w:p>
    <w:p w14:paraId="2FFD0FEE" w14:textId="77777777" w:rsidR="00AF3412" w:rsidRPr="006776F8" w:rsidRDefault="00AF3412" w:rsidP="00AF3412">
      <w:pPr>
        <w:jc w:val="both"/>
        <w:rPr>
          <w:rFonts w:ascii="Arial" w:hAnsi="Arial" w:cs="Arial"/>
          <w:color w:val="000000" w:themeColor="text1"/>
          <w:sz w:val="22"/>
          <w:szCs w:val="22"/>
        </w:rPr>
      </w:pPr>
    </w:p>
    <w:p w14:paraId="1A58E2FF" w14:textId="54D3F0D6"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Informative</w:t>
      </w:r>
    </w:p>
    <w:p w14:paraId="5F0919B1" w14:textId="77777777" w:rsidR="00AF3412" w:rsidRPr="006776F8" w:rsidRDefault="00AF3412" w:rsidP="00AF3412">
      <w:pPr>
        <w:jc w:val="both"/>
        <w:rPr>
          <w:rFonts w:ascii="Arial" w:hAnsi="Arial" w:cs="Arial"/>
          <w:color w:val="000000" w:themeColor="text1"/>
          <w:sz w:val="22"/>
          <w:szCs w:val="22"/>
        </w:rPr>
      </w:pPr>
    </w:p>
    <w:p w14:paraId="7B2B78F5"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Protected Species</w:t>
      </w:r>
    </w:p>
    <w:p w14:paraId="4DCC5127"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The applicant should note that under the terms of the Wildlife and Countryside Act (1981) and the Habitats Regulations (2017) it is an offence to disturb or harm any protected species including for example, breeding birds and reptiles. The protection offered to some species such as bats, extends beyond the individual animals to the places they use for shelter or resting.</w:t>
      </w:r>
    </w:p>
    <w:p w14:paraId="325232A4" w14:textId="77777777" w:rsidR="00AF3412" w:rsidRPr="006776F8" w:rsidRDefault="00AF3412" w:rsidP="00AF3412">
      <w:pPr>
        <w:jc w:val="both"/>
        <w:rPr>
          <w:rFonts w:ascii="Arial" w:hAnsi="Arial" w:cs="Arial"/>
          <w:color w:val="000000" w:themeColor="text1"/>
          <w:sz w:val="22"/>
          <w:szCs w:val="22"/>
        </w:rPr>
      </w:pPr>
    </w:p>
    <w:p w14:paraId="166D7F85" w14:textId="77777777" w:rsidR="00AF3412" w:rsidRPr="00C5238C"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Please note that this consent does not override the statutory protection afforded to any such species. In the event that your proposals could potentially affect a protected species you should seek the advice of a suitably </w:t>
      </w:r>
      <w:r w:rsidRPr="006776F8">
        <w:rPr>
          <w:rFonts w:ascii="Arial" w:hAnsi="Arial" w:cs="Arial"/>
          <w:color w:val="000000" w:themeColor="text1"/>
          <w:sz w:val="22"/>
          <w:szCs w:val="22"/>
        </w:rPr>
        <w:lastRenderedPageBreak/>
        <w:t>qualified and experienced ecologist and consider the need for a licence from Natural England prior to commencing works. Please see Natural England’s website for further information on protected species.</w:t>
      </w:r>
    </w:p>
    <w:p w14:paraId="01C1BECD" w14:textId="77777777" w:rsidR="00AF3412" w:rsidRPr="00C5238C" w:rsidRDefault="00AF3412" w:rsidP="00AF3412">
      <w:pPr>
        <w:jc w:val="both"/>
        <w:rPr>
          <w:rFonts w:ascii="Arial" w:hAnsi="Arial" w:cs="Arial"/>
          <w:color w:val="000000" w:themeColor="text1"/>
          <w:sz w:val="22"/>
          <w:szCs w:val="22"/>
        </w:rPr>
      </w:pPr>
    </w:p>
    <w:sectPr w:rsidR="00AF3412" w:rsidRPr="00C5238C"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MS Mincho"/>
    <w:panose1 w:val="00000000000000000000"/>
    <w:charset w:val="00"/>
    <w:family w:val="roman"/>
    <w:notTrueType/>
    <w:pitch w:val="default"/>
  </w:font>
  <w:font w:name="ArialMT">
    <w:altName w:val="MS Mincho"/>
    <w:panose1 w:val="00000000000000000000"/>
    <w:charset w:val="00"/>
    <w:family w:val="roman"/>
    <w:notTrueType/>
    <w:pitch w:val="default"/>
  </w:font>
  <w:font w:name="SymbolM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75421"/>
    <w:multiLevelType w:val="hybridMultilevel"/>
    <w:tmpl w:val="79924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51DF2"/>
    <w:multiLevelType w:val="hybridMultilevel"/>
    <w:tmpl w:val="1BE48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8744F8A"/>
    <w:multiLevelType w:val="hybridMultilevel"/>
    <w:tmpl w:val="5BDA2666"/>
    <w:lvl w:ilvl="0" w:tplc="ECE231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B32238"/>
    <w:multiLevelType w:val="hybridMultilevel"/>
    <w:tmpl w:val="01A8F4B0"/>
    <w:lvl w:ilvl="0" w:tplc="8056C79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833696">
    <w:abstractNumId w:val="0"/>
  </w:num>
  <w:num w:numId="2" w16cid:durableId="177735679">
    <w:abstractNumId w:val="1"/>
  </w:num>
  <w:num w:numId="3" w16cid:durableId="505100874">
    <w:abstractNumId w:val="2"/>
  </w:num>
  <w:num w:numId="4" w16cid:durableId="60376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7420"/>
    <w:rsid w:val="000100DB"/>
    <w:rsid w:val="00021D4F"/>
    <w:rsid w:val="00025B6B"/>
    <w:rsid w:val="00026FFC"/>
    <w:rsid w:val="000427E9"/>
    <w:rsid w:val="000432B3"/>
    <w:rsid w:val="00052BFF"/>
    <w:rsid w:val="00076BD7"/>
    <w:rsid w:val="000A2796"/>
    <w:rsid w:val="000B2A79"/>
    <w:rsid w:val="000C5128"/>
    <w:rsid w:val="000C52C3"/>
    <w:rsid w:val="000D3693"/>
    <w:rsid w:val="000D3D15"/>
    <w:rsid w:val="000E70B7"/>
    <w:rsid w:val="000F069B"/>
    <w:rsid w:val="000F1799"/>
    <w:rsid w:val="0010661F"/>
    <w:rsid w:val="001139CA"/>
    <w:rsid w:val="0012236E"/>
    <w:rsid w:val="0012267E"/>
    <w:rsid w:val="00134C1D"/>
    <w:rsid w:val="001479B6"/>
    <w:rsid w:val="0015139F"/>
    <w:rsid w:val="001756CA"/>
    <w:rsid w:val="00175C1F"/>
    <w:rsid w:val="00182B55"/>
    <w:rsid w:val="001973B1"/>
    <w:rsid w:val="001979A2"/>
    <w:rsid w:val="001A4B37"/>
    <w:rsid w:val="001A7327"/>
    <w:rsid w:val="001B1A54"/>
    <w:rsid w:val="001B71B9"/>
    <w:rsid w:val="001C7CD8"/>
    <w:rsid w:val="001D5268"/>
    <w:rsid w:val="001D6468"/>
    <w:rsid w:val="001F599C"/>
    <w:rsid w:val="002008DA"/>
    <w:rsid w:val="002531E8"/>
    <w:rsid w:val="00253E73"/>
    <w:rsid w:val="0025538E"/>
    <w:rsid w:val="002574DF"/>
    <w:rsid w:val="0028102A"/>
    <w:rsid w:val="00292C7B"/>
    <w:rsid w:val="002A6FF5"/>
    <w:rsid w:val="002B7D6B"/>
    <w:rsid w:val="002C4DE2"/>
    <w:rsid w:val="0030230B"/>
    <w:rsid w:val="00316273"/>
    <w:rsid w:val="00322EA7"/>
    <w:rsid w:val="00355BDD"/>
    <w:rsid w:val="00383115"/>
    <w:rsid w:val="00383F2A"/>
    <w:rsid w:val="00393CBE"/>
    <w:rsid w:val="003A7E9D"/>
    <w:rsid w:val="003B136F"/>
    <w:rsid w:val="003D3155"/>
    <w:rsid w:val="003F07E6"/>
    <w:rsid w:val="004008C1"/>
    <w:rsid w:val="00404CB2"/>
    <w:rsid w:val="00432C7B"/>
    <w:rsid w:val="00434323"/>
    <w:rsid w:val="00435DB3"/>
    <w:rsid w:val="004409DD"/>
    <w:rsid w:val="004649AC"/>
    <w:rsid w:val="00465453"/>
    <w:rsid w:val="0047750C"/>
    <w:rsid w:val="00497533"/>
    <w:rsid w:val="004B3945"/>
    <w:rsid w:val="004B6DA9"/>
    <w:rsid w:val="004C3CC6"/>
    <w:rsid w:val="004D720B"/>
    <w:rsid w:val="004E6788"/>
    <w:rsid w:val="004E723D"/>
    <w:rsid w:val="004F1E36"/>
    <w:rsid w:val="0050454F"/>
    <w:rsid w:val="00525B60"/>
    <w:rsid w:val="0054131B"/>
    <w:rsid w:val="00563499"/>
    <w:rsid w:val="00591CE0"/>
    <w:rsid w:val="005A65FD"/>
    <w:rsid w:val="005A6D5F"/>
    <w:rsid w:val="005E26A1"/>
    <w:rsid w:val="005E473E"/>
    <w:rsid w:val="005E49A1"/>
    <w:rsid w:val="005F5FC1"/>
    <w:rsid w:val="00617A03"/>
    <w:rsid w:val="00632257"/>
    <w:rsid w:val="00634B21"/>
    <w:rsid w:val="006368F4"/>
    <w:rsid w:val="006457C0"/>
    <w:rsid w:val="00652626"/>
    <w:rsid w:val="00653B55"/>
    <w:rsid w:val="0065467B"/>
    <w:rsid w:val="00665643"/>
    <w:rsid w:val="006776F8"/>
    <w:rsid w:val="00684A31"/>
    <w:rsid w:val="006B25CD"/>
    <w:rsid w:val="006B28E4"/>
    <w:rsid w:val="006B657E"/>
    <w:rsid w:val="006B69AA"/>
    <w:rsid w:val="006E26D9"/>
    <w:rsid w:val="006E68CF"/>
    <w:rsid w:val="0070457D"/>
    <w:rsid w:val="00704B1E"/>
    <w:rsid w:val="0071500F"/>
    <w:rsid w:val="007203D3"/>
    <w:rsid w:val="007241B3"/>
    <w:rsid w:val="007420DC"/>
    <w:rsid w:val="0075008F"/>
    <w:rsid w:val="00751F8A"/>
    <w:rsid w:val="0075247D"/>
    <w:rsid w:val="00773858"/>
    <w:rsid w:val="007A4C14"/>
    <w:rsid w:val="007C0A98"/>
    <w:rsid w:val="007C1C82"/>
    <w:rsid w:val="007E33BF"/>
    <w:rsid w:val="007F52E0"/>
    <w:rsid w:val="007F6A77"/>
    <w:rsid w:val="00801C23"/>
    <w:rsid w:val="00805DBE"/>
    <w:rsid w:val="008076D9"/>
    <w:rsid w:val="00812355"/>
    <w:rsid w:val="0081262F"/>
    <w:rsid w:val="008212B6"/>
    <w:rsid w:val="00836622"/>
    <w:rsid w:val="00841499"/>
    <w:rsid w:val="00847506"/>
    <w:rsid w:val="00851044"/>
    <w:rsid w:val="0085689F"/>
    <w:rsid w:val="0086341B"/>
    <w:rsid w:val="0088794C"/>
    <w:rsid w:val="00892C3F"/>
    <w:rsid w:val="008C4B9A"/>
    <w:rsid w:val="008D2DAC"/>
    <w:rsid w:val="008D461D"/>
    <w:rsid w:val="008D5082"/>
    <w:rsid w:val="008E3096"/>
    <w:rsid w:val="008E542B"/>
    <w:rsid w:val="008F19EE"/>
    <w:rsid w:val="008F2F96"/>
    <w:rsid w:val="009023CF"/>
    <w:rsid w:val="00905ED9"/>
    <w:rsid w:val="0091587D"/>
    <w:rsid w:val="00933332"/>
    <w:rsid w:val="00947EA9"/>
    <w:rsid w:val="009527BF"/>
    <w:rsid w:val="00962C1F"/>
    <w:rsid w:val="0096725A"/>
    <w:rsid w:val="009777D3"/>
    <w:rsid w:val="00983DCC"/>
    <w:rsid w:val="00986862"/>
    <w:rsid w:val="00986CC0"/>
    <w:rsid w:val="009952B0"/>
    <w:rsid w:val="009A5695"/>
    <w:rsid w:val="009B6897"/>
    <w:rsid w:val="009C62E7"/>
    <w:rsid w:val="009C78ED"/>
    <w:rsid w:val="009E23EC"/>
    <w:rsid w:val="00A174A5"/>
    <w:rsid w:val="00A446FB"/>
    <w:rsid w:val="00A474B8"/>
    <w:rsid w:val="00A710F6"/>
    <w:rsid w:val="00A77DD1"/>
    <w:rsid w:val="00A87D11"/>
    <w:rsid w:val="00AA27F8"/>
    <w:rsid w:val="00AB3556"/>
    <w:rsid w:val="00AC0C4B"/>
    <w:rsid w:val="00AC760A"/>
    <w:rsid w:val="00AD13C1"/>
    <w:rsid w:val="00AD4323"/>
    <w:rsid w:val="00AE33BE"/>
    <w:rsid w:val="00AE3584"/>
    <w:rsid w:val="00AE46D0"/>
    <w:rsid w:val="00AF3412"/>
    <w:rsid w:val="00AF7800"/>
    <w:rsid w:val="00B15AD7"/>
    <w:rsid w:val="00B533B0"/>
    <w:rsid w:val="00B76762"/>
    <w:rsid w:val="00B76B88"/>
    <w:rsid w:val="00BB1052"/>
    <w:rsid w:val="00BB7CA8"/>
    <w:rsid w:val="00BC5A05"/>
    <w:rsid w:val="00BC7863"/>
    <w:rsid w:val="00BE764D"/>
    <w:rsid w:val="00C12033"/>
    <w:rsid w:val="00C24E9E"/>
    <w:rsid w:val="00C362E4"/>
    <w:rsid w:val="00C42901"/>
    <w:rsid w:val="00C5238C"/>
    <w:rsid w:val="00C749DD"/>
    <w:rsid w:val="00C854B3"/>
    <w:rsid w:val="00C9364D"/>
    <w:rsid w:val="00CC65E5"/>
    <w:rsid w:val="00CE08AF"/>
    <w:rsid w:val="00CE17B2"/>
    <w:rsid w:val="00CF1DF2"/>
    <w:rsid w:val="00D01ADA"/>
    <w:rsid w:val="00D01D8E"/>
    <w:rsid w:val="00D03DFD"/>
    <w:rsid w:val="00D100A6"/>
    <w:rsid w:val="00D16F5E"/>
    <w:rsid w:val="00D2199C"/>
    <w:rsid w:val="00D26CAC"/>
    <w:rsid w:val="00D36079"/>
    <w:rsid w:val="00D37BE5"/>
    <w:rsid w:val="00D44C50"/>
    <w:rsid w:val="00D47592"/>
    <w:rsid w:val="00D609A4"/>
    <w:rsid w:val="00D62EF5"/>
    <w:rsid w:val="00D941A8"/>
    <w:rsid w:val="00DA1B0A"/>
    <w:rsid w:val="00DD6566"/>
    <w:rsid w:val="00DE1A50"/>
    <w:rsid w:val="00DE34F6"/>
    <w:rsid w:val="00DE745B"/>
    <w:rsid w:val="00E150C8"/>
    <w:rsid w:val="00E37215"/>
    <w:rsid w:val="00E40C03"/>
    <w:rsid w:val="00E43B5B"/>
    <w:rsid w:val="00E45427"/>
    <w:rsid w:val="00E80081"/>
    <w:rsid w:val="00E85E15"/>
    <w:rsid w:val="00E9311C"/>
    <w:rsid w:val="00EA1B62"/>
    <w:rsid w:val="00EA369C"/>
    <w:rsid w:val="00EB7649"/>
    <w:rsid w:val="00F10674"/>
    <w:rsid w:val="00F220EE"/>
    <w:rsid w:val="00F325EF"/>
    <w:rsid w:val="00F50937"/>
    <w:rsid w:val="00F679B4"/>
    <w:rsid w:val="00F81DC9"/>
    <w:rsid w:val="00F945D7"/>
    <w:rsid w:val="00F952C4"/>
    <w:rsid w:val="00F974DC"/>
    <w:rsid w:val="00FC0A2B"/>
    <w:rsid w:val="00FC2DBE"/>
    <w:rsid w:val="00FD1ED5"/>
    <w:rsid w:val="00FD4EE3"/>
    <w:rsid w:val="00FD6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character" w:customStyle="1" w:styleId="fontstyle01">
    <w:name w:val="fontstyle01"/>
    <w:basedOn w:val="DefaultParagraphFont"/>
    <w:rsid w:val="008F2F96"/>
    <w:rPr>
      <w:rFonts w:ascii="Arial-BoldMT" w:hAnsi="Arial-BoldMT" w:hint="default"/>
      <w:b/>
      <w:bCs/>
      <w:i w:val="0"/>
      <w:iCs w:val="0"/>
      <w:color w:val="000000"/>
      <w:sz w:val="22"/>
      <w:szCs w:val="22"/>
    </w:rPr>
  </w:style>
  <w:style w:type="character" w:customStyle="1" w:styleId="fontstyle11">
    <w:name w:val="fontstyle11"/>
    <w:basedOn w:val="DefaultParagraphFont"/>
    <w:rsid w:val="008F2F96"/>
    <w:rPr>
      <w:rFonts w:ascii="ArialMT" w:hAnsi="ArialMT" w:hint="default"/>
      <w:b w:val="0"/>
      <w:bCs w:val="0"/>
      <w:i w:val="0"/>
      <w:iCs w:val="0"/>
      <w:color w:val="000000"/>
      <w:sz w:val="22"/>
      <w:szCs w:val="22"/>
    </w:rPr>
  </w:style>
  <w:style w:type="character" w:customStyle="1" w:styleId="fontstyle31">
    <w:name w:val="fontstyle31"/>
    <w:basedOn w:val="DefaultParagraphFont"/>
    <w:rsid w:val="008F2F96"/>
    <w:rPr>
      <w:rFonts w:ascii="SymbolMT" w:hAnsi="SymbolMT" w:hint="default"/>
      <w:b w:val="0"/>
      <w:bCs w:val="0"/>
      <w:i w:val="0"/>
      <w:iCs w:val="0"/>
      <w:color w:val="000000"/>
      <w:sz w:val="22"/>
      <w:szCs w:val="22"/>
    </w:rPr>
  </w:style>
  <w:style w:type="paragraph" w:styleId="ListParagraph">
    <w:name w:val="List Paragraph"/>
    <w:basedOn w:val="Normal"/>
    <w:uiPriority w:val="34"/>
    <w:qFormat/>
    <w:rsid w:val="00892C3F"/>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975600">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7ACC954B304449BE946730C32321A" ma:contentTypeVersion="16" ma:contentTypeDescription="Create a new document." ma:contentTypeScope="" ma:versionID="f1bffb8b94c7f42cd5d6f1b7766ab15d">
  <xsd:schema xmlns:xsd="http://www.w3.org/2001/XMLSchema" xmlns:xs="http://www.w3.org/2001/XMLSchema" xmlns:p="http://schemas.microsoft.com/office/2006/metadata/properties" xmlns:ns2="f16abdec-67b9-4673-864f-8f90b5da4f7c" xmlns:ns3="5671fa53-b26e-4766-9477-0eca3aa74e0c" targetNamespace="http://schemas.microsoft.com/office/2006/metadata/properties" ma:root="true" ma:fieldsID="6578f25b20c6db49bc9cd3c4d54cfba1" ns2:_="" ns3:_="">
    <xsd:import namespace="f16abdec-67b9-4673-864f-8f90b5da4f7c"/>
    <xsd:import namespace="5671fa53-b26e-4766-9477-0eca3aa74e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abdec-67b9-4673-864f-8f90b5da4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7ca499-6dbd-4767-96aa-61dbc72fa0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1fa53-b26e-4766-9477-0eca3aa74e0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be6d16-9bb6-4e83-bba4-f1595a212ef1}" ma:internalName="TaxCatchAll" ma:showField="CatchAllData" ma:web="5671fa53-b26e-4766-9477-0eca3aa74e0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71fa53-b26e-4766-9477-0eca3aa74e0c" xsi:nil="true"/>
    <lcf76f155ced4ddcb4097134ff3c332f xmlns="f16abdec-67b9-4673-864f-8f90b5da4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1C6A56-271C-4455-BF39-F5488FC85037}"/>
</file>

<file path=customXml/itemProps2.xml><?xml version="1.0" encoding="utf-8"?>
<ds:datastoreItem xmlns:ds="http://schemas.openxmlformats.org/officeDocument/2006/customXml" ds:itemID="{433203F6-FD00-42C5-BF5B-E6BA546B6F6B}"/>
</file>

<file path=customXml/itemProps3.xml><?xml version="1.0" encoding="utf-8"?>
<ds:datastoreItem xmlns:ds="http://schemas.openxmlformats.org/officeDocument/2006/customXml" ds:itemID="{81DC2F1D-D9DE-46FB-BD9A-58A7B83E00F7}"/>
</file>

<file path=docProps/app.xml><?xml version="1.0" encoding="utf-8"?>
<Properties xmlns="http://schemas.openxmlformats.org/officeDocument/2006/extended-properties" xmlns:vt="http://schemas.openxmlformats.org/officeDocument/2006/docPropsVTypes">
  <Template>Officers Delegated Report</Template>
  <TotalTime>21</TotalTime>
  <Pages>6</Pages>
  <Words>1948</Words>
  <Characters>11106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Alex Jelley</cp:lastModifiedBy>
  <cp:revision>27</cp:revision>
  <cp:lastPrinted>2007-12-19T10:51:00Z</cp:lastPrinted>
  <dcterms:created xsi:type="dcterms:W3CDTF">2026-08-25T14:19:00Z</dcterms:created>
  <dcterms:modified xsi:type="dcterms:W3CDTF">2026-08-25T14:40:00Z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0x0101004A27ACC954B304449BE946730C32321A</vt:lpwstr>
  </property>
</Properties>
</file>