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F67FB"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C24D3C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2BDDAA6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9C167A3" w14:textId="77777777" w:rsidTr="00683C17">
        <w:tc>
          <w:tcPr>
            <w:tcW w:w="3681" w:type="dxa"/>
          </w:tcPr>
          <w:p w14:paraId="71DFDA5B"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3C8CF31"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PL/2026/03801</w:t>
            </w:r>
          </w:p>
        </w:tc>
      </w:tr>
      <w:tr w:rsidR="003951BD" w14:paraId="34ACDAEA" w14:textId="77777777" w:rsidTr="00683C17">
        <w:tc>
          <w:tcPr>
            <w:tcW w:w="3681" w:type="dxa"/>
          </w:tcPr>
          <w:p w14:paraId="4BB1B414"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B563143"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25ED2271" w14:textId="77777777" w:rsidTr="00683C17">
        <w:tc>
          <w:tcPr>
            <w:tcW w:w="3681" w:type="dxa"/>
          </w:tcPr>
          <w:p w14:paraId="66571B5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6C10517"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Silverton Cottage, Chapel Lane, Woodborough, Pewsey, SN9 5PH</w:t>
            </w:r>
          </w:p>
        </w:tc>
      </w:tr>
      <w:tr w:rsidR="003951BD" w14:paraId="21B1CBC6" w14:textId="77777777" w:rsidTr="00683C17">
        <w:tc>
          <w:tcPr>
            <w:tcW w:w="3681" w:type="dxa"/>
          </w:tcPr>
          <w:p w14:paraId="154F0FC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51D577B" w14:textId="6889FBC0"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 xml:space="preserve">Proposed outbuilding conversion to </w:t>
            </w:r>
            <w:r w:rsidR="00E96420" w:rsidRPr="004424DC">
              <w:rPr>
                <w:rFonts w:ascii="Arial" w:eastAsia="Arial" w:hAnsi="Arial" w:cs="Arial"/>
                <w:sz w:val="22"/>
                <w:szCs w:val="22"/>
              </w:rPr>
              <w:t>ancillary</w:t>
            </w:r>
            <w:r w:rsidRPr="004424DC">
              <w:rPr>
                <w:rFonts w:ascii="Arial" w:eastAsia="Arial" w:hAnsi="Arial" w:cs="Arial"/>
                <w:sz w:val="22"/>
                <w:szCs w:val="22"/>
              </w:rPr>
              <w:t xml:space="preserve"> accommodation</w:t>
            </w:r>
          </w:p>
        </w:tc>
      </w:tr>
      <w:tr w:rsidR="003951BD" w14:paraId="325A0CF1" w14:textId="77777777" w:rsidTr="00683C17">
        <w:tc>
          <w:tcPr>
            <w:tcW w:w="3681" w:type="dxa"/>
          </w:tcPr>
          <w:p w14:paraId="3CE32659"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142FFBE"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D592437"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FCF4C57"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EB070D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1E5834E" w14:textId="76E47E3C" w:rsidR="005B0FD5" w:rsidRPr="00D03720" w:rsidRDefault="005B0FD5" w:rsidP="005B0FD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w:t>
      </w:r>
      <w:r w:rsidRPr="00D03720">
        <w:rPr>
          <w:rFonts w:ascii="Arial" w:eastAsia="Times New Roman" w:hAnsi="Arial" w:cs="Arial"/>
          <w:color w:val="000000" w:themeColor="text1"/>
          <w:kern w:val="0"/>
          <w:sz w:val="22"/>
          <w:szCs w:val="22"/>
          <w:lang w:eastAsia="en-GB"/>
          <w14:ligatures w14:val="none"/>
        </w:rPr>
        <w:t>g permission for</w:t>
      </w:r>
      <w:r w:rsidR="00D03720" w:rsidRPr="00D03720">
        <w:rPr>
          <w:rFonts w:ascii="Arial" w:eastAsia="Times New Roman" w:hAnsi="Arial" w:cs="Arial"/>
          <w:color w:val="000000" w:themeColor="text1"/>
          <w:kern w:val="0"/>
          <w:sz w:val="22"/>
          <w:szCs w:val="22"/>
          <w:lang w:eastAsia="en-GB"/>
          <w14:ligatures w14:val="none"/>
        </w:rPr>
        <w:t xml:space="preserve"> the conversion of an outbuilding into ancillary accommodation.</w:t>
      </w:r>
    </w:p>
    <w:p w14:paraId="6305B149"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6C6F2BE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7FF392A8"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67FEAD2" w14:textId="2E9AC1A6" w:rsidR="00D7647E" w:rsidRPr="00D7647E" w:rsidRDefault="00D03720" w:rsidP="00D7647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17305">
        <w:rPr>
          <w:rFonts w:ascii="Arial" w:eastAsia="Times New Roman" w:hAnsi="Arial" w:cs="Arial"/>
          <w:color w:val="000000" w:themeColor="text1"/>
          <w:kern w:val="0"/>
          <w:sz w:val="22"/>
          <w:szCs w:val="22"/>
          <w:lang w:eastAsia="en-GB"/>
          <w14:ligatures w14:val="none"/>
        </w:rPr>
        <w:t xml:space="preserve">The application relates to </w:t>
      </w:r>
      <w:r w:rsidR="00BF7C65" w:rsidRPr="00717305">
        <w:rPr>
          <w:rFonts w:ascii="Arial" w:eastAsia="Times New Roman" w:hAnsi="Arial" w:cs="Arial"/>
          <w:color w:val="000000" w:themeColor="text1"/>
          <w:kern w:val="0"/>
          <w:sz w:val="22"/>
          <w:szCs w:val="22"/>
          <w:lang w:eastAsia="en-GB"/>
          <w14:ligatures w14:val="none"/>
        </w:rPr>
        <w:t xml:space="preserve">an outbuilding in the residential curtilage </w:t>
      </w:r>
      <w:r w:rsidR="00F510AE" w:rsidRPr="00717305">
        <w:rPr>
          <w:rFonts w:ascii="Arial" w:eastAsia="Times New Roman" w:hAnsi="Arial" w:cs="Arial"/>
          <w:color w:val="000000" w:themeColor="text1"/>
          <w:kern w:val="0"/>
          <w:sz w:val="22"/>
          <w:szCs w:val="22"/>
          <w:lang w:eastAsia="en-GB"/>
          <w14:ligatures w14:val="none"/>
        </w:rPr>
        <w:t xml:space="preserve">of </w:t>
      </w:r>
      <w:r w:rsidRPr="00717305">
        <w:rPr>
          <w:rFonts w:ascii="Arial" w:eastAsia="Times New Roman" w:hAnsi="Arial" w:cs="Arial"/>
          <w:color w:val="000000" w:themeColor="text1"/>
          <w:kern w:val="0"/>
          <w:sz w:val="22"/>
          <w:szCs w:val="22"/>
          <w:lang w:eastAsia="en-GB"/>
          <w14:ligatures w14:val="none"/>
        </w:rPr>
        <w:t>Silverton Cottage</w:t>
      </w:r>
      <w:r w:rsidR="00BF7C65" w:rsidRPr="00717305">
        <w:rPr>
          <w:rFonts w:ascii="Arial" w:eastAsia="Times New Roman" w:hAnsi="Arial" w:cs="Arial"/>
          <w:color w:val="000000" w:themeColor="text1"/>
          <w:kern w:val="0"/>
          <w:sz w:val="22"/>
          <w:szCs w:val="22"/>
          <w:lang w:eastAsia="en-GB"/>
          <w14:ligatures w14:val="none"/>
        </w:rPr>
        <w:t>,</w:t>
      </w:r>
      <w:r w:rsidR="00F510AE" w:rsidRPr="00717305">
        <w:rPr>
          <w:rFonts w:ascii="Arial" w:eastAsia="Times New Roman" w:hAnsi="Arial" w:cs="Arial"/>
          <w:color w:val="000000" w:themeColor="text1"/>
          <w:kern w:val="0"/>
          <w:sz w:val="22"/>
          <w:szCs w:val="22"/>
          <w:lang w:eastAsia="en-GB"/>
          <w14:ligatures w14:val="none"/>
        </w:rPr>
        <w:t xml:space="preserve"> a Grade II listed building (List Entry Number:</w:t>
      </w:r>
      <w:r w:rsidR="001E5C6F" w:rsidRPr="00717305">
        <w:rPr>
          <w:rFonts w:ascii="Arial" w:eastAsia="Times New Roman" w:hAnsi="Arial" w:cs="Arial"/>
          <w:color w:val="000000" w:themeColor="text1"/>
          <w:kern w:val="0"/>
          <w:sz w:val="22"/>
          <w:szCs w:val="22"/>
          <w:lang w:eastAsia="en-GB"/>
          <w14:ligatures w14:val="none"/>
        </w:rPr>
        <w:t xml:space="preserve"> 1286120</w:t>
      </w:r>
      <w:r w:rsidR="00F510AE" w:rsidRPr="00717305">
        <w:rPr>
          <w:rFonts w:ascii="Arial" w:eastAsia="Times New Roman" w:hAnsi="Arial" w:cs="Arial"/>
          <w:color w:val="000000" w:themeColor="text1"/>
          <w:kern w:val="0"/>
          <w:sz w:val="22"/>
          <w:szCs w:val="22"/>
          <w:lang w:eastAsia="en-GB"/>
          <w14:ligatures w14:val="none"/>
        </w:rPr>
        <w:t>)</w:t>
      </w:r>
      <w:r w:rsidR="00BF7C65" w:rsidRPr="00717305">
        <w:rPr>
          <w:rFonts w:ascii="Arial" w:eastAsia="Times New Roman" w:hAnsi="Arial" w:cs="Arial"/>
          <w:color w:val="000000" w:themeColor="text1"/>
          <w:kern w:val="0"/>
          <w:sz w:val="22"/>
          <w:szCs w:val="22"/>
          <w:lang w:eastAsia="en-GB"/>
          <w14:ligatures w14:val="none"/>
        </w:rPr>
        <w:t xml:space="preserve"> </w:t>
      </w:r>
      <w:r w:rsidR="004043B3" w:rsidRPr="00717305">
        <w:rPr>
          <w:rFonts w:ascii="Arial" w:eastAsia="Times New Roman" w:hAnsi="Arial" w:cs="Arial"/>
          <w:color w:val="000000" w:themeColor="text1"/>
          <w:kern w:val="0"/>
          <w:sz w:val="22"/>
          <w:szCs w:val="22"/>
          <w:lang w:eastAsia="en-GB"/>
          <w14:ligatures w14:val="none"/>
        </w:rPr>
        <w:t xml:space="preserve">located in the settlement of </w:t>
      </w:r>
      <w:r w:rsidR="00BF7C65" w:rsidRPr="00717305">
        <w:rPr>
          <w:rFonts w:ascii="Arial" w:eastAsia="Times New Roman" w:hAnsi="Arial" w:cs="Arial"/>
          <w:color w:val="000000" w:themeColor="text1"/>
          <w:kern w:val="0"/>
          <w:sz w:val="22"/>
          <w:szCs w:val="22"/>
          <w:lang w:eastAsia="en-GB"/>
          <w14:ligatures w14:val="none"/>
        </w:rPr>
        <w:t xml:space="preserve">Woodborough, Pewsey. </w:t>
      </w:r>
      <w:r w:rsidR="00992C4D">
        <w:rPr>
          <w:rFonts w:ascii="Arial" w:eastAsia="Times New Roman" w:hAnsi="Arial" w:cs="Arial"/>
          <w:color w:val="000000" w:themeColor="text1"/>
          <w:kern w:val="0"/>
          <w:sz w:val="22"/>
          <w:szCs w:val="22"/>
          <w:lang w:eastAsia="en-GB"/>
          <w14:ligatures w14:val="none"/>
        </w:rPr>
        <w:t xml:space="preserve">The main dwellinghouse is characterised by </w:t>
      </w:r>
      <w:r w:rsidR="00D7647E" w:rsidRPr="00D7647E">
        <w:rPr>
          <w:rFonts w:ascii="Arial" w:eastAsia="Times New Roman" w:hAnsi="Arial" w:cs="Arial"/>
          <w:color w:val="000000" w:themeColor="text1"/>
          <w:kern w:val="0"/>
          <w:sz w:val="22"/>
          <w:szCs w:val="22"/>
          <w:lang w:eastAsia="en-GB"/>
          <w14:ligatures w14:val="none"/>
        </w:rPr>
        <w:t>its traditional rural appearance, comprising a substantial red brick farmhouse with a prominent thatched roof, timber detailing and a simple domestic curtilage that contributes positively to its historic character and setting.</w:t>
      </w:r>
      <w:r w:rsidR="00D7647E">
        <w:rPr>
          <w:rFonts w:ascii="Arial" w:eastAsia="Times New Roman" w:hAnsi="Arial" w:cs="Arial"/>
          <w:color w:val="000000" w:themeColor="text1"/>
          <w:kern w:val="0"/>
          <w:sz w:val="22"/>
          <w:szCs w:val="22"/>
          <w:lang w:eastAsia="en-GB"/>
          <w14:ligatures w14:val="none"/>
        </w:rPr>
        <w:t xml:space="preserve"> </w:t>
      </w:r>
      <w:r w:rsidR="000E7DDF">
        <w:rPr>
          <w:rFonts w:ascii="Arial" w:eastAsia="Times New Roman" w:hAnsi="Arial" w:cs="Arial"/>
          <w:color w:val="000000" w:themeColor="text1"/>
          <w:kern w:val="0"/>
          <w:sz w:val="22"/>
          <w:szCs w:val="22"/>
          <w:lang w:eastAsia="en-GB"/>
          <w14:ligatures w14:val="none"/>
        </w:rPr>
        <w:t xml:space="preserve">The outbuilding is located in the southwestern corner of the plot, approximately </w:t>
      </w:r>
      <w:r w:rsidR="00DF1E14">
        <w:rPr>
          <w:rFonts w:ascii="Arial" w:eastAsia="Times New Roman" w:hAnsi="Arial" w:cs="Arial"/>
          <w:color w:val="000000" w:themeColor="text1"/>
          <w:kern w:val="0"/>
          <w:sz w:val="22"/>
          <w:szCs w:val="22"/>
          <w:lang w:eastAsia="en-GB"/>
          <w14:ligatures w14:val="none"/>
        </w:rPr>
        <w:t xml:space="preserve">54 metres from the main dwellinghouse. It consists of a </w:t>
      </w:r>
      <w:r w:rsidR="00D935D0">
        <w:rPr>
          <w:rFonts w:ascii="Arial" w:eastAsia="Times New Roman" w:hAnsi="Arial" w:cs="Arial"/>
          <w:color w:val="000000" w:themeColor="text1"/>
          <w:kern w:val="0"/>
          <w:sz w:val="22"/>
          <w:szCs w:val="22"/>
          <w:lang w:eastAsia="en-GB"/>
          <w14:ligatures w14:val="none"/>
        </w:rPr>
        <w:t>traditional</w:t>
      </w:r>
      <w:r w:rsidR="00DF1E14">
        <w:rPr>
          <w:rFonts w:ascii="Arial" w:eastAsia="Times New Roman" w:hAnsi="Arial" w:cs="Arial"/>
          <w:color w:val="000000" w:themeColor="text1"/>
          <w:kern w:val="0"/>
          <w:sz w:val="22"/>
          <w:szCs w:val="22"/>
          <w:lang w:eastAsia="en-GB"/>
          <w14:ligatures w14:val="none"/>
        </w:rPr>
        <w:t xml:space="preserve"> design, with </w:t>
      </w:r>
      <w:r w:rsidR="00D935D0">
        <w:rPr>
          <w:rFonts w:ascii="Arial" w:eastAsia="Times New Roman" w:hAnsi="Arial" w:cs="Arial"/>
          <w:color w:val="000000" w:themeColor="text1"/>
          <w:kern w:val="0"/>
          <w:sz w:val="22"/>
          <w:szCs w:val="22"/>
          <w:lang w:eastAsia="en-GB"/>
          <w14:ligatures w14:val="none"/>
        </w:rPr>
        <w:t>horizontal</w:t>
      </w:r>
      <w:r w:rsidR="00DF1E14">
        <w:rPr>
          <w:rFonts w:ascii="Arial" w:eastAsia="Times New Roman" w:hAnsi="Arial" w:cs="Arial"/>
          <w:color w:val="000000" w:themeColor="text1"/>
          <w:kern w:val="0"/>
          <w:sz w:val="22"/>
          <w:szCs w:val="22"/>
          <w:lang w:eastAsia="en-GB"/>
          <w14:ligatures w14:val="none"/>
        </w:rPr>
        <w:t xml:space="preserve"> timber clad walls above a brick </w:t>
      </w:r>
      <w:r w:rsidR="00D935D0">
        <w:rPr>
          <w:rFonts w:ascii="Arial" w:eastAsia="Times New Roman" w:hAnsi="Arial" w:cs="Arial"/>
          <w:color w:val="000000" w:themeColor="text1"/>
          <w:kern w:val="0"/>
          <w:sz w:val="22"/>
          <w:szCs w:val="22"/>
          <w:lang w:eastAsia="en-GB"/>
          <w14:ligatures w14:val="none"/>
        </w:rPr>
        <w:t>plinth</w:t>
      </w:r>
      <w:r w:rsidR="00DF1E14">
        <w:rPr>
          <w:rFonts w:ascii="Arial" w:eastAsia="Times New Roman" w:hAnsi="Arial" w:cs="Arial"/>
          <w:color w:val="000000" w:themeColor="text1"/>
          <w:kern w:val="0"/>
          <w:sz w:val="22"/>
          <w:szCs w:val="22"/>
          <w:lang w:eastAsia="en-GB"/>
          <w14:ligatures w14:val="none"/>
        </w:rPr>
        <w:t xml:space="preserve"> and </w:t>
      </w:r>
      <w:r w:rsidR="00D935D0">
        <w:rPr>
          <w:rFonts w:ascii="Arial" w:eastAsia="Times New Roman" w:hAnsi="Arial" w:cs="Arial"/>
          <w:color w:val="000000" w:themeColor="text1"/>
          <w:kern w:val="0"/>
          <w:sz w:val="22"/>
          <w:szCs w:val="22"/>
          <w:lang w:eastAsia="en-GB"/>
          <w14:ligatures w14:val="none"/>
        </w:rPr>
        <w:t>a natural slate roof.</w:t>
      </w:r>
    </w:p>
    <w:p w14:paraId="51D3A2C9" w14:textId="14602FA4" w:rsidR="001E5C6F" w:rsidRPr="00717305" w:rsidRDefault="001E5C6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6D10E6C" w14:textId="6A52E44B" w:rsidR="001E5C6F" w:rsidRPr="00717305" w:rsidRDefault="001E5C6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17305">
        <w:rPr>
          <w:rFonts w:ascii="Arial" w:eastAsia="Times New Roman" w:hAnsi="Arial" w:cs="Arial"/>
          <w:color w:val="000000" w:themeColor="text1"/>
          <w:kern w:val="0"/>
          <w:sz w:val="22"/>
          <w:szCs w:val="22"/>
          <w:lang w:eastAsia="en-GB"/>
          <w14:ligatures w14:val="none"/>
        </w:rPr>
        <w:t>The statutory listing of the property is as follows:</w:t>
      </w:r>
    </w:p>
    <w:p w14:paraId="5346D2C3" w14:textId="77777777" w:rsidR="001E5C6F" w:rsidRPr="00717305" w:rsidRDefault="001E5C6F"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CE84BB" w14:textId="5CDD1C7F" w:rsidR="001E5C6F" w:rsidRPr="00717305" w:rsidRDefault="00717305" w:rsidP="006D4A80">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17305">
        <w:rPr>
          <w:rFonts w:ascii="Arial" w:eastAsia="Times New Roman" w:hAnsi="Arial" w:cs="Arial"/>
          <w:i/>
          <w:iCs/>
          <w:color w:val="000000" w:themeColor="text1"/>
          <w:kern w:val="0"/>
          <w:sz w:val="22"/>
          <w:szCs w:val="22"/>
          <w:lang w:eastAsia="en-GB"/>
          <w14:ligatures w14:val="none"/>
        </w:rPr>
        <w:t>House, once 3 cottages. C17, C18 and C19. Timber framed with brick noggings, extended both ends in brick. Thatched roof. Two storeys, central earlier block of 2 bays. Framing to ground floor replaced C20 and thatched porch added. C18 one bay extension beyond original gable stack to left, in diaper brickwork and thatched, and 1 bay beyond gable stack to right, C19. Most windows replaced C20. Roof hipped left and half-hipped right. Lean-to to rear.</w:t>
      </w:r>
      <w:r w:rsidRPr="00717305">
        <w:rPr>
          <w:rFonts w:ascii="Arial" w:eastAsia="Times New Roman" w:hAnsi="Arial" w:cs="Arial"/>
          <w:i/>
          <w:iCs/>
          <w:color w:val="000000" w:themeColor="text1"/>
          <w:kern w:val="0"/>
          <w:sz w:val="22"/>
          <w:szCs w:val="22"/>
          <w:lang w:eastAsia="en-GB"/>
          <w14:ligatures w14:val="none"/>
        </w:rPr>
        <w:br/>
      </w:r>
      <w:r w:rsidRPr="00717305">
        <w:rPr>
          <w:rFonts w:ascii="Arial" w:eastAsia="Times New Roman" w:hAnsi="Arial" w:cs="Arial"/>
          <w:i/>
          <w:iCs/>
          <w:color w:val="000000" w:themeColor="text1"/>
          <w:kern w:val="0"/>
          <w:sz w:val="22"/>
          <w:szCs w:val="22"/>
          <w:lang w:eastAsia="en-GB"/>
          <w14:ligatures w14:val="none"/>
        </w:rPr>
        <w:br/>
        <w:t>Listing NGR: SU1122360063</w:t>
      </w:r>
    </w:p>
    <w:p w14:paraId="571A6807"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B15C7C9"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7D9E2B6E"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7F50AC1" w14:textId="77C9A191" w:rsidR="00965A06" w:rsidRPr="00027D85" w:rsidRDefault="004043B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7D85">
        <w:rPr>
          <w:rFonts w:ascii="Arial" w:eastAsia="Times New Roman" w:hAnsi="Arial" w:cs="Arial"/>
          <w:color w:val="000000" w:themeColor="text1"/>
          <w:kern w:val="0"/>
          <w:sz w:val="22"/>
          <w:szCs w:val="22"/>
          <w:lang w:eastAsia="en-GB"/>
          <w14:ligatures w14:val="none"/>
        </w:rPr>
        <w:t>Grade II listed building</w:t>
      </w:r>
      <w:r w:rsidR="008B4AA7" w:rsidRPr="00027D85">
        <w:rPr>
          <w:rFonts w:ascii="Arial" w:eastAsia="Times New Roman" w:hAnsi="Arial" w:cs="Arial"/>
          <w:color w:val="000000" w:themeColor="text1"/>
          <w:kern w:val="0"/>
          <w:sz w:val="22"/>
          <w:szCs w:val="22"/>
          <w:lang w:eastAsia="en-GB"/>
          <w14:ligatures w14:val="none"/>
        </w:rPr>
        <w:t xml:space="preserve"> (List Entry Number: </w:t>
      </w:r>
      <w:r w:rsidR="001E5C6F" w:rsidRPr="00027D85">
        <w:rPr>
          <w:rFonts w:ascii="Arial" w:eastAsia="Times New Roman" w:hAnsi="Arial" w:cs="Arial"/>
          <w:color w:val="000000" w:themeColor="text1"/>
          <w:kern w:val="0"/>
          <w:sz w:val="22"/>
          <w:szCs w:val="22"/>
          <w:lang w:eastAsia="en-GB"/>
          <w14:ligatures w14:val="none"/>
        </w:rPr>
        <w:t>1286120)</w:t>
      </w:r>
    </w:p>
    <w:p w14:paraId="463F21D1" w14:textId="15296373" w:rsidR="008B4AA7" w:rsidRPr="00027D85" w:rsidRDefault="008B4AA7"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7D85">
        <w:rPr>
          <w:rFonts w:ascii="Arial" w:eastAsia="Times New Roman" w:hAnsi="Arial" w:cs="Arial"/>
          <w:color w:val="000000" w:themeColor="text1"/>
          <w:kern w:val="0"/>
          <w:sz w:val="22"/>
          <w:szCs w:val="22"/>
          <w:lang w:eastAsia="en-GB"/>
          <w14:ligatures w14:val="none"/>
        </w:rPr>
        <w:t>Located within the Woodborough Conservation Area.</w:t>
      </w:r>
    </w:p>
    <w:p w14:paraId="3630383E" w14:textId="50930CC7" w:rsidR="002E1221" w:rsidRPr="00027D85" w:rsidRDefault="002E122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7D85">
        <w:rPr>
          <w:rFonts w:ascii="Arial" w:eastAsia="Times New Roman" w:hAnsi="Arial" w:cs="Arial"/>
          <w:color w:val="000000" w:themeColor="text1"/>
          <w:kern w:val="0"/>
          <w:sz w:val="22"/>
          <w:szCs w:val="22"/>
          <w:lang w:eastAsia="en-GB"/>
          <w14:ligatures w14:val="none"/>
        </w:rPr>
        <w:t>Located in the North Wessex Downs National Landscape.</w:t>
      </w:r>
    </w:p>
    <w:p w14:paraId="497FA93C" w14:textId="5FDD18E1" w:rsidR="003573CE" w:rsidRPr="00027D85" w:rsidRDefault="003573C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7D85">
        <w:rPr>
          <w:rFonts w:ascii="Arial" w:eastAsia="Times New Roman" w:hAnsi="Arial" w:cs="Arial"/>
          <w:color w:val="000000" w:themeColor="text1"/>
          <w:kern w:val="0"/>
          <w:sz w:val="22"/>
          <w:szCs w:val="22"/>
          <w:lang w:eastAsia="en-GB"/>
          <w14:ligatures w14:val="none"/>
        </w:rPr>
        <w:t>Public Right of Way (WBOR</w:t>
      </w:r>
      <w:r w:rsidR="00E96420">
        <w:rPr>
          <w:rFonts w:ascii="Arial" w:eastAsia="Times New Roman" w:hAnsi="Arial" w:cs="Arial"/>
          <w:color w:val="000000" w:themeColor="text1"/>
          <w:kern w:val="0"/>
          <w:sz w:val="22"/>
          <w:szCs w:val="22"/>
          <w:lang w:eastAsia="en-GB"/>
          <w14:ligatures w14:val="none"/>
        </w:rPr>
        <w:t>9</w:t>
      </w:r>
      <w:r w:rsidRPr="00027D85">
        <w:rPr>
          <w:rFonts w:ascii="Arial" w:eastAsia="Times New Roman" w:hAnsi="Arial" w:cs="Arial"/>
          <w:color w:val="000000" w:themeColor="text1"/>
          <w:kern w:val="0"/>
          <w:sz w:val="22"/>
          <w:szCs w:val="22"/>
          <w:lang w:eastAsia="en-GB"/>
          <w14:ligatures w14:val="none"/>
        </w:rPr>
        <w:t xml:space="preserve">) </w:t>
      </w:r>
      <w:r w:rsidR="000B000E" w:rsidRPr="00027D85">
        <w:rPr>
          <w:rFonts w:ascii="Arial" w:eastAsia="Times New Roman" w:hAnsi="Arial" w:cs="Arial"/>
          <w:color w:val="000000" w:themeColor="text1"/>
          <w:kern w:val="0"/>
          <w:sz w:val="22"/>
          <w:szCs w:val="22"/>
          <w:lang w:eastAsia="en-GB"/>
          <w14:ligatures w14:val="none"/>
        </w:rPr>
        <w:t>runs immediately to the southeast of the site.</w:t>
      </w:r>
    </w:p>
    <w:p w14:paraId="77484D27" w14:textId="14A5AB87" w:rsidR="005528C5" w:rsidRPr="00027D85" w:rsidRDefault="005528C5"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27D85">
        <w:rPr>
          <w:rFonts w:ascii="Arial" w:eastAsia="Times New Roman" w:hAnsi="Arial" w:cs="Arial"/>
          <w:color w:val="000000" w:themeColor="text1"/>
          <w:kern w:val="0"/>
          <w:sz w:val="22"/>
          <w:szCs w:val="22"/>
          <w:lang w:eastAsia="en-GB"/>
          <w14:ligatures w14:val="none"/>
        </w:rPr>
        <w:t>Flood Zone 1.</w:t>
      </w:r>
    </w:p>
    <w:p w14:paraId="4EAA684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A6E4CC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0C7572C" w14:textId="77777777" w:rsidR="00DE218A" w:rsidRDefault="00DE218A" w:rsidP="009C1702">
      <w:pPr>
        <w:spacing w:after="0" w:line="276" w:lineRule="auto"/>
        <w:jc w:val="both"/>
        <w:outlineLvl w:val="2"/>
        <w:rPr>
          <w:rFonts w:ascii="Arial" w:eastAsia="Times New Roman" w:hAnsi="Arial" w:cs="Arial"/>
          <w:b/>
          <w:bCs/>
          <w:kern w:val="0"/>
          <w:sz w:val="22"/>
          <w:szCs w:val="22"/>
          <w:lang w:eastAsia="en-GB"/>
          <w14:ligatures w14:val="none"/>
        </w:rPr>
      </w:pPr>
    </w:p>
    <w:p w14:paraId="1245FCC7" w14:textId="5B9A38EE" w:rsidR="00DE218A" w:rsidRDefault="00DE218A" w:rsidP="00DE218A">
      <w:pPr>
        <w:jc w:val="both"/>
        <w:rPr>
          <w:rFonts w:ascii="Arial" w:eastAsia="Times New Roman" w:hAnsi="Arial" w:cs="Arial"/>
          <w:color w:val="000000" w:themeColor="text1"/>
          <w:kern w:val="0"/>
          <w:sz w:val="22"/>
          <w:szCs w:val="22"/>
          <w:lang w:eastAsia="en-GB"/>
          <w14:ligatures w14:val="none"/>
        </w:rPr>
      </w:pPr>
      <w:r w:rsidRPr="00FD4DDA">
        <w:rPr>
          <w:rFonts w:ascii="Arial" w:eastAsia="Times New Roman" w:hAnsi="Arial" w:cs="Arial"/>
          <w:color w:val="000000" w:themeColor="text1"/>
          <w:kern w:val="0"/>
          <w:sz w:val="22"/>
          <w:szCs w:val="22"/>
          <w:lang w:eastAsia="en-GB"/>
          <w14:ligatures w14:val="none"/>
        </w:rPr>
        <w:t>K/55005/F - Removal of two existing sheds (one derelict) and replacement with single wooden garden store. Approved with Conditions 13</w:t>
      </w:r>
      <w:r w:rsidRPr="00FD4DDA">
        <w:rPr>
          <w:rFonts w:ascii="Arial" w:eastAsia="Times New Roman" w:hAnsi="Arial" w:cs="Arial"/>
          <w:color w:val="000000" w:themeColor="text1"/>
          <w:kern w:val="0"/>
          <w:sz w:val="22"/>
          <w:szCs w:val="22"/>
          <w:vertAlign w:val="superscript"/>
          <w:lang w:eastAsia="en-GB"/>
          <w14:ligatures w14:val="none"/>
        </w:rPr>
        <w:t>th</w:t>
      </w:r>
      <w:r w:rsidRPr="00FD4DDA">
        <w:rPr>
          <w:rFonts w:ascii="Arial" w:eastAsia="Times New Roman" w:hAnsi="Arial" w:cs="Arial"/>
          <w:color w:val="000000" w:themeColor="text1"/>
          <w:kern w:val="0"/>
          <w:sz w:val="22"/>
          <w:szCs w:val="22"/>
          <w:lang w:eastAsia="en-GB"/>
          <w14:ligatures w14:val="none"/>
        </w:rPr>
        <w:t xml:space="preserve"> October 2006.</w:t>
      </w:r>
    </w:p>
    <w:p w14:paraId="55503696" w14:textId="77777777" w:rsidR="00DE218A" w:rsidRDefault="00DE218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C96F3DA" w14:textId="21FF2C38" w:rsidR="00F932D6" w:rsidRPr="00FD4DDA" w:rsidRDefault="00F545B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D4DDA">
        <w:rPr>
          <w:rFonts w:ascii="Arial" w:eastAsia="Times New Roman" w:hAnsi="Arial" w:cs="Arial"/>
          <w:color w:val="000000" w:themeColor="text1"/>
          <w:kern w:val="0"/>
          <w:sz w:val="22"/>
          <w:szCs w:val="22"/>
          <w:lang w:eastAsia="en-GB"/>
          <w14:ligatures w14:val="none"/>
        </w:rPr>
        <w:t>16/01721/FUL - Erection of 3.2m x 2.7m timber frame greenhouse</w:t>
      </w:r>
      <w:r w:rsidR="00FD4DDA" w:rsidRPr="00FD4DDA">
        <w:rPr>
          <w:rFonts w:ascii="Arial" w:eastAsia="Times New Roman" w:hAnsi="Arial" w:cs="Arial"/>
          <w:color w:val="000000" w:themeColor="text1"/>
          <w:kern w:val="0"/>
          <w:sz w:val="22"/>
          <w:szCs w:val="22"/>
          <w:lang w:eastAsia="en-GB"/>
          <w14:ligatures w14:val="none"/>
        </w:rPr>
        <w:t>. Approved with Conditions 4</w:t>
      </w:r>
      <w:r w:rsidR="00FD4DDA" w:rsidRPr="00FD4DDA">
        <w:rPr>
          <w:rFonts w:ascii="Arial" w:eastAsia="Times New Roman" w:hAnsi="Arial" w:cs="Arial"/>
          <w:color w:val="000000" w:themeColor="text1"/>
          <w:kern w:val="0"/>
          <w:sz w:val="22"/>
          <w:szCs w:val="22"/>
          <w:vertAlign w:val="superscript"/>
          <w:lang w:eastAsia="en-GB"/>
          <w14:ligatures w14:val="none"/>
        </w:rPr>
        <w:t>th</w:t>
      </w:r>
      <w:r w:rsidR="00FD4DDA" w:rsidRPr="00FD4DDA">
        <w:rPr>
          <w:rFonts w:ascii="Arial" w:eastAsia="Times New Roman" w:hAnsi="Arial" w:cs="Arial"/>
          <w:color w:val="000000" w:themeColor="text1"/>
          <w:kern w:val="0"/>
          <w:sz w:val="22"/>
          <w:szCs w:val="22"/>
          <w:lang w:eastAsia="en-GB"/>
          <w14:ligatures w14:val="none"/>
        </w:rPr>
        <w:t xml:space="preserve"> April 2016.</w:t>
      </w:r>
    </w:p>
    <w:p w14:paraId="53B0A4D3" w14:textId="77777777" w:rsidR="00E773E6" w:rsidRDefault="00E773E6" w:rsidP="009C1702">
      <w:pPr>
        <w:spacing w:after="0" w:line="276" w:lineRule="auto"/>
        <w:jc w:val="both"/>
        <w:rPr>
          <w:rFonts w:ascii="Arial" w:eastAsia="Times New Roman" w:hAnsi="Arial" w:cs="Arial"/>
          <w:b/>
          <w:bCs/>
          <w:kern w:val="0"/>
          <w:sz w:val="22"/>
          <w:szCs w:val="22"/>
          <w:lang w:eastAsia="en-GB"/>
          <w14:ligatures w14:val="none"/>
        </w:rPr>
      </w:pPr>
    </w:p>
    <w:p w14:paraId="4615EF07"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27FAAB2"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6C44FA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342F624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84C3162" w14:textId="77777777" w:rsidR="00315AE0" w:rsidRPr="004043B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043B3">
        <w:rPr>
          <w:rFonts w:ascii="Arial" w:eastAsia="Times New Roman" w:hAnsi="Arial" w:cs="Arial"/>
          <w:color w:val="000000" w:themeColor="text1"/>
          <w:kern w:val="0"/>
          <w:sz w:val="22"/>
          <w:szCs w:val="22"/>
          <w:lang w:eastAsia="en-GB"/>
          <w14:ligatures w14:val="none"/>
        </w:rPr>
        <w:t>Core Policy 50</w:t>
      </w:r>
      <w:r w:rsidR="006A735A" w:rsidRPr="004043B3">
        <w:rPr>
          <w:rFonts w:ascii="Arial" w:eastAsia="Times New Roman" w:hAnsi="Arial" w:cs="Arial"/>
          <w:color w:val="000000" w:themeColor="text1"/>
          <w:kern w:val="0"/>
          <w:sz w:val="22"/>
          <w:szCs w:val="22"/>
          <w:lang w:eastAsia="en-GB"/>
          <w14:ligatures w14:val="none"/>
        </w:rPr>
        <w:t>:</w:t>
      </w:r>
      <w:r w:rsidRPr="004043B3">
        <w:rPr>
          <w:rFonts w:ascii="Arial" w:eastAsia="Times New Roman" w:hAnsi="Arial" w:cs="Arial"/>
          <w:color w:val="000000" w:themeColor="text1"/>
          <w:kern w:val="0"/>
          <w:sz w:val="22"/>
          <w:szCs w:val="22"/>
          <w:lang w:eastAsia="en-GB"/>
          <w14:ligatures w14:val="none"/>
        </w:rPr>
        <w:t xml:space="preserve"> Biodiversity and Geodiversity </w:t>
      </w:r>
    </w:p>
    <w:p w14:paraId="7E0F5311" w14:textId="6CC3B843" w:rsidR="00315AE0" w:rsidRPr="004043B3"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043B3">
        <w:rPr>
          <w:rFonts w:ascii="Arial" w:eastAsia="Times New Roman" w:hAnsi="Arial" w:cs="Arial"/>
          <w:color w:val="000000" w:themeColor="text1"/>
          <w:kern w:val="0"/>
          <w:sz w:val="22"/>
          <w:szCs w:val="22"/>
          <w:lang w:eastAsia="en-GB"/>
          <w14:ligatures w14:val="none"/>
        </w:rPr>
        <w:t>Core Policy 51</w:t>
      </w:r>
      <w:r w:rsidR="006A735A" w:rsidRPr="004043B3">
        <w:rPr>
          <w:rFonts w:ascii="Arial" w:eastAsia="Times New Roman" w:hAnsi="Arial" w:cs="Arial"/>
          <w:color w:val="000000" w:themeColor="text1"/>
          <w:kern w:val="0"/>
          <w:sz w:val="22"/>
          <w:szCs w:val="22"/>
          <w:lang w:eastAsia="en-GB"/>
          <w14:ligatures w14:val="none"/>
        </w:rPr>
        <w:t xml:space="preserve">: </w:t>
      </w:r>
      <w:r w:rsidRPr="004043B3">
        <w:rPr>
          <w:rFonts w:ascii="Arial" w:eastAsia="Times New Roman" w:hAnsi="Arial" w:cs="Arial"/>
          <w:color w:val="000000" w:themeColor="text1"/>
          <w:kern w:val="0"/>
          <w:sz w:val="22"/>
          <w:szCs w:val="22"/>
          <w:lang w:eastAsia="en-GB"/>
          <w14:ligatures w14:val="none"/>
        </w:rPr>
        <w:t>Landscape</w:t>
      </w:r>
    </w:p>
    <w:p w14:paraId="070A6814" w14:textId="0F9AD78D" w:rsidR="004043B3" w:rsidRPr="004043B3" w:rsidRDefault="004043B3" w:rsidP="004043B3">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2CF2A48B" w14:textId="77777777" w:rsidR="00683C17" w:rsidRPr="00443DA3"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43DA3">
        <w:rPr>
          <w:rFonts w:ascii="Arial" w:eastAsia="Times New Roman" w:hAnsi="Arial" w:cs="Arial"/>
          <w:color w:val="000000" w:themeColor="text1"/>
          <w:kern w:val="0"/>
          <w:sz w:val="22"/>
          <w:szCs w:val="22"/>
          <w:lang w:eastAsia="en-GB"/>
          <w14:ligatures w14:val="none"/>
        </w:rPr>
        <w:t>Core Policy 58</w:t>
      </w:r>
      <w:r w:rsidR="006A735A" w:rsidRPr="00443DA3">
        <w:rPr>
          <w:rFonts w:ascii="Arial" w:eastAsia="Times New Roman" w:hAnsi="Arial" w:cs="Arial"/>
          <w:color w:val="000000" w:themeColor="text1"/>
          <w:kern w:val="0"/>
          <w:sz w:val="22"/>
          <w:szCs w:val="22"/>
          <w:lang w:eastAsia="en-GB"/>
          <w14:ligatures w14:val="none"/>
        </w:rPr>
        <w:t>:</w:t>
      </w:r>
      <w:r w:rsidR="00315AE0" w:rsidRPr="00443DA3">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739F3B97" w14:textId="77777777" w:rsidR="009F684B" w:rsidRPr="00443DA3"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43DA3">
        <w:rPr>
          <w:rFonts w:ascii="Arial" w:eastAsia="Times New Roman" w:hAnsi="Arial" w:cs="Arial"/>
          <w:color w:val="000000" w:themeColor="text1"/>
          <w:kern w:val="0"/>
          <w:sz w:val="22"/>
          <w:szCs w:val="22"/>
          <w:lang w:eastAsia="en-GB"/>
          <w14:ligatures w14:val="none"/>
        </w:rPr>
        <w:t>Core Policy 61</w:t>
      </w:r>
      <w:r w:rsidR="006A735A" w:rsidRPr="00443DA3">
        <w:rPr>
          <w:rFonts w:ascii="Arial" w:eastAsia="Times New Roman" w:hAnsi="Arial" w:cs="Arial"/>
          <w:color w:val="000000" w:themeColor="text1"/>
          <w:kern w:val="0"/>
          <w:sz w:val="22"/>
          <w:szCs w:val="22"/>
          <w:lang w:eastAsia="en-GB"/>
          <w14:ligatures w14:val="none"/>
        </w:rPr>
        <w:t>:</w:t>
      </w:r>
      <w:r w:rsidRPr="00443DA3">
        <w:rPr>
          <w:rFonts w:ascii="Arial" w:eastAsia="Times New Roman" w:hAnsi="Arial" w:cs="Arial"/>
          <w:color w:val="000000" w:themeColor="text1"/>
          <w:kern w:val="0"/>
          <w:sz w:val="22"/>
          <w:szCs w:val="22"/>
          <w:lang w:eastAsia="en-GB"/>
          <w14:ligatures w14:val="none"/>
        </w:rPr>
        <w:t xml:space="preserve"> Transport and New Development</w:t>
      </w:r>
    </w:p>
    <w:p w14:paraId="3EBDFA8E" w14:textId="77777777" w:rsidR="009F684B" w:rsidRPr="00443DA3"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43DA3">
        <w:rPr>
          <w:rFonts w:ascii="Arial" w:eastAsia="Times New Roman" w:hAnsi="Arial" w:cs="Arial"/>
          <w:color w:val="000000" w:themeColor="text1"/>
          <w:kern w:val="0"/>
          <w:sz w:val="22"/>
          <w:szCs w:val="22"/>
          <w:lang w:eastAsia="en-GB"/>
          <w14:ligatures w14:val="none"/>
        </w:rPr>
        <w:t>Core Policy 64</w:t>
      </w:r>
      <w:r w:rsidR="006A735A" w:rsidRPr="00443DA3">
        <w:rPr>
          <w:rFonts w:ascii="Arial" w:eastAsia="Times New Roman" w:hAnsi="Arial" w:cs="Arial"/>
          <w:color w:val="000000" w:themeColor="text1"/>
          <w:kern w:val="0"/>
          <w:sz w:val="22"/>
          <w:szCs w:val="22"/>
          <w:lang w:eastAsia="en-GB"/>
          <w14:ligatures w14:val="none"/>
        </w:rPr>
        <w:t>:</w:t>
      </w:r>
      <w:r w:rsidRPr="00443DA3">
        <w:rPr>
          <w:rFonts w:ascii="Arial" w:eastAsia="Times New Roman" w:hAnsi="Arial" w:cs="Arial"/>
          <w:color w:val="000000" w:themeColor="text1"/>
          <w:kern w:val="0"/>
          <w:sz w:val="22"/>
          <w:szCs w:val="22"/>
          <w:lang w:eastAsia="en-GB"/>
          <w14:ligatures w14:val="none"/>
        </w:rPr>
        <w:t xml:space="preserve"> Demand Management</w:t>
      </w:r>
    </w:p>
    <w:p w14:paraId="102A8509"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5A8D4BF" w14:textId="5ED5780A" w:rsidR="0021435E" w:rsidRPr="008F7491" w:rsidRDefault="008F749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F7491">
        <w:rPr>
          <w:rFonts w:ascii="Arial" w:eastAsia="Times New Roman" w:hAnsi="Arial" w:cs="Arial"/>
          <w:color w:val="000000" w:themeColor="text1"/>
          <w:kern w:val="0"/>
          <w:sz w:val="22"/>
          <w:szCs w:val="22"/>
          <w:lang w:eastAsia="en-GB"/>
          <w14:ligatures w14:val="none"/>
        </w:rPr>
        <w:t>Woodborough Conservation Area Designation Statement</w:t>
      </w:r>
    </w:p>
    <w:p w14:paraId="08F65D6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6E6942B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730E5E1"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09EFD79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12D553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32B687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4353614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0C744D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7A8F5D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7EB7419" w14:textId="098C0FE0" w:rsidR="0016162B" w:rsidRPr="00E16B1D" w:rsidRDefault="00562C0D"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Woodborough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0" w:name="_Hlk198304422"/>
      <w:r w:rsidR="008647D5">
        <w:rPr>
          <w:rFonts w:ascii="Arial" w:eastAsia="Times New Roman" w:hAnsi="Arial" w:cs="Arial"/>
          <w:kern w:val="0"/>
          <w:sz w:val="22"/>
          <w:szCs w:val="22"/>
          <w:lang w:eastAsia="en-GB"/>
          <w14:ligatures w14:val="none"/>
        </w:rPr>
        <w:t>No objection subject to ancillary condition.</w:t>
      </w:r>
    </w:p>
    <w:bookmarkEnd w:id="0"/>
    <w:p w14:paraId="3ED1B1C2"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12ACCDD3" w14:textId="55FBD150" w:rsidR="005202BB" w:rsidRPr="003349EF" w:rsidRDefault="005202B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349EF">
        <w:rPr>
          <w:rFonts w:ascii="Arial" w:eastAsia="Times New Roman" w:hAnsi="Arial" w:cs="Arial"/>
          <w:color w:val="000000" w:themeColor="text1"/>
          <w:kern w:val="0"/>
          <w:sz w:val="22"/>
          <w:szCs w:val="22"/>
          <w:u w:val="single"/>
          <w:lang w:eastAsia="en-GB"/>
          <w14:ligatures w14:val="none"/>
        </w:rPr>
        <w:t>Conservation</w:t>
      </w:r>
      <w:r w:rsidRPr="003349EF">
        <w:rPr>
          <w:rFonts w:ascii="Arial" w:eastAsia="Times New Roman" w:hAnsi="Arial" w:cs="Arial"/>
          <w:color w:val="000000" w:themeColor="text1"/>
          <w:kern w:val="0"/>
          <w:sz w:val="22"/>
          <w:szCs w:val="22"/>
          <w:lang w:eastAsia="en-GB"/>
          <w14:ligatures w14:val="none"/>
        </w:rPr>
        <w:t>:</w:t>
      </w:r>
      <w:r w:rsidR="00DA31D7">
        <w:rPr>
          <w:rFonts w:ascii="Arial" w:eastAsia="Times New Roman" w:hAnsi="Arial" w:cs="Arial"/>
          <w:color w:val="000000" w:themeColor="text1"/>
          <w:kern w:val="0"/>
          <w:sz w:val="22"/>
          <w:szCs w:val="22"/>
          <w:lang w:eastAsia="en-GB"/>
          <w14:ligatures w14:val="none"/>
        </w:rPr>
        <w:t xml:space="preserve"> No objection.</w:t>
      </w:r>
    </w:p>
    <w:p w14:paraId="40D02678" w14:textId="77777777" w:rsidR="005202BB" w:rsidRPr="003349EF" w:rsidRDefault="005202BB" w:rsidP="009C1702">
      <w:pPr>
        <w:spacing w:after="0" w:line="276" w:lineRule="auto"/>
        <w:jc w:val="both"/>
        <w:rPr>
          <w:rFonts w:ascii="Arial" w:eastAsia="Times New Roman" w:hAnsi="Arial" w:cs="Arial"/>
          <w:b/>
          <w:bCs/>
          <w:color w:val="000000" w:themeColor="text1"/>
          <w:kern w:val="0"/>
          <w:sz w:val="22"/>
          <w:szCs w:val="22"/>
          <w:lang w:eastAsia="en-GB"/>
          <w14:ligatures w14:val="none"/>
        </w:rPr>
      </w:pPr>
    </w:p>
    <w:p w14:paraId="0D9D2EAE" w14:textId="7EEA28A7" w:rsidR="00A55952" w:rsidRPr="003349EF" w:rsidRDefault="00562C0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349EF">
        <w:rPr>
          <w:rFonts w:ascii="Arial" w:eastAsia="Times New Roman" w:hAnsi="Arial" w:cs="Arial"/>
          <w:color w:val="000000" w:themeColor="text1"/>
          <w:kern w:val="0"/>
          <w:sz w:val="22"/>
          <w:szCs w:val="22"/>
          <w:u w:val="single"/>
          <w:lang w:eastAsia="en-GB"/>
          <w14:ligatures w14:val="none"/>
        </w:rPr>
        <w:t>Highways</w:t>
      </w:r>
      <w:r w:rsidRPr="003349EF">
        <w:rPr>
          <w:rFonts w:ascii="Arial" w:eastAsia="Times New Roman" w:hAnsi="Arial" w:cs="Arial"/>
          <w:color w:val="000000" w:themeColor="text1"/>
          <w:kern w:val="0"/>
          <w:sz w:val="22"/>
          <w:szCs w:val="22"/>
          <w:lang w:eastAsia="en-GB"/>
          <w14:ligatures w14:val="none"/>
        </w:rPr>
        <w:t>:</w:t>
      </w:r>
      <w:r w:rsidR="00896E6B">
        <w:rPr>
          <w:rFonts w:ascii="Arial" w:eastAsia="Times New Roman" w:hAnsi="Arial" w:cs="Arial"/>
          <w:color w:val="000000" w:themeColor="text1"/>
          <w:kern w:val="0"/>
          <w:sz w:val="22"/>
          <w:szCs w:val="22"/>
          <w:lang w:eastAsia="en-GB"/>
          <w14:ligatures w14:val="none"/>
        </w:rPr>
        <w:t xml:space="preserve"> No objection.</w:t>
      </w:r>
    </w:p>
    <w:p w14:paraId="1811E0EE" w14:textId="77777777" w:rsidR="00562C0D" w:rsidRPr="003349EF" w:rsidRDefault="00562C0D"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147C76" w14:textId="041140B5" w:rsidR="005B0FD5" w:rsidRDefault="00562C0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3349EF">
        <w:rPr>
          <w:rFonts w:ascii="Arial" w:eastAsia="Times New Roman" w:hAnsi="Arial" w:cs="Arial"/>
          <w:color w:val="000000" w:themeColor="text1"/>
          <w:kern w:val="0"/>
          <w:sz w:val="22"/>
          <w:szCs w:val="22"/>
          <w:u w:val="single"/>
          <w:lang w:eastAsia="en-GB"/>
          <w14:ligatures w14:val="none"/>
        </w:rPr>
        <w:t>Rights of Way</w:t>
      </w:r>
      <w:r w:rsidRPr="003349EF">
        <w:rPr>
          <w:rFonts w:ascii="Arial" w:eastAsia="Times New Roman" w:hAnsi="Arial" w:cs="Arial"/>
          <w:color w:val="000000" w:themeColor="text1"/>
          <w:kern w:val="0"/>
          <w:sz w:val="22"/>
          <w:szCs w:val="22"/>
          <w:lang w:eastAsia="en-GB"/>
          <w14:ligatures w14:val="none"/>
        </w:rPr>
        <w:t>:</w:t>
      </w:r>
      <w:r w:rsidR="003349EF">
        <w:rPr>
          <w:rFonts w:ascii="Arial" w:eastAsia="Times New Roman" w:hAnsi="Arial" w:cs="Arial"/>
          <w:color w:val="000000" w:themeColor="text1"/>
          <w:kern w:val="0"/>
          <w:sz w:val="22"/>
          <w:szCs w:val="22"/>
          <w:lang w:eastAsia="en-GB"/>
          <w14:ligatures w14:val="none"/>
        </w:rPr>
        <w:t xml:space="preserve"> No objection subject to informative.</w:t>
      </w:r>
    </w:p>
    <w:p w14:paraId="46F79DF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2475256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D283A6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B566447"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63AFDC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27310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A91DDE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8FA850A"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DCEAB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C8B7455"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CFADDC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1B3A1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28F740B" w14:textId="77777777" w:rsidR="002175E1"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C440DA5"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u w:val="single"/>
          <w:lang w:eastAsia="en-GB"/>
          <w14:ligatures w14:val="none"/>
        </w:rPr>
        <w:t>Principle of Development</w:t>
      </w:r>
    </w:p>
    <w:p w14:paraId="09CC74DF" w14:textId="77777777" w:rsidR="001C2696" w:rsidRPr="001C2696" w:rsidRDefault="001C2696" w:rsidP="001C2696">
      <w:pPr>
        <w:spacing w:after="0" w:line="276" w:lineRule="auto"/>
        <w:jc w:val="both"/>
        <w:rPr>
          <w:rFonts w:ascii="Arial" w:eastAsia="Times New Roman" w:hAnsi="Arial" w:cs="Arial"/>
          <w:i/>
          <w:iCs/>
          <w:color w:val="000000" w:themeColor="text1"/>
          <w:kern w:val="0"/>
          <w:sz w:val="22"/>
          <w:szCs w:val="22"/>
          <w:lang w:eastAsia="en-GB"/>
          <w14:ligatures w14:val="none"/>
        </w:rPr>
      </w:pPr>
      <w:r w:rsidRPr="001C2696">
        <w:rPr>
          <w:rFonts w:ascii="Arial" w:eastAsia="Times New Roman" w:hAnsi="Arial" w:cs="Arial"/>
          <w:i/>
          <w:iCs/>
          <w:color w:val="000000" w:themeColor="text1"/>
          <w:kern w:val="0"/>
          <w:sz w:val="22"/>
          <w:szCs w:val="22"/>
          <w:lang w:eastAsia="en-GB"/>
          <w14:ligatures w14:val="none"/>
        </w:rPr>
        <w:t>Policy Context</w:t>
      </w:r>
    </w:p>
    <w:p w14:paraId="03AC414B"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When assessing proposals for annexed accommodation, it is essential to determine whether the development genuinely constitutes an annexe or whether it functions as an independent dwelling. An annexe should have a clear physical and/or functional relationship with the main dwelling. This means it must be subordinate in scale and use, and typically reliant on the main house for access, services, or shared facilities.</w:t>
      </w:r>
    </w:p>
    <w:p w14:paraId="02518928"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p>
    <w:p w14:paraId="0D076BC5"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This means considering:</w:t>
      </w:r>
    </w:p>
    <w:p w14:paraId="70BE2CCC" w14:textId="77777777" w:rsidR="001C2696" w:rsidRPr="001C2696" w:rsidRDefault="001C2696" w:rsidP="001C2696">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Physical relationship – proximity to the main dwelling, whether it is attached or detached, and how it integrates with the existing residential curtilage.</w:t>
      </w:r>
    </w:p>
    <w:p w14:paraId="4AC982D7" w14:textId="77777777" w:rsidR="001C2696" w:rsidRPr="001C2696" w:rsidRDefault="001C2696" w:rsidP="001C2696">
      <w:pPr>
        <w:numPr>
          <w:ilvl w:val="0"/>
          <w:numId w:val="15"/>
        </w:num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Functional relationship – whether the annexe is intended for use by family members, whether it shares access, garden space, or utilities, and whether it is dependent on the main house for day-to-day living such as provision of care.</w:t>
      </w:r>
    </w:p>
    <w:p w14:paraId="2FAD3CA9" w14:textId="77777777" w:rsidR="001C2696" w:rsidRPr="001C2696" w:rsidRDefault="001C2696" w:rsidP="001C2696">
      <w:pPr>
        <w:spacing w:after="0" w:line="276" w:lineRule="auto"/>
        <w:ind w:left="720"/>
        <w:jc w:val="both"/>
        <w:rPr>
          <w:rFonts w:ascii="Arial" w:eastAsia="Times New Roman" w:hAnsi="Arial" w:cs="Arial"/>
          <w:color w:val="000000" w:themeColor="text1"/>
          <w:kern w:val="0"/>
          <w:sz w:val="22"/>
          <w:szCs w:val="22"/>
          <w:lang w:eastAsia="en-GB"/>
          <w14:ligatures w14:val="none"/>
        </w:rPr>
      </w:pPr>
    </w:p>
    <w:p w14:paraId="23FCEEF8"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In assessing whether the accommodation is ancillary, consideration should be given to the presence of self-contained facilities such as a separate kitchen, bathroom, and independent access. These features may indicate a level of autonomy inconsistent with ancillary use and could suggest the accommodation functions as a separate dwelling.</w:t>
      </w:r>
    </w:p>
    <w:p w14:paraId="39687630"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p>
    <w:p w14:paraId="778ADDF6"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 xml:space="preserve">Where the proposed accommodation does not demonstrate a clear physical or functional relationship with the host dwelling, it may constitute a new dwelling and therefore not in accordance with the terms of what has been applied for i.e., ancillary accommodation. </w:t>
      </w:r>
    </w:p>
    <w:p w14:paraId="25720DFF"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p>
    <w:p w14:paraId="238FAB35"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r w:rsidRPr="001C2696">
        <w:rPr>
          <w:rFonts w:ascii="Arial" w:eastAsia="Times New Roman" w:hAnsi="Arial" w:cs="Arial"/>
          <w:color w:val="000000" w:themeColor="text1"/>
          <w:kern w:val="0"/>
          <w:sz w:val="22"/>
          <w:szCs w:val="22"/>
          <w:lang w:eastAsia="en-GB"/>
          <w14:ligatures w14:val="none"/>
        </w:rPr>
        <w:t>Policies S3-S5 of the National Planning Policy Framework establish the national approach to the location of development. In considering proposals for annexed accommodation, it is necessary to establish whether the proposal would remain ancillary to the host dwelling or whether it would constitute the creation of a separate planning unit or independent dwelling.</w:t>
      </w:r>
    </w:p>
    <w:p w14:paraId="59A7D33D" w14:textId="77777777" w:rsidR="001C2696" w:rsidRPr="001C2696" w:rsidRDefault="001C2696" w:rsidP="001C2696">
      <w:pPr>
        <w:spacing w:after="0" w:line="276" w:lineRule="auto"/>
        <w:jc w:val="both"/>
        <w:rPr>
          <w:rFonts w:ascii="Arial" w:eastAsia="Times New Roman" w:hAnsi="Arial" w:cs="Arial"/>
          <w:color w:val="000000" w:themeColor="text1"/>
          <w:kern w:val="0"/>
          <w:sz w:val="22"/>
          <w:szCs w:val="22"/>
          <w:lang w:eastAsia="en-GB"/>
          <w14:ligatures w14:val="none"/>
        </w:rPr>
      </w:pPr>
    </w:p>
    <w:p w14:paraId="165FB3D6" w14:textId="77777777" w:rsidR="001C2696" w:rsidRPr="001C2696" w:rsidRDefault="001C2696" w:rsidP="001C2696">
      <w:pPr>
        <w:spacing w:after="0" w:line="276" w:lineRule="auto"/>
        <w:jc w:val="both"/>
        <w:rPr>
          <w:rFonts w:ascii="Arial" w:eastAsia="Times New Roman" w:hAnsi="Arial" w:cs="Arial"/>
          <w:i/>
          <w:iCs/>
          <w:color w:val="000000" w:themeColor="text1"/>
          <w:kern w:val="0"/>
          <w:sz w:val="22"/>
          <w:szCs w:val="22"/>
          <w:lang w:eastAsia="en-GB"/>
          <w14:ligatures w14:val="none"/>
        </w:rPr>
      </w:pPr>
      <w:r w:rsidRPr="001C2696">
        <w:rPr>
          <w:rFonts w:ascii="Arial" w:eastAsia="Times New Roman" w:hAnsi="Arial" w:cs="Arial"/>
          <w:i/>
          <w:iCs/>
          <w:color w:val="000000" w:themeColor="text1"/>
          <w:kern w:val="0"/>
          <w:sz w:val="22"/>
          <w:szCs w:val="22"/>
          <w:lang w:eastAsia="en-GB"/>
          <w14:ligatures w14:val="none"/>
        </w:rPr>
        <w:t>Assessment</w:t>
      </w:r>
    </w:p>
    <w:p w14:paraId="7082E910" w14:textId="77777777" w:rsidR="001C2696" w:rsidRPr="008B35CC" w:rsidRDefault="001C2696" w:rsidP="001C2696">
      <w:pPr>
        <w:spacing w:after="0" w:line="276" w:lineRule="auto"/>
        <w:jc w:val="both"/>
        <w:rPr>
          <w:rFonts w:ascii="Arial" w:eastAsia="Times New Roman" w:hAnsi="Arial" w:cs="Arial"/>
          <w:i/>
          <w:iCs/>
          <w:color w:val="000000" w:themeColor="text1"/>
          <w:kern w:val="0"/>
          <w:sz w:val="22"/>
          <w:szCs w:val="22"/>
          <w:lang w:eastAsia="en-GB"/>
          <w14:ligatures w14:val="none"/>
        </w:rPr>
      </w:pPr>
    </w:p>
    <w:p w14:paraId="5DF373B6"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r w:rsidRPr="008B35CC">
        <w:rPr>
          <w:rFonts w:ascii="Arial" w:eastAsia="Times New Roman" w:hAnsi="Arial" w:cs="Arial"/>
          <w:color w:val="000000" w:themeColor="text1"/>
          <w:kern w:val="0"/>
          <w:sz w:val="22"/>
          <w:szCs w:val="22"/>
          <w:lang w:eastAsia="en-GB"/>
          <w14:ligatures w14:val="none"/>
        </w:rPr>
        <w:t>The application seeks permission for the conversion of an existing outbuilding within the curtilage of Silverton Cottage to provide ancillary residential accommodation. In considering the proposal, it is necessary to assess whether the accommodation would remain ancillary to the host dwelling or whether it would function as an independent dwellinghouse.</w:t>
      </w:r>
    </w:p>
    <w:p w14:paraId="5BE27EA7"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p>
    <w:p w14:paraId="5FAB0693"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r w:rsidRPr="008B35CC">
        <w:rPr>
          <w:rFonts w:ascii="Arial" w:eastAsia="Times New Roman" w:hAnsi="Arial" w:cs="Arial"/>
          <w:color w:val="000000" w:themeColor="text1"/>
          <w:kern w:val="0"/>
          <w:sz w:val="22"/>
          <w:szCs w:val="22"/>
          <w:lang w:eastAsia="en-GB"/>
          <w14:ligatures w14:val="none"/>
        </w:rPr>
        <w:t xml:space="preserve">The outbuilding lies within the residential curtilage of the host dwelling and, whilst detached and positioned a relatively significant distance from the main dwellinghouse, remains clearly associated with it. The building is subordinate in scale to the host dwelling and forms part of the established domestic planning unit. Although a separate pedestrian access could potentially be created in the future, the outbuilding currently shares the existing access arrangements serving the host dwelling and does not benefit from an independent vehicular access. Furthermore, given the listed status of the host dwelling, any significant alterations to </w:t>
      </w:r>
      <w:r w:rsidRPr="008B35CC">
        <w:rPr>
          <w:rFonts w:ascii="Arial" w:eastAsia="Times New Roman" w:hAnsi="Arial" w:cs="Arial"/>
          <w:color w:val="000000" w:themeColor="text1"/>
          <w:kern w:val="0"/>
          <w:sz w:val="22"/>
          <w:szCs w:val="22"/>
          <w:lang w:eastAsia="en-GB"/>
          <w14:ligatures w14:val="none"/>
        </w:rPr>
        <w:lastRenderedPageBreak/>
        <w:t>boundaries or access arrangements would require further consideration through the planning process.</w:t>
      </w:r>
    </w:p>
    <w:p w14:paraId="7636ECCD"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p>
    <w:p w14:paraId="3F28201A"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r w:rsidRPr="008B35CC">
        <w:rPr>
          <w:rFonts w:ascii="Arial" w:eastAsia="Times New Roman" w:hAnsi="Arial" w:cs="Arial"/>
          <w:color w:val="000000" w:themeColor="text1"/>
          <w:kern w:val="0"/>
          <w:sz w:val="22"/>
          <w:szCs w:val="22"/>
          <w:lang w:eastAsia="en-GB"/>
          <w14:ligatures w14:val="none"/>
        </w:rPr>
        <w:t>The proposed accommodation would contain facilities capable of supporting day-to-day living, including living, sleeping, bathing and kitchen facilities, and would therefore display a degree of self-containment. However, the presence of such facilities does not, in itself, result in the creation of a separate planning unit. The accommodation would remain physically related to the host dwelling, subordinate in scale, and situated within the same residential curtilage.</w:t>
      </w:r>
    </w:p>
    <w:p w14:paraId="0EFDA3B2" w14:textId="77777777"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p>
    <w:p w14:paraId="2806F553" w14:textId="26F06D39" w:rsidR="002F61A3" w:rsidRPr="002F61A3" w:rsidRDefault="008B35CC" w:rsidP="002F61A3">
      <w:pPr>
        <w:spacing w:after="0" w:line="276" w:lineRule="auto"/>
        <w:jc w:val="both"/>
        <w:rPr>
          <w:rFonts w:ascii="Arial" w:eastAsia="Times New Roman" w:hAnsi="Arial" w:cs="Arial"/>
          <w:color w:val="000000" w:themeColor="text1"/>
          <w:kern w:val="0"/>
          <w:sz w:val="22"/>
          <w:szCs w:val="22"/>
          <w:lang w:eastAsia="en-GB"/>
          <w14:ligatures w14:val="none"/>
        </w:rPr>
      </w:pPr>
      <w:r w:rsidRPr="008B35CC">
        <w:rPr>
          <w:rFonts w:ascii="Arial" w:eastAsia="Times New Roman" w:hAnsi="Arial" w:cs="Arial"/>
          <w:color w:val="000000" w:themeColor="text1"/>
          <w:kern w:val="0"/>
          <w:sz w:val="22"/>
          <w:szCs w:val="22"/>
          <w:lang w:eastAsia="en-GB"/>
          <w14:ligatures w14:val="none"/>
        </w:rPr>
        <w:t xml:space="preserve">The Parish Council, whilst raising no objection to the proposal, requested that any permission granted should ensure that the accommodation remains ancillary to the host dwelling. Having regard to the physical relationship between the buildings, the subordinate scale of the converted outbuilding, and the absence of an independent vehicular access, it is considered that the accommodation can appropriately function as ancillary accommodation. To ensure that the accommodation does not become an independent planning unit in the future, </w:t>
      </w:r>
      <w:r w:rsidR="002F61A3">
        <w:rPr>
          <w:rFonts w:ascii="Arial" w:eastAsia="Times New Roman" w:hAnsi="Arial" w:cs="Arial"/>
          <w:color w:val="000000" w:themeColor="text1"/>
          <w:kern w:val="0"/>
          <w:sz w:val="22"/>
          <w:szCs w:val="22"/>
          <w:lang w:eastAsia="en-GB"/>
          <w14:ligatures w14:val="none"/>
        </w:rPr>
        <w:t>a</w:t>
      </w:r>
      <w:r w:rsidR="002F61A3" w:rsidRPr="002F61A3">
        <w:rPr>
          <w:rFonts w:ascii="Arial" w:eastAsia="Times New Roman" w:hAnsi="Arial" w:cs="Arial"/>
          <w:color w:val="000000" w:themeColor="text1"/>
          <w:kern w:val="0"/>
          <w:sz w:val="22"/>
          <w:szCs w:val="22"/>
          <w:lang w:eastAsia="en-GB"/>
          <w14:ligatures w14:val="none"/>
        </w:rPr>
        <w:t xml:space="preserve"> condition is recommended restricting occupation of the accommodation to purposes ancillary to the residential use of Silverton Cottage. This reflects the Parish Council's consultation response and ensures that the accommodation does not become an independent planning unit in the future.</w:t>
      </w:r>
    </w:p>
    <w:p w14:paraId="0C8283ED" w14:textId="2DFE26F4" w:rsidR="008B35CC" w:rsidRPr="008B35CC" w:rsidRDefault="008B35CC" w:rsidP="008B35CC">
      <w:pPr>
        <w:spacing w:after="0" w:line="276" w:lineRule="auto"/>
        <w:jc w:val="both"/>
        <w:rPr>
          <w:rFonts w:ascii="Arial" w:eastAsia="Times New Roman" w:hAnsi="Arial" w:cs="Arial"/>
          <w:color w:val="000000" w:themeColor="text1"/>
          <w:kern w:val="0"/>
          <w:sz w:val="22"/>
          <w:szCs w:val="22"/>
          <w:lang w:eastAsia="en-GB"/>
          <w14:ligatures w14:val="none"/>
        </w:rPr>
      </w:pPr>
    </w:p>
    <w:p w14:paraId="00AE5BF5" w14:textId="77777777" w:rsidR="008B35CC" w:rsidRPr="008B35CC" w:rsidRDefault="008B35CC" w:rsidP="008B35CC">
      <w:pPr>
        <w:spacing w:after="0" w:line="276" w:lineRule="auto"/>
        <w:jc w:val="both"/>
        <w:rPr>
          <w:rFonts w:ascii="Arial" w:eastAsia="Times New Roman" w:hAnsi="Arial" w:cs="Arial"/>
          <w:i/>
          <w:iCs/>
          <w:color w:val="000000" w:themeColor="text1"/>
          <w:kern w:val="0"/>
          <w:sz w:val="22"/>
          <w:szCs w:val="22"/>
          <w:lang w:eastAsia="en-GB"/>
          <w14:ligatures w14:val="none"/>
        </w:rPr>
      </w:pPr>
      <w:r w:rsidRPr="008B35CC">
        <w:rPr>
          <w:rFonts w:ascii="Arial" w:eastAsia="Times New Roman" w:hAnsi="Arial" w:cs="Arial"/>
          <w:color w:val="000000" w:themeColor="text1"/>
          <w:kern w:val="0"/>
          <w:sz w:val="22"/>
          <w:szCs w:val="22"/>
          <w:lang w:eastAsia="en-GB"/>
          <w14:ligatures w14:val="none"/>
        </w:rPr>
        <w:t>Accordingly, the Local Planning Authority is satisfied that the proposal would not result in the creation of an independent dwellinghouse and is acceptable in principle as ancillary residential accommodation. The proposal therefore accords with the aims of Sections 3 to 5 of the National Planning Policy Framework.</w:t>
      </w:r>
    </w:p>
    <w:p w14:paraId="1A51510F" w14:textId="77777777" w:rsidR="001C2696" w:rsidRPr="009C1702" w:rsidRDefault="001C2696" w:rsidP="009C1702">
      <w:pPr>
        <w:spacing w:after="0" w:line="276" w:lineRule="auto"/>
        <w:jc w:val="both"/>
        <w:rPr>
          <w:rFonts w:ascii="Arial" w:eastAsia="Times New Roman" w:hAnsi="Arial" w:cs="Arial"/>
          <w:b/>
          <w:bCs/>
          <w:kern w:val="0"/>
          <w:sz w:val="22"/>
          <w:szCs w:val="22"/>
          <w:lang w:eastAsia="en-GB"/>
          <w14:ligatures w14:val="none"/>
        </w:rPr>
      </w:pPr>
    </w:p>
    <w:p w14:paraId="6463AA21" w14:textId="76374CC3"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w:t>
      </w:r>
      <w:r w:rsidR="00DA31D7">
        <w:rPr>
          <w:rFonts w:ascii="Arial" w:eastAsia="Times New Roman" w:hAnsi="Arial" w:cs="Arial"/>
          <w:kern w:val="0"/>
          <w:sz w:val="22"/>
          <w:szCs w:val="22"/>
          <w:u w:val="single"/>
          <w:lang w:eastAsia="en-GB"/>
          <w14:ligatures w14:val="none"/>
        </w:rPr>
        <w:t>and Heritage Impact</w:t>
      </w:r>
    </w:p>
    <w:p w14:paraId="5E828F8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1C9ECB6"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A8AEFD0"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4F1ED56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6CEDBE43"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4B8FAD18"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61F06076"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p>
    <w:p w14:paraId="5DB17A8A"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72(1) of the same Act requires special attention to be paid to the desirability of preserving or enhancing the character or appearance of Conservation Areas.</w:t>
      </w:r>
    </w:p>
    <w:p w14:paraId="7CB6DAA5"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p>
    <w:p w14:paraId="0DEED5F8"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1E933F79" w14:textId="77777777" w:rsidR="00740BB3" w:rsidRPr="00067A8A"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p>
    <w:p w14:paraId="11F6B72A" w14:textId="77777777" w:rsidR="00740BB3" w:rsidRDefault="00740BB3" w:rsidP="00740BB3">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lastRenderedPageBreak/>
        <w:t>Policies HE4-HE10 of the National Planning Policy Framework recognise heritage assets as an irreplaceable resource and require proposals affecting heritage assets to be assessed having regard to their significance and the contribution made by their setting.</w:t>
      </w:r>
    </w:p>
    <w:p w14:paraId="68457468" w14:textId="77777777" w:rsidR="00740BB3" w:rsidRDefault="00740BB3" w:rsidP="00852CAC">
      <w:pPr>
        <w:spacing w:after="0" w:line="276" w:lineRule="auto"/>
        <w:jc w:val="both"/>
        <w:rPr>
          <w:rFonts w:ascii="Arial" w:eastAsia="Times New Roman" w:hAnsi="Arial" w:cs="Arial"/>
          <w:kern w:val="0"/>
          <w:sz w:val="22"/>
          <w:szCs w:val="22"/>
          <w:lang w:eastAsia="en-GB"/>
          <w14:ligatures w14:val="none"/>
        </w:rPr>
      </w:pPr>
    </w:p>
    <w:p w14:paraId="61DB4A16" w14:textId="77777777" w:rsidR="00B966FE" w:rsidRPr="000516CC" w:rsidRDefault="00B966FE" w:rsidP="00B966FE">
      <w:pPr>
        <w:spacing w:after="0" w:line="276" w:lineRule="auto"/>
        <w:jc w:val="both"/>
        <w:rPr>
          <w:rFonts w:ascii="Arial" w:eastAsia="Times New Roman" w:hAnsi="Arial" w:cs="Arial"/>
          <w:color w:val="000000" w:themeColor="text1"/>
          <w:kern w:val="0"/>
          <w:sz w:val="22"/>
          <w:szCs w:val="22"/>
          <w:lang w:eastAsia="en-GB"/>
          <w14:ligatures w14:val="none"/>
        </w:rPr>
      </w:pPr>
      <w:r w:rsidRPr="000516CC">
        <w:rPr>
          <w:rFonts w:ascii="Arial" w:eastAsia="Times New Roman" w:hAnsi="Arial" w:cs="Arial"/>
          <w:color w:val="000000" w:themeColor="text1"/>
          <w:kern w:val="0"/>
          <w:sz w:val="22"/>
          <w:szCs w:val="22"/>
          <w:lang w:eastAsia="en-GB"/>
          <w14:ligatures w14:val="none"/>
        </w:rPr>
        <w:t>Silverton Cottage is a Grade II listed building situated within the Woodborough Conservation Area. The dwellinghouse is characterised by its traditional red brick construction, prominent thatched roof and distinctive rural vernacular appearance. The application relates to the conversion of a relatively modern outbuilding located within the curtilage of the listed building.</w:t>
      </w:r>
    </w:p>
    <w:p w14:paraId="0E5F1A7A" w14:textId="77777777" w:rsidR="00B966FE" w:rsidRPr="000516CC" w:rsidRDefault="00B966FE" w:rsidP="00B966FE">
      <w:pPr>
        <w:spacing w:after="0" w:line="276" w:lineRule="auto"/>
        <w:jc w:val="both"/>
        <w:rPr>
          <w:rFonts w:ascii="Arial" w:eastAsia="Times New Roman" w:hAnsi="Arial" w:cs="Arial"/>
          <w:color w:val="000000" w:themeColor="text1"/>
          <w:kern w:val="0"/>
          <w:sz w:val="22"/>
          <w:szCs w:val="22"/>
          <w:lang w:eastAsia="en-GB"/>
          <w14:ligatures w14:val="none"/>
        </w:rPr>
      </w:pPr>
    </w:p>
    <w:p w14:paraId="34B61AB7" w14:textId="54424BB4" w:rsidR="00B966FE" w:rsidRPr="000516CC" w:rsidRDefault="00B966FE" w:rsidP="00B966FE">
      <w:pPr>
        <w:spacing w:after="0" w:line="276" w:lineRule="auto"/>
        <w:jc w:val="both"/>
        <w:rPr>
          <w:rFonts w:ascii="Arial" w:eastAsia="Times New Roman" w:hAnsi="Arial" w:cs="Arial"/>
          <w:color w:val="000000" w:themeColor="text1"/>
          <w:kern w:val="0"/>
          <w:sz w:val="22"/>
          <w:szCs w:val="22"/>
          <w:lang w:eastAsia="en-GB"/>
          <w14:ligatures w14:val="none"/>
        </w:rPr>
      </w:pPr>
      <w:r w:rsidRPr="000516CC">
        <w:rPr>
          <w:rFonts w:ascii="Arial" w:eastAsia="Times New Roman" w:hAnsi="Arial" w:cs="Arial"/>
          <w:color w:val="000000" w:themeColor="text1"/>
          <w:kern w:val="0"/>
          <w:sz w:val="22"/>
          <w:szCs w:val="22"/>
          <w:lang w:eastAsia="en-GB"/>
          <w14:ligatures w14:val="none"/>
        </w:rPr>
        <w:t>The proposal involves the conversion of the existing outbuilding to ancillary residential accommodation, with only minor external alterations to openings. Given the limited nature of the external changes, the development would not materially alter the appearance of the building or adversely affect the character and appearance of the surrounding street scene. The Conservation Officer has advised that, whilst the external changes would give the building a more residential appearance, the overall change of use and associated alterations would not harm the setting of the listed building or the character or appearance of the Woodborough Conservation Area.</w:t>
      </w:r>
    </w:p>
    <w:p w14:paraId="4A575DA2" w14:textId="77777777" w:rsidR="00740BB3" w:rsidRDefault="00740BB3" w:rsidP="00965FBC">
      <w:pPr>
        <w:spacing w:after="0" w:line="276" w:lineRule="auto"/>
        <w:jc w:val="both"/>
        <w:rPr>
          <w:rFonts w:ascii="Arial" w:eastAsia="Times New Roman" w:hAnsi="Arial" w:cs="Arial"/>
          <w:color w:val="EE0000"/>
          <w:kern w:val="0"/>
          <w:sz w:val="22"/>
          <w:szCs w:val="22"/>
          <w:lang w:eastAsia="en-GB"/>
          <w14:ligatures w14:val="none"/>
        </w:rPr>
      </w:pPr>
    </w:p>
    <w:p w14:paraId="001A5E66" w14:textId="77777777" w:rsidR="000967D4" w:rsidRPr="000967D4" w:rsidRDefault="000967D4" w:rsidP="000967D4">
      <w:pPr>
        <w:spacing w:after="0" w:line="276" w:lineRule="auto"/>
        <w:jc w:val="both"/>
        <w:rPr>
          <w:rFonts w:ascii="Arial" w:eastAsia="Times New Roman" w:hAnsi="Arial" w:cs="Arial"/>
          <w:color w:val="000000" w:themeColor="text1"/>
          <w:kern w:val="0"/>
          <w:sz w:val="22"/>
          <w:szCs w:val="22"/>
          <w:lang w:eastAsia="en-GB"/>
          <w14:ligatures w14:val="none"/>
        </w:rPr>
      </w:pPr>
      <w:r w:rsidRPr="000967D4">
        <w:rPr>
          <w:rFonts w:ascii="Arial" w:eastAsia="Times New Roman" w:hAnsi="Arial" w:cs="Arial"/>
          <w:color w:val="000000" w:themeColor="text1"/>
          <w:kern w:val="0"/>
          <w:sz w:val="22"/>
          <w:szCs w:val="22"/>
          <w:lang w:eastAsia="en-GB"/>
          <w14:ligatures w14:val="none"/>
        </w:rPr>
        <w:t>Having regard to the statutory duties under Sections 66(1) and 72(1) of the Planning (Listed Buildings and Conservation Areas) Act 1990, it is considered that the proposal would preserve the setting of the Grade II listed building and preserve the character and appearance of the Woodborough Conservation Area. The proposal would therefore result in no harm to the significance of designated heritage assets and accords with Core Policies 57 and 58 of the Wiltshire Core Strategy, the relevant provisions of the NPPF and Appendix D of the Wiltshire Design Guide.</w:t>
      </w:r>
    </w:p>
    <w:p w14:paraId="14F44209" w14:textId="77777777" w:rsidR="00A050F1" w:rsidRDefault="00A050F1" w:rsidP="00A050F1">
      <w:pPr>
        <w:spacing w:after="0" w:line="276" w:lineRule="auto"/>
        <w:jc w:val="both"/>
        <w:rPr>
          <w:rFonts w:ascii="Arial" w:hAnsi="Arial" w:cs="Arial"/>
          <w:b/>
          <w:bCs/>
          <w:i/>
          <w:iCs/>
          <w:color w:val="FF0000"/>
          <w:sz w:val="22"/>
          <w:szCs w:val="22"/>
        </w:rPr>
      </w:pPr>
    </w:p>
    <w:p w14:paraId="799609E4"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C0659A1"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6AA93B3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952BDD8" w14:textId="77777777" w:rsidR="00393433" w:rsidRDefault="00393433" w:rsidP="00A050F1">
      <w:pPr>
        <w:spacing w:after="0" w:line="276" w:lineRule="auto"/>
        <w:jc w:val="both"/>
        <w:rPr>
          <w:rFonts w:ascii="Arial" w:hAnsi="Arial" w:cs="Arial"/>
          <w:color w:val="000000" w:themeColor="text1"/>
          <w:sz w:val="22"/>
          <w:szCs w:val="22"/>
        </w:rPr>
      </w:pPr>
    </w:p>
    <w:p w14:paraId="7649FF20"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FCD71FA" w14:textId="77777777" w:rsidR="00400FB2" w:rsidRDefault="00400FB2" w:rsidP="00A050F1">
      <w:pPr>
        <w:spacing w:after="0" w:line="276" w:lineRule="auto"/>
        <w:jc w:val="both"/>
        <w:rPr>
          <w:rFonts w:ascii="Arial" w:hAnsi="Arial" w:cs="Arial"/>
          <w:color w:val="000000" w:themeColor="text1"/>
          <w:sz w:val="22"/>
          <w:szCs w:val="22"/>
        </w:rPr>
      </w:pPr>
    </w:p>
    <w:p w14:paraId="579A4754"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4AF549B" w14:textId="77777777" w:rsidR="00DB13C3" w:rsidRPr="00DB6BD3" w:rsidRDefault="00DB13C3" w:rsidP="00DB13C3">
      <w:pPr>
        <w:spacing w:after="0" w:line="276" w:lineRule="auto"/>
        <w:jc w:val="both"/>
        <w:rPr>
          <w:rFonts w:ascii="Arial" w:hAnsi="Arial" w:cs="Arial"/>
          <w:color w:val="000000" w:themeColor="text1"/>
          <w:sz w:val="22"/>
          <w:szCs w:val="22"/>
        </w:rPr>
      </w:pPr>
    </w:p>
    <w:p w14:paraId="2675ED5E" w14:textId="77777777" w:rsidR="00705CAD" w:rsidRPr="00DB6BD3" w:rsidRDefault="00705CAD" w:rsidP="00705CAD">
      <w:pPr>
        <w:spacing w:after="0" w:line="276" w:lineRule="auto"/>
        <w:jc w:val="both"/>
        <w:rPr>
          <w:rFonts w:ascii="Arial" w:hAnsi="Arial" w:cs="Arial"/>
          <w:color w:val="000000" w:themeColor="text1"/>
          <w:sz w:val="22"/>
          <w:szCs w:val="22"/>
        </w:rPr>
      </w:pPr>
      <w:r w:rsidRPr="00DB6BD3">
        <w:rPr>
          <w:rFonts w:ascii="Arial" w:hAnsi="Arial" w:cs="Arial"/>
          <w:color w:val="000000" w:themeColor="text1"/>
          <w:sz w:val="22"/>
          <w:szCs w:val="22"/>
        </w:rPr>
        <w:t>The proposed development comprises the conversion of an existing outbuilding to ancillary residential accommodation. No extensions or alterations are proposed that would materially increase the scale, height or footprint of the building. As such, the proposal would not result in any additional overshadowing, loss of light or overbearing impacts beyond those associated with the existing structure.</w:t>
      </w:r>
    </w:p>
    <w:p w14:paraId="5A42F48B" w14:textId="77777777" w:rsidR="00705CAD" w:rsidRPr="00DB6BD3" w:rsidRDefault="00705CAD" w:rsidP="00705CAD">
      <w:pPr>
        <w:spacing w:after="0" w:line="276" w:lineRule="auto"/>
        <w:jc w:val="both"/>
        <w:rPr>
          <w:rFonts w:ascii="Arial" w:hAnsi="Arial" w:cs="Arial"/>
          <w:color w:val="000000" w:themeColor="text1"/>
          <w:sz w:val="22"/>
          <w:szCs w:val="22"/>
        </w:rPr>
      </w:pPr>
    </w:p>
    <w:p w14:paraId="15200398" w14:textId="77777777" w:rsidR="00705CAD" w:rsidRPr="00DB6BD3" w:rsidRDefault="00705CAD" w:rsidP="00705CAD">
      <w:pPr>
        <w:spacing w:after="0" w:line="276" w:lineRule="auto"/>
        <w:jc w:val="both"/>
        <w:rPr>
          <w:rFonts w:ascii="Arial" w:hAnsi="Arial" w:cs="Arial"/>
          <w:color w:val="000000" w:themeColor="text1"/>
          <w:sz w:val="22"/>
          <w:szCs w:val="22"/>
        </w:rPr>
      </w:pPr>
      <w:r w:rsidRPr="00DB6BD3">
        <w:rPr>
          <w:rFonts w:ascii="Arial" w:hAnsi="Arial" w:cs="Arial"/>
          <w:color w:val="000000" w:themeColor="text1"/>
          <w:sz w:val="22"/>
          <w:szCs w:val="22"/>
        </w:rPr>
        <w:t>The outbuilding is not located in close proximity to neighbouring residential properties and the proposal is therefore not considered likely to result in any material loss of privacy or give rise to unacceptable impacts upon neighbouring living conditions. Furthermore, the accommodation would remain ancillary to the host dwelling, secured through a planning condition, and is not considered likely to generate a level of activity materially greater than that normally associated with the lawful residential use of the site.</w:t>
      </w:r>
    </w:p>
    <w:p w14:paraId="6ECD314C" w14:textId="77777777" w:rsidR="00DB6BD3" w:rsidRPr="00DB6BD3" w:rsidRDefault="00DB6BD3" w:rsidP="00705CAD">
      <w:pPr>
        <w:spacing w:after="0" w:line="276" w:lineRule="auto"/>
        <w:jc w:val="both"/>
        <w:rPr>
          <w:rFonts w:ascii="Arial" w:hAnsi="Arial" w:cs="Arial"/>
          <w:color w:val="000000" w:themeColor="text1"/>
          <w:sz w:val="22"/>
          <w:szCs w:val="22"/>
        </w:rPr>
      </w:pPr>
    </w:p>
    <w:p w14:paraId="5865F857" w14:textId="77777777" w:rsidR="00DB6BD3" w:rsidRPr="00DB6BD3" w:rsidRDefault="00DB6BD3" w:rsidP="00DB6BD3">
      <w:pPr>
        <w:spacing w:after="0" w:line="276" w:lineRule="auto"/>
        <w:jc w:val="both"/>
        <w:rPr>
          <w:rFonts w:ascii="Arial" w:hAnsi="Arial" w:cs="Arial"/>
          <w:color w:val="000000" w:themeColor="text1"/>
          <w:sz w:val="22"/>
          <w:szCs w:val="22"/>
        </w:rPr>
      </w:pPr>
      <w:r w:rsidRPr="00DB6BD3">
        <w:rPr>
          <w:rFonts w:ascii="Arial" w:hAnsi="Arial" w:cs="Arial"/>
          <w:color w:val="000000" w:themeColor="text1"/>
          <w:sz w:val="22"/>
          <w:szCs w:val="22"/>
        </w:rPr>
        <w:t>Accordingly, the proposal would not result in any unacceptable impact upon the residential amenity of neighbouring occupiers and therefore accords with Core Policy 57 vii of the Wiltshire Core Strategy, Appendix D of the Wiltshire Design Guide and the relevant provisions of the NPPF.</w:t>
      </w:r>
    </w:p>
    <w:p w14:paraId="080D01D6"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60C2344" w14:textId="2CF61ED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01B86381" w14:textId="77777777" w:rsidR="002E1221" w:rsidRPr="006705B5" w:rsidRDefault="002E122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AB1CE3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2408D5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17A0989"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61CC8D95" w14:textId="77777777" w:rsidR="001A6E40" w:rsidRPr="0050792A"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1BD97A" w14:textId="2487DA3A" w:rsidR="0086279A" w:rsidRPr="0086279A" w:rsidRDefault="0086279A" w:rsidP="0086279A">
      <w:pPr>
        <w:spacing w:after="0" w:line="276" w:lineRule="auto"/>
        <w:jc w:val="both"/>
        <w:rPr>
          <w:rFonts w:ascii="Arial" w:eastAsia="Times New Roman" w:hAnsi="Arial" w:cs="Arial"/>
          <w:color w:val="000000" w:themeColor="text1"/>
          <w:kern w:val="0"/>
          <w:sz w:val="22"/>
          <w:szCs w:val="22"/>
          <w:lang w:eastAsia="en-GB"/>
          <w14:ligatures w14:val="none"/>
        </w:rPr>
      </w:pPr>
      <w:r w:rsidRPr="0086279A">
        <w:rPr>
          <w:rFonts w:ascii="Arial" w:eastAsia="Times New Roman" w:hAnsi="Arial" w:cs="Arial"/>
          <w:color w:val="000000" w:themeColor="text1"/>
          <w:kern w:val="0"/>
          <w:sz w:val="22"/>
          <w:szCs w:val="22"/>
          <w:lang w:eastAsia="en-GB"/>
          <w14:ligatures w14:val="none"/>
        </w:rPr>
        <w:t xml:space="preserve">The application proposes the conversion of an existing outbuilding to ancillary residential accommodation associated with Silverton Cottage. The site is served by an existing access onto Chapel </w:t>
      </w:r>
      <w:r w:rsidR="00891A62" w:rsidRPr="0086279A">
        <w:rPr>
          <w:rFonts w:ascii="Arial" w:eastAsia="Times New Roman" w:hAnsi="Arial" w:cs="Arial"/>
          <w:color w:val="000000" w:themeColor="text1"/>
          <w:kern w:val="0"/>
          <w:sz w:val="22"/>
          <w:szCs w:val="22"/>
          <w:lang w:eastAsia="en-GB"/>
          <w14:ligatures w14:val="none"/>
        </w:rPr>
        <w:t>Lane,</w:t>
      </w:r>
      <w:r w:rsidRPr="0086279A">
        <w:rPr>
          <w:rFonts w:ascii="Arial" w:eastAsia="Times New Roman" w:hAnsi="Arial" w:cs="Arial"/>
          <w:color w:val="000000" w:themeColor="text1"/>
          <w:kern w:val="0"/>
          <w:sz w:val="22"/>
          <w:szCs w:val="22"/>
          <w:lang w:eastAsia="en-GB"/>
          <w14:ligatures w14:val="none"/>
        </w:rPr>
        <w:t xml:space="preserve"> and no alterations are proposed to the existing means of access. The Highway Officer advises that the proposal would not result in a significant impact on the public highway or an unacceptable intensification of the existing access arrangements and has raised no objection to the development. The Highway Officer further advises that, provided the accommodation remains ancillary to the host dwelling and adequate parking provision is retained within the site, there would be no highway objection. Although no parking plan has been submitted, the Case Officer's site inspection confirmed that sufficient space exists within the curtilage, including the retained garage, to accommodate at least three vehicles. Given the ancillary nature of the accommodation, secured by condition, the proposal is not considered likely to generate vehicle movements beyond those reasonably associated with the existing dwelling and adequate parking provision can be accommodated within the site.</w:t>
      </w:r>
    </w:p>
    <w:p w14:paraId="310A61E1" w14:textId="77777777" w:rsidR="00E57D1F"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48AF3980" w14:textId="735E56F4" w:rsidR="009D38DA" w:rsidRPr="009D38DA" w:rsidRDefault="009D38DA" w:rsidP="009D38DA">
      <w:pPr>
        <w:spacing w:after="0" w:line="276" w:lineRule="auto"/>
        <w:jc w:val="both"/>
        <w:rPr>
          <w:rFonts w:ascii="Arial" w:eastAsia="Times New Roman" w:hAnsi="Arial" w:cs="Arial"/>
          <w:color w:val="000000" w:themeColor="text1"/>
          <w:kern w:val="0"/>
          <w:sz w:val="22"/>
          <w:szCs w:val="22"/>
          <w:lang w:eastAsia="en-GB"/>
          <w14:ligatures w14:val="none"/>
        </w:rPr>
      </w:pPr>
      <w:r w:rsidRPr="009D38DA">
        <w:rPr>
          <w:rFonts w:ascii="Arial" w:eastAsia="Times New Roman" w:hAnsi="Arial" w:cs="Arial"/>
          <w:color w:val="000000" w:themeColor="text1"/>
          <w:kern w:val="0"/>
          <w:sz w:val="22"/>
          <w:szCs w:val="22"/>
          <w:lang w:eastAsia="en-GB"/>
          <w14:ligatures w14:val="none"/>
        </w:rPr>
        <w:t>The Rights of Way Officer raises no objection to the proposal subject to informatives. The proposal does not involve any alterations to the existing access arrangements and matters relating to private vehicular rights over Public Footpath WBOR9 fall outside the remit of the planning system. Informatives are recommended to advise the applicant of the need to ensure any necessary private rights are in place and to keep the public footpath free from obstruction during construction works.</w:t>
      </w:r>
      <w:r>
        <w:rPr>
          <w:rFonts w:ascii="Arial" w:eastAsia="Times New Roman" w:hAnsi="Arial" w:cs="Arial"/>
          <w:color w:val="000000" w:themeColor="text1"/>
          <w:kern w:val="0"/>
          <w:sz w:val="22"/>
          <w:szCs w:val="22"/>
          <w:lang w:eastAsia="en-GB"/>
          <w14:ligatures w14:val="none"/>
        </w:rPr>
        <w:t xml:space="preserve"> These will be included as part of the permission.</w:t>
      </w:r>
    </w:p>
    <w:p w14:paraId="0AC0D66D" w14:textId="77777777" w:rsidR="00EE12D1" w:rsidRPr="006705B5" w:rsidRDefault="00EE12D1" w:rsidP="006705B5">
      <w:pPr>
        <w:spacing w:after="0" w:line="276" w:lineRule="auto"/>
        <w:jc w:val="both"/>
        <w:rPr>
          <w:rFonts w:ascii="Arial" w:eastAsia="Times New Roman" w:hAnsi="Arial" w:cs="Arial"/>
          <w:i/>
          <w:iCs/>
          <w:color w:val="ED0000"/>
          <w:kern w:val="0"/>
          <w:sz w:val="22"/>
          <w:szCs w:val="22"/>
          <w:lang w:eastAsia="en-GB"/>
          <w14:ligatures w14:val="none"/>
        </w:rPr>
      </w:pPr>
    </w:p>
    <w:p w14:paraId="7659B8F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6B1AFAA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50FE2B8"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9029BDD"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223418" w14:textId="2B812D4B"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DB7E67F" w14:textId="77777777" w:rsidR="002B27C3" w:rsidRPr="00F40F2D" w:rsidRDefault="002B27C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F354926"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5A43F4C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C120BB8" w14:textId="77777777" w:rsidR="003E41D0" w:rsidRPr="00AB1982"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w:t>
      </w:r>
      <w:r w:rsidRPr="00AB1982">
        <w:rPr>
          <w:rFonts w:ascii="Arial" w:eastAsia="Times New Roman" w:hAnsi="Arial" w:cs="Arial"/>
          <w:color w:val="000000" w:themeColor="text1"/>
          <w:kern w:val="0"/>
          <w:sz w:val="22"/>
          <w:szCs w:val="22"/>
          <w:lang w:eastAsia="en-GB"/>
          <w14:ligatures w14:val="none"/>
        </w:rPr>
        <w:t>National Landscapes. Development proposals within or affecting a National Landscape should conserve and enhance natural beauty and the special qualities of the designated area and avoid unacceptable harm to its landscape character and scenic quality.</w:t>
      </w:r>
    </w:p>
    <w:p w14:paraId="5B589019" w14:textId="77777777" w:rsidR="00F40F2D" w:rsidRPr="00AB1982"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2AB343E" w14:textId="77777777" w:rsidR="00AB1982" w:rsidRPr="00AB1982" w:rsidRDefault="00AB1982" w:rsidP="00AB1982">
      <w:pPr>
        <w:spacing w:after="0" w:line="276" w:lineRule="auto"/>
        <w:jc w:val="both"/>
        <w:rPr>
          <w:rFonts w:ascii="Arial" w:eastAsia="Times New Roman" w:hAnsi="Arial" w:cs="Arial"/>
          <w:color w:val="000000" w:themeColor="text1"/>
          <w:kern w:val="0"/>
          <w:sz w:val="22"/>
          <w:szCs w:val="22"/>
          <w:lang w:eastAsia="en-GB"/>
          <w14:ligatures w14:val="none"/>
        </w:rPr>
      </w:pPr>
      <w:r w:rsidRPr="00AB1982">
        <w:rPr>
          <w:rFonts w:ascii="Arial" w:eastAsia="Times New Roman" w:hAnsi="Arial" w:cs="Arial"/>
          <w:color w:val="000000" w:themeColor="text1"/>
          <w:kern w:val="0"/>
          <w:sz w:val="22"/>
          <w:szCs w:val="22"/>
          <w:lang w:eastAsia="en-GB"/>
          <w14:ligatures w14:val="none"/>
        </w:rPr>
        <w:t>The proposal comprises the conversion of an existing outbuilding to ancillary residential accommodation and does not involve any significant external alterations, extensions or changes to the wider landscape setting. As such, the development would preserve the character and appearance of the National Landscape and would not result in harm to its special qualities. Accordingly, the proposal accords with the NPPF's objectives for conserving and enhancing protected landscapes.</w:t>
      </w:r>
    </w:p>
    <w:p w14:paraId="14DCCF2E"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604E5C9"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47F8930E"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AAD6B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5FB853E"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D336ACC"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894F4B1"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6BBEFC9" w14:textId="77777777" w:rsid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208919E2" w14:textId="77777777" w:rsidR="005D4A6C" w:rsidRPr="00284CD5" w:rsidRDefault="005D4A6C" w:rsidP="00284CD5">
      <w:pPr>
        <w:spacing w:after="0" w:line="276" w:lineRule="auto"/>
        <w:jc w:val="both"/>
        <w:rPr>
          <w:rFonts w:ascii="Arial" w:hAnsi="Arial" w:cs="Arial"/>
          <w:color w:val="000000" w:themeColor="text1"/>
          <w:sz w:val="22"/>
          <w:szCs w:val="22"/>
          <w:u w:val="single"/>
        </w:rPr>
      </w:pPr>
    </w:p>
    <w:p w14:paraId="22EAEFAD"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29F98ADA" w14:textId="77777777" w:rsidR="00284CD5" w:rsidRPr="004B2F79" w:rsidRDefault="00284CD5" w:rsidP="00284CD5">
      <w:pPr>
        <w:spacing w:after="0" w:line="276" w:lineRule="auto"/>
        <w:jc w:val="both"/>
        <w:rPr>
          <w:rFonts w:ascii="Arial" w:hAnsi="Arial" w:cs="Arial"/>
          <w:color w:val="000000" w:themeColor="text1"/>
          <w:sz w:val="22"/>
          <w:szCs w:val="22"/>
        </w:rPr>
      </w:pPr>
    </w:p>
    <w:p w14:paraId="6550A037"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611F41B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728B3E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F8A045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2CCC14E" w14:textId="248147B0" w:rsidR="00E6038A" w:rsidRPr="00E6038A" w:rsidRDefault="00E6038A" w:rsidP="00E6038A">
      <w:pPr>
        <w:spacing w:after="0" w:line="276" w:lineRule="auto"/>
        <w:jc w:val="both"/>
        <w:rPr>
          <w:rFonts w:ascii="Arial" w:eastAsia="Times New Roman" w:hAnsi="Arial" w:cs="Arial"/>
          <w:color w:val="000000" w:themeColor="text1"/>
          <w:kern w:val="0"/>
          <w:sz w:val="22"/>
          <w:szCs w:val="22"/>
          <w:lang w:eastAsia="en-GB"/>
          <w14:ligatures w14:val="none"/>
        </w:rPr>
      </w:pPr>
      <w:r w:rsidRPr="00E6038A">
        <w:rPr>
          <w:rFonts w:ascii="Arial" w:eastAsia="Times New Roman" w:hAnsi="Arial" w:cs="Arial"/>
          <w:color w:val="000000" w:themeColor="text1"/>
          <w:kern w:val="0"/>
          <w:sz w:val="22"/>
          <w:szCs w:val="22"/>
          <w:lang w:eastAsia="en-GB"/>
          <w14:ligatures w14:val="none"/>
        </w:rPr>
        <w:t xml:space="preserve">The proposal would provide ancillary residential accommodation through the conversion of an existing outbuilding within the curtilage of Silverton Cottage. The development would preserve the setting of the Grade II listed building, the character and appearance of the Woodborough Conservation Area and the North Wessex Downs National Landscape. Furthermore, the proposal would not result in unacceptable impacts upon neighbouring amenity, highway safety </w:t>
      </w:r>
      <w:r w:rsidRPr="00E6038A">
        <w:rPr>
          <w:rFonts w:ascii="Arial" w:eastAsia="Times New Roman" w:hAnsi="Arial" w:cs="Arial"/>
          <w:color w:val="000000" w:themeColor="text1"/>
          <w:kern w:val="0"/>
          <w:sz w:val="22"/>
          <w:szCs w:val="22"/>
          <w:lang w:eastAsia="en-GB"/>
          <w14:ligatures w14:val="none"/>
        </w:rPr>
        <w:lastRenderedPageBreak/>
        <w:t>or any other material planning consideration. Subject to conditions, including a condition restricting occupation of the accommodation to purposes ancillary to Silverton Cottage, the proposal complies with the development plan</w:t>
      </w:r>
      <w:r>
        <w:rPr>
          <w:rFonts w:ascii="Arial" w:eastAsia="Times New Roman" w:hAnsi="Arial" w:cs="Arial"/>
          <w:color w:val="000000" w:themeColor="text1"/>
          <w:kern w:val="0"/>
          <w:sz w:val="22"/>
          <w:szCs w:val="22"/>
          <w:lang w:eastAsia="en-GB"/>
          <w14:ligatures w14:val="none"/>
        </w:rPr>
        <w:t>.</w:t>
      </w:r>
    </w:p>
    <w:p w14:paraId="5407304A"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32D47939"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1C3B609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45ED2AF" w14:textId="40FC2575" w:rsidR="009B7AD7" w:rsidRPr="006C19B1"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4C53CD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4D7B"/>
    <w:multiLevelType w:val="multilevel"/>
    <w:tmpl w:val="392A8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DE02048"/>
    <w:multiLevelType w:val="multilevel"/>
    <w:tmpl w:val="558E9E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38EF6D18"/>
    <w:multiLevelType w:val="multilevel"/>
    <w:tmpl w:val="EF10D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8D7A89"/>
    <w:multiLevelType w:val="multilevel"/>
    <w:tmpl w:val="7046A8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717EFF"/>
    <w:multiLevelType w:val="multilevel"/>
    <w:tmpl w:val="82A8E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1D582F"/>
    <w:multiLevelType w:val="hybridMultilevel"/>
    <w:tmpl w:val="74BCAF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804290"/>
    <w:multiLevelType w:val="multilevel"/>
    <w:tmpl w:val="C728C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7402409">
    <w:abstractNumId w:val="6"/>
  </w:num>
  <w:num w:numId="2" w16cid:durableId="892273552">
    <w:abstractNumId w:val="2"/>
  </w:num>
  <w:num w:numId="3" w16cid:durableId="1181357059">
    <w:abstractNumId w:val="14"/>
  </w:num>
  <w:num w:numId="4" w16cid:durableId="1650787556">
    <w:abstractNumId w:val="8"/>
  </w:num>
  <w:num w:numId="5" w16cid:durableId="466094426">
    <w:abstractNumId w:val="16"/>
  </w:num>
  <w:num w:numId="6" w16cid:durableId="1542328013">
    <w:abstractNumId w:val="18"/>
  </w:num>
  <w:num w:numId="7" w16cid:durableId="1004281297">
    <w:abstractNumId w:val="3"/>
  </w:num>
  <w:num w:numId="8" w16cid:durableId="1878279251">
    <w:abstractNumId w:val="1"/>
  </w:num>
  <w:num w:numId="9" w16cid:durableId="1286542474">
    <w:abstractNumId w:val="5"/>
  </w:num>
  <w:num w:numId="10" w16cid:durableId="2027555515">
    <w:abstractNumId w:val="13"/>
  </w:num>
  <w:num w:numId="11" w16cid:durableId="334724159">
    <w:abstractNumId w:val="12"/>
  </w:num>
  <w:num w:numId="12" w16cid:durableId="1840384416">
    <w:abstractNumId w:val="10"/>
  </w:num>
  <w:num w:numId="13" w16cid:durableId="665060638">
    <w:abstractNumId w:val="19"/>
  </w:num>
  <w:num w:numId="14" w16cid:durableId="32586408">
    <w:abstractNumId w:val="17"/>
  </w:num>
  <w:num w:numId="15" w16cid:durableId="1227300059">
    <w:abstractNumId w:val="4"/>
  </w:num>
  <w:num w:numId="16" w16cid:durableId="1060129920">
    <w:abstractNumId w:val="7"/>
  </w:num>
  <w:num w:numId="17" w16cid:durableId="1878853481">
    <w:abstractNumId w:val="0"/>
  </w:num>
  <w:num w:numId="18" w16cid:durableId="1871648786">
    <w:abstractNumId w:val="20"/>
  </w:num>
  <w:num w:numId="19" w16cid:durableId="1408188759">
    <w:abstractNumId w:val="9"/>
  </w:num>
  <w:num w:numId="20" w16cid:durableId="561915885">
    <w:abstractNumId w:val="11"/>
  </w:num>
  <w:num w:numId="21" w16cid:durableId="95151778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7D85"/>
    <w:rsid w:val="00033847"/>
    <w:rsid w:val="00036B7E"/>
    <w:rsid w:val="00043B9C"/>
    <w:rsid w:val="000516CC"/>
    <w:rsid w:val="000608D3"/>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67D4"/>
    <w:rsid w:val="00097010"/>
    <w:rsid w:val="000B000E"/>
    <w:rsid w:val="000B4864"/>
    <w:rsid w:val="000B66D7"/>
    <w:rsid w:val="000B6B01"/>
    <w:rsid w:val="000C22CE"/>
    <w:rsid w:val="000C7F98"/>
    <w:rsid w:val="000D0858"/>
    <w:rsid w:val="000D092E"/>
    <w:rsid w:val="000D5836"/>
    <w:rsid w:val="000E063D"/>
    <w:rsid w:val="000E18EB"/>
    <w:rsid w:val="000E6021"/>
    <w:rsid w:val="000E7462"/>
    <w:rsid w:val="000E7DDF"/>
    <w:rsid w:val="000F3916"/>
    <w:rsid w:val="001044B1"/>
    <w:rsid w:val="00111D21"/>
    <w:rsid w:val="001177BA"/>
    <w:rsid w:val="00134D23"/>
    <w:rsid w:val="00141929"/>
    <w:rsid w:val="0014198B"/>
    <w:rsid w:val="00146329"/>
    <w:rsid w:val="00152901"/>
    <w:rsid w:val="0016162B"/>
    <w:rsid w:val="00162405"/>
    <w:rsid w:val="0018298F"/>
    <w:rsid w:val="00185935"/>
    <w:rsid w:val="001A22B9"/>
    <w:rsid w:val="001A4142"/>
    <w:rsid w:val="001A6E40"/>
    <w:rsid w:val="001B34A3"/>
    <w:rsid w:val="001C0267"/>
    <w:rsid w:val="001C2696"/>
    <w:rsid w:val="001C30C8"/>
    <w:rsid w:val="001C73A5"/>
    <w:rsid w:val="001D279F"/>
    <w:rsid w:val="001D2B00"/>
    <w:rsid w:val="001D3964"/>
    <w:rsid w:val="001E0BD8"/>
    <w:rsid w:val="001E5127"/>
    <w:rsid w:val="001E5C6F"/>
    <w:rsid w:val="001F17EC"/>
    <w:rsid w:val="001F1A84"/>
    <w:rsid w:val="00200044"/>
    <w:rsid w:val="002056F3"/>
    <w:rsid w:val="002100CF"/>
    <w:rsid w:val="00211930"/>
    <w:rsid w:val="00212556"/>
    <w:rsid w:val="0021435E"/>
    <w:rsid w:val="00215395"/>
    <w:rsid w:val="002175E1"/>
    <w:rsid w:val="002215A6"/>
    <w:rsid w:val="00221D04"/>
    <w:rsid w:val="002319B7"/>
    <w:rsid w:val="00245E7E"/>
    <w:rsid w:val="00247CD5"/>
    <w:rsid w:val="0027170A"/>
    <w:rsid w:val="002732AD"/>
    <w:rsid w:val="00276C28"/>
    <w:rsid w:val="00284692"/>
    <w:rsid w:val="00284CD5"/>
    <w:rsid w:val="00284EAF"/>
    <w:rsid w:val="00296162"/>
    <w:rsid w:val="002A0EB6"/>
    <w:rsid w:val="002B27C3"/>
    <w:rsid w:val="002B3C19"/>
    <w:rsid w:val="002B67AF"/>
    <w:rsid w:val="002B7220"/>
    <w:rsid w:val="002C39F8"/>
    <w:rsid w:val="002C5B77"/>
    <w:rsid w:val="002C64FD"/>
    <w:rsid w:val="002C7D54"/>
    <w:rsid w:val="002D20C0"/>
    <w:rsid w:val="002D290E"/>
    <w:rsid w:val="002D51AF"/>
    <w:rsid w:val="002D764D"/>
    <w:rsid w:val="002E1221"/>
    <w:rsid w:val="002E6C51"/>
    <w:rsid w:val="002F61A3"/>
    <w:rsid w:val="0030007E"/>
    <w:rsid w:val="00302D05"/>
    <w:rsid w:val="003030A4"/>
    <w:rsid w:val="00307390"/>
    <w:rsid w:val="00312C7F"/>
    <w:rsid w:val="00315AE0"/>
    <w:rsid w:val="00320631"/>
    <w:rsid w:val="00331E7A"/>
    <w:rsid w:val="00332D09"/>
    <w:rsid w:val="003342BE"/>
    <w:rsid w:val="003349EF"/>
    <w:rsid w:val="00335B14"/>
    <w:rsid w:val="003415BB"/>
    <w:rsid w:val="003573CE"/>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3B1"/>
    <w:rsid w:val="003C7574"/>
    <w:rsid w:val="003D05E9"/>
    <w:rsid w:val="003E08E2"/>
    <w:rsid w:val="003E2BA9"/>
    <w:rsid w:val="003E41D0"/>
    <w:rsid w:val="003F076A"/>
    <w:rsid w:val="003F5922"/>
    <w:rsid w:val="00400FB2"/>
    <w:rsid w:val="004043B3"/>
    <w:rsid w:val="004130CC"/>
    <w:rsid w:val="004158E9"/>
    <w:rsid w:val="004212F8"/>
    <w:rsid w:val="00422C35"/>
    <w:rsid w:val="004268A1"/>
    <w:rsid w:val="00430927"/>
    <w:rsid w:val="00436306"/>
    <w:rsid w:val="00436D0A"/>
    <w:rsid w:val="004407D1"/>
    <w:rsid w:val="004414AD"/>
    <w:rsid w:val="00443DA3"/>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C107B"/>
    <w:rsid w:val="004C4611"/>
    <w:rsid w:val="004D3798"/>
    <w:rsid w:val="004D3857"/>
    <w:rsid w:val="004D3BA9"/>
    <w:rsid w:val="004D4AA6"/>
    <w:rsid w:val="004E7970"/>
    <w:rsid w:val="004F18D5"/>
    <w:rsid w:val="004F6135"/>
    <w:rsid w:val="004F635C"/>
    <w:rsid w:val="004F65E7"/>
    <w:rsid w:val="004F6857"/>
    <w:rsid w:val="0050792A"/>
    <w:rsid w:val="00515980"/>
    <w:rsid w:val="0051645C"/>
    <w:rsid w:val="005202BB"/>
    <w:rsid w:val="0052069C"/>
    <w:rsid w:val="00520E30"/>
    <w:rsid w:val="0054068B"/>
    <w:rsid w:val="00540D13"/>
    <w:rsid w:val="00550749"/>
    <w:rsid w:val="005528C5"/>
    <w:rsid w:val="005542CC"/>
    <w:rsid w:val="00561A9C"/>
    <w:rsid w:val="00562C0D"/>
    <w:rsid w:val="00582EB0"/>
    <w:rsid w:val="00593389"/>
    <w:rsid w:val="0059524B"/>
    <w:rsid w:val="00597BBB"/>
    <w:rsid w:val="005A2832"/>
    <w:rsid w:val="005A2CD7"/>
    <w:rsid w:val="005A5492"/>
    <w:rsid w:val="005B0FD5"/>
    <w:rsid w:val="005C1D3F"/>
    <w:rsid w:val="005D04A7"/>
    <w:rsid w:val="005D13DC"/>
    <w:rsid w:val="005D24B8"/>
    <w:rsid w:val="005D30AB"/>
    <w:rsid w:val="005D4A6C"/>
    <w:rsid w:val="005D7EDB"/>
    <w:rsid w:val="005E0776"/>
    <w:rsid w:val="005E0F78"/>
    <w:rsid w:val="005E2BAD"/>
    <w:rsid w:val="00611175"/>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19B1"/>
    <w:rsid w:val="006C2EF8"/>
    <w:rsid w:val="006C5A72"/>
    <w:rsid w:val="006D1073"/>
    <w:rsid w:val="006D4A80"/>
    <w:rsid w:val="006E139C"/>
    <w:rsid w:val="00705CAD"/>
    <w:rsid w:val="00711058"/>
    <w:rsid w:val="00711526"/>
    <w:rsid w:val="00714FE5"/>
    <w:rsid w:val="00715057"/>
    <w:rsid w:val="00717305"/>
    <w:rsid w:val="007235F5"/>
    <w:rsid w:val="00740BB3"/>
    <w:rsid w:val="00742C35"/>
    <w:rsid w:val="00744E80"/>
    <w:rsid w:val="00750FD1"/>
    <w:rsid w:val="00755B0D"/>
    <w:rsid w:val="007638C3"/>
    <w:rsid w:val="00771C95"/>
    <w:rsid w:val="00790038"/>
    <w:rsid w:val="00790D10"/>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2BB0"/>
    <w:rsid w:val="0084670A"/>
    <w:rsid w:val="00852CAC"/>
    <w:rsid w:val="00855117"/>
    <w:rsid w:val="0085527B"/>
    <w:rsid w:val="0086279A"/>
    <w:rsid w:val="00862AEC"/>
    <w:rsid w:val="0086379F"/>
    <w:rsid w:val="008647D5"/>
    <w:rsid w:val="00867EFD"/>
    <w:rsid w:val="0087005A"/>
    <w:rsid w:val="0087744B"/>
    <w:rsid w:val="008822ED"/>
    <w:rsid w:val="00884A97"/>
    <w:rsid w:val="00891A62"/>
    <w:rsid w:val="00892438"/>
    <w:rsid w:val="00896E6B"/>
    <w:rsid w:val="008A0F17"/>
    <w:rsid w:val="008A1574"/>
    <w:rsid w:val="008A3152"/>
    <w:rsid w:val="008A401A"/>
    <w:rsid w:val="008A4A27"/>
    <w:rsid w:val="008B30BE"/>
    <w:rsid w:val="008B35CC"/>
    <w:rsid w:val="008B4AA7"/>
    <w:rsid w:val="008B578F"/>
    <w:rsid w:val="008C2176"/>
    <w:rsid w:val="008C2C2F"/>
    <w:rsid w:val="008C3D5B"/>
    <w:rsid w:val="008C67C6"/>
    <w:rsid w:val="008C704F"/>
    <w:rsid w:val="008D694B"/>
    <w:rsid w:val="008D7802"/>
    <w:rsid w:val="008E3EA2"/>
    <w:rsid w:val="008E684D"/>
    <w:rsid w:val="008F0D3D"/>
    <w:rsid w:val="008F1CF8"/>
    <w:rsid w:val="008F6030"/>
    <w:rsid w:val="008F7491"/>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2C4D"/>
    <w:rsid w:val="00997B32"/>
    <w:rsid w:val="009A1B10"/>
    <w:rsid w:val="009A7BFF"/>
    <w:rsid w:val="009B63DB"/>
    <w:rsid w:val="009B77AD"/>
    <w:rsid w:val="009B7AD7"/>
    <w:rsid w:val="009C1702"/>
    <w:rsid w:val="009C3071"/>
    <w:rsid w:val="009C36DF"/>
    <w:rsid w:val="009C3A91"/>
    <w:rsid w:val="009C7662"/>
    <w:rsid w:val="009D38DA"/>
    <w:rsid w:val="009D47BD"/>
    <w:rsid w:val="009D6751"/>
    <w:rsid w:val="009E1642"/>
    <w:rsid w:val="009E3CDB"/>
    <w:rsid w:val="009E77F7"/>
    <w:rsid w:val="009F070B"/>
    <w:rsid w:val="009F1BA2"/>
    <w:rsid w:val="009F4075"/>
    <w:rsid w:val="009F684B"/>
    <w:rsid w:val="00A050F1"/>
    <w:rsid w:val="00A10D10"/>
    <w:rsid w:val="00A203AF"/>
    <w:rsid w:val="00A23603"/>
    <w:rsid w:val="00A241C0"/>
    <w:rsid w:val="00A24AEC"/>
    <w:rsid w:val="00A3010D"/>
    <w:rsid w:val="00A34B0F"/>
    <w:rsid w:val="00A34EB7"/>
    <w:rsid w:val="00A4593E"/>
    <w:rsid w:val="00A46019"/>
    <w:rsid w:val="00A55952"/>
    <w:rsid w:val="00A6662C"/>
    <w:rsid w:val="00A71295"/>
    <w:rsid w:val="00A772D3"/>
    <w:rsid w:val="00A81CF7"/>
    <w:rsid w:val="00A8272D"/>
    <w:rsid w:val="00A85226"/>
    <w:rsid w:val="00A919D6"/>
    <w:rsid w:val="00AB1982"/>
    <w:rsid w:val="00AB52C2"/>
    <w:rsid w:val="00AC01A4"/>
    <w:rsid w:val="00AD2BC0"/>
    <w:rsid w:val="00AD39FA"/>
    <w:rsid w:val="00AE028B"/>
    <w:rsid w:val="00AE04FE"/>
    <w:rsid w:val="00AF104C"/>
    <w:rsid w:val="00AF2650"/>
    <w:rsid w:val="00AF2AF9"/>
    <w:rsid w:val="00B01936"/>
    <w:rsid w:val="00B111D2"/>
    <w:rsid w:val="00B16D71"/>
    <w:rsid w:val="00B1710B"/>
    <w:rsid w:val="00B3075F"/>
    <w:rsid w:val="00B44C99"/>
    <w:rsid w:val="00B44EC9"/>
    <w:rsid w:val="00B54DA2"/>
    <w:rsid w:val="00B633AB"/>
    <w:rsid w:val="00B6556B"/>
    <w:rsid w:val="00B67C4B"/>
    <w:rsid w:val="00B71530"/>
    <w:rsid w:val="00B71D0E"/>
    <w:rsid w:val="00B7214D"/>
    <w:rsid w:val="00B82691"/>
    <w:rsid w:val="00B915D4"/>
    <w:rsid w:val="00B95A2C"/>
    <w:rsid w:val="00B966FE"/>
    <w:rsid w:val="00BA2753"/>
    <w:rsid w:val="00BB5ECE"/>
    <w:rsid w:val="00BB7690"/>
    <w:rsid w:val="00BD6B4D"/>
    <w:rsid w:val="00BD6DEA"/>
    <w:rsid w:val="00BE579C"/>
    <w:rsid w:val="00BE5F7B"/>
    <w:rsid w:val="00BF1DB2"/>
    <w:rsid w:val="00BF7456"/>
    <w:rsid w:val="00BF7C65"/>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685C"/>
    <w:rsid w:val="00CE7093"/>
    <w:rsid w:val="00CF4F6C"/>
    <w:rsid w:val="00CF7529"/>
    <w:rsid w:val="00D03720"/>
    <w:rsid w:val="00D06D32"/>
    <w:rsid w:val="00D14841"/>
    <w:rsid w:val="00D15F32"/>
    <w:rsid w:val="00D20665"/>
    <w:rsid w:val="00D22F8E"/>
    <w:rsid w:val="00D30022"/>
    <w:rsid w:val="00D30109"/>
    <w:rsid w:val="00D31C28"/>
    <w:rsid w:val="00D3717E"/>
    <w:rsid w:val="00D44370"/>
    <w:rsid w:val="00D5047C"/>
    <w:rsid w:val="00D50CF6"/>
    <w:rsid w:val="00D54DCB"/>
    <w:rsid w:val="00D6780A"/>
    <w:rsid w:val="00D72A39"/>
    <w:rsid w:val="00D7435B"/>
    <w:rsid w:val="00D7647E"/>
    <w:rsid w:val="00D831EE"/>
    <w:rsid w:val="00D859CC"/>
    <w:rsid w:val="00D902FA"/>
    <w:rsid w:val="00D907C3"/>
    <w:rsid w:val="00D935D0"/>
    <w:rsid w:val="00DA31D7"/>
    <w:rsid w:val="00DA41A3"/>
    <w:rsid w:val="00DB13C3"/>
    <w:rsid w:val="00DB6BD3"/>
    <w:rsid w:val="00DB7D89"/>
    <w:rsid w:val="00DC0041"/>
    <w:rsid w:val="00DC46EC"/>
    <w:rsid w:val="00DC6E07"/>
    <w:rsid w:val="00DD0655"/>
    <w:rsid w:val="00DD2D61"/>
    <w:rsid w:val="00DD3F9C"/>
    <w:rsid w:val="00DD5DF9"/>
    <w:rsid w:val="00DD76CB"/>
    <w:rsid w:val="00DE218A"/>
    <w:rsid w:val="00DE442D"/>
    <w:rsid w:val="00DF1E14"/>
    <w:rsid w:val="00DF2FE5"/>
    <w:rsid w:val="00E0076E"/>
    <w:rsid w:val="00E0301C"/>
    <w:rsid w:val="00E10F53"/>
    <w:rsid w:val="00E12366"/>
    <w:rsid w:val="00E162CA"/>
    <w:rsid w:val="00E16B1D"/>
    <w:rsid w:val="00E37C6D"/>
    <w:rsid w:val="00E47FC6"/>
    <w:rsid w:val="00E51166"/>
    <w:rsid w:val="00E53A12"/>
    <w:rsid w:val="00E57D1F"/>
    <w:rsid w:val="00E6038A"/>
    <w:rsid w:val="00E61170"/>
    <w:rsid w:val="00E61ADC"/>
    <w:rsid w:val="00E70135"/>
    <w:rsid w:val="00E70D98"/>
    <w:rsid w:val="00E773E6"/>
    <w:rsid w:val="00E856AB"/>
    <w:rsid w:val="00E90A3F"/>
    <w:rsid w:val="00E95266"/>
    <w:rsid w:val="00E96420"/>
    <w:rsid w:val="00E977C4"/>
    <w:rsid w:val="00EB421A"/>
    <w:rsid w:val="00EC2E4E"/>
    <w:rsid w:val="00EC4E9E"/>
    <w:rsid w:val="00EE12D1"/>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510AE"/>
    <w:rsid w:val="00F545BE"/>
    <w:rsid w:val="00F7017C"/>
    <w:rsid w:val="00F7609E"/>
    <w:rsid w:val="00F77540"/>
    <w:rsid w:val="00F85D5A"/>
    <w:rsid w:val="00F86303"/>
    <w:rsid w:val="00F9178A"/>
    <w:rsid w:val="00F932D6"/>
    <w:rsid w:val="00FA3CD7"/>
    <w:rsid w:val="00FA3D27"/>
    <w:rsid w:val="00FA3DF1"/>
    <w:rsid w:val="00FA5EC3"/>
    <w:rsid w:val="00FB193A"/>
    <w:rsid w:val="00FC07FD"/>
    <w:rsid w:val="00FD0031"/>
    <w:rsid w:val="00FD4DDA"/>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3027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5079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1569</TotalTime>
  <Pages>8</Pages>
  <Words>2835</Words>
  <Characters>16674</Characters>
  <Application>Microsoft Office Word</Application>
  <DocSecurity>0</DocSecurity>
  <Lines>354</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salesforceId:d51135bf-30a2-4dbe-9702-cff09b16f53d</dc:subject>
  <dc:creator>O'Donoghue, Ruaridh</dc:creator>
  <cp:keywords/>
  <dc:description/>
  <cp:lastModifiedBy>Leesam, Joe</cp:lastModifiedBy>
  <cp:revision>64</cp:revision>
  <dcterms:created xsi:type="dcterms:W3CDTF">2026-09-04T09:24:00Z</dcterms:created>
  <dcterms:modified xsi:type="dcterms:W3CDTF">2026-09-08T09:37:00Z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069Q300000TS86xIAD</vt:lpwstr>
  </property>
</Properties>
</file>