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1568B" w14:textId="32FFC73F" w:rsid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Please see below our response to the Highways Development Management Engineer, Ms Amanda Hall</w:t>
      </w:r>
      <w:r w:rsidRPr="00A6675B">
        <w:rPr>
          <w:rFonts w:ascii="Arial" w:hAnsi="Arial" w:cs="Arial"/>
          <w:sz w:val="22"/>
          <w:szCs w:val="22"/>
        </w:rPr>
        <w:t xml:space="preserve"> </w:t>
      </w:r>
      <w:r>
        <w:rPr>
          <w:rFonts w:ascii="Arial" w:hAnsi="Arial" w:cs="Arial"/>
          <w:sz w:val="22"/>
          <w:szCs w:val="22"/>
        </w:rPr>
        <w:t>–</w:t>
      </w:r>
      <w:r w:rsidRPr="00A6675B">
        <w:rPr>
          <w:rFonts w:ascii="Arial" w:hAnsi="Arial" w:cs="Arial"/>
          <w:sz w:val="22"/>
          <w:szCs w:val="22"/>
        </w:rPr>
        <w:t xml:space="preserve"> </w:t>
      </w:r>
    </w:p>
    <w:p w14:paraId="1D9D16D3" w14:textId="77777777" w:rsidR="00A6675B" w:rsidRPr="00A6675B" w:rsidRDefault="00A6675B" w:rsidP="00A6675B">
      <w:pPr>
        <w:spacing w:after="0" w:line="240" w:lineRule="auto"/>
        <w:jc w:val="both"/>
        <w:rPr>
          <w:rFonts w:ascii="Arial" w:hAnsi="Arial" w:cs="Arial"/>
          <w:sz w:val="22"/>
          <w:szCs w:val="22"/>
        </w:rPr>
      </w:pPr>
    </w:p>
    <w:p w14:paraId="398826A1" w14:textId="4814C410" w:rsidR="00A6675B" w:rsidRPr="00A6675B" w:rsidRDefault="00A6675B" w:rsidP="00A6675B">
      <w:pPr>
        <w:spacing w:after="0" w:line="240" w:lineRule="auto"/>
        <w:jc w:val="both"/>
        <w:rPr>
          <w:rFonts w:ascii="Arial" w:hAnsi="Arial" w:cs="Arial"/>
          <w:sz w:val="22"/>
          <w:szCs w:val="22"/>
        </w:rPr>
      </w:pPr>
      <w:r>
        <w:rPr>
          <w:rFonts w:ascii="Arial" w:hAnsi="Arial" w:cs="Arial"/>
          <w:sz w:val="22"/>
          <w:szCs w:val="22"/>
        </w:rPr>
        <w:t>T</w:t>
      </w:r>
      <w:r w:rsidRPr="00A6675B">
        <w:rPr>
          <w:rFonts w:ascii="Arial" w:hAnsi="Arial" w:cs="Arial"/>
          <w:sz w:val="22"/>
          <w:szCs w:val="22"/>
        </w:rPr>
        <w:t xml:space="preserve">he current intention for this barn which would fall under Class E(c). For the avoidance of doubt, this prior approval is being made </w:t>
      </w:r>
      <w:proofErr w:type="gramStart"/>
      <w:r w:rsidRPr="00A6675B">
        <w:rPr>
          <w:rFonts w:ascii="Arial" w:hAnsi="Arial" w:cs="Arial"/>
          <w:sz w:val="22"/>
          <w:szCs w:val="22"/>
        </w:rPr>
        <w:t>on the basis of</w:t>
      </w:r>
      <w:proofErr w:type="gramEnd"/>
      <w:r w:rsidRPr="00A6675B">
        <w:rPr>
          <w:rFonts w:ascii="Arial" w:hAnsi="Arial" w:cs="Arial"/>
          <w:sz w:val="22"/>
          <w:szCs w:val="22"/>
        </w:rPr>
        <w:t xml:space="preserve"> a generic permission for this use as opposed to limiting the tenant for this building as this could change in the future.</w:t>
      </w:r>
    </w:p>
    <w:p w14:paraId="7131FA45" w14:textId="77777777" w:rsidR="00A6675B" w:rsidRPr="00A6675B" w:rsidRDefault="00A6675B" w:rsidP="00A6675B">
      <w:pPr>
        <w:spacing w:after="0" w:line="240" w:lineRule="auto"/>
        <w:jc w:val="both"/>
        <w:rPr>
          <w:rFonts w:ascii="Arial" w:hAnsi="Arial" w:cs="Arial"/>
          <w:sz w:val="22"/>
          <w:szCs w:val="22"/>
        </w:rPr>
      </w:pPr>
    </w:p>
    <w:p w14:paraId="255B18DD" w14:textId="77777777" w:rsidR="00A6675B" w:rsidRP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The existing agricultural use of the building is difficult to quantify and varies enormously from day to day. A standard wet winter's day might generate only 1 trip, whereas a dry summer's day during harvest might generate 50 vehicle trips daily.</w:t>
      </w:r>
    </w:p>
    <w:p w14:paraId="32D58A10" w14:textId="77777777" w:rsidR="00A6675B" w:rsidRPr="00A6675B" w:rsidRDefault="00A6675B" w:rsidP="00A6675B">
      <w:pPr>
        <w:spacing w:after="0" w:line="240" w:lineRule="auto"/>
        <w:jc w:val="both"/>
        <w:rPr>
          <w:rFonts w:ascii="Arial" w:hAnsi="Arial" w:cs="Arial"/>
          <w:sz w:val="22"/>
          <w:szCs w:val="22"/>
        </w:rPr>
      </w:pPr>
    </w:p>
    <w:p w14:paraId="451E4EFF" w14:textId="77777777" w:rsidR="00A6675B" w:rsidRPr="00A6675B" w:rsidRDefault="00A6675B" w:rsidP="00A6675B">
      <w:pPr>
        <w:spacing w:after="0" w:line="240" w:lineRule="auto"/>
        <w:jc w:val="both"/>
        <w:rPr>
          <w:rFonts w:ascii="Arial" w:hAnsi="Arial" w:cs="Arial"/>
          <w:i/>
          <w:iCs/>
          <w:sz w:val="22"/>
          <w:szCs w:val="22"/>
        </w:rPr>
      </w:pPr>
      <w:r w:rsidRPr="00A6675B">
        <w:rPr>
          <w:rFonts w:ascii="Arial" w:hAnsi="Arial" w:cs="Arial"/>
          <w:sz w:val="22"/>
          <w:szCs w:val="22"/>
        </w:rPr>
        <w:t xml:space="preserve">The proposed use of this site falls within Class E(c) – financial services, professional services and other appropriate services. The TRICS database for this use and proposed floor area forecasts the number of daily vehicle trips to be 10.98. This calculation is based upon empirical data collected from an industrial estate in Hamble Lane, Southampton over a 12 hour period (07:00 – 19:00). </w:t>
      </w:r>
      <w:proofErr w:type="gramStart"/>
      <w:r w:rsidRPr="00A6675B">
        <w:rPr>
          <w:rFonts w:ascii="Arial" w:hAnsi="Arial" w:cs="Arial"/>
          <w:sz w:val="22"/>
          <w:szCs w:val="22"/>
        </w:rPr>
        <w:t>In reality, a</w:t>
      </w:r>
      <w:proofErr w:type="gramEnd"/>
      <w:r w:rsidRPr="00A6675B">
        <w:rPr>
          <w:rFonts w:ascii="Arial" w:hAnsi="Arial" w:cs="Arial"/>
          <w:sz w:val="22"/>
          <w:szCs w:val="22"/>
        </w:rPr>
        <w:t xml:space="preserve"> site of this nature is likely to generate less vehicle trips than an industrial estate in Southampton. </w:t>
      </w:r>
    </w:p>
    <w:p w14:paraId="36C9558B" w14:textId="77777777" w:rsidR="00A6675B" w:rsidRPr="00A6675B" w:rsidRDefault="00A6675B" w:rsidP="00A6675B">
      <w:pPr>
        <w:spacing w:after="0" w:line="240" w:lineRule="auto"/>
        <w:jc w:val="both"/>
        <w:rPr>
          <w:rFonts w:ascii="Arial" w:hAnsi="Arial" w:cs="Arial"/>
          <w:sz w:val="22"/>
          <w:szCs w:val="22"/>
        </w:rPr>
      </w:pPr>
    </w:p>
    <w:p w14:paraId="64E38538" w14:textId="77777777" w:rsidR="00A6675B" w:rsidRP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 xml:space="preserve">The biggest difference in the proposed use and the existing use is the type of vehicles approaching the Application Site. The existing agricultural use attracts large tractors with grain trailers and/or telehandlers moving grain, seed bags, fertiliser etc. the latter of which generally arrives at the site from an articulated lorry which can be anything from 13 – 44 T. The impact of these types of vehicles on the local highway network is significantly greater than the vehicles expected to be visiting this site </w:t>
      </w:r>
      <w:proofErr w:type="gramStart"/>
      <w:r w:rsidRPr="00A6675B">
        <w:rPr>
          <w:rFonts w:ascii="Arial" w:hAnsi="Arial" w:cs="Arial"/>
          <w:sz w:val="22"/>
          <w:szCs w:val="22"/>
        </w:rPr>
        <w:t>as a result of</w:t>
      </w:r>
      <w:proofErr w:type="gramEnd"/>
      <w:r w:rsidRPr="00A6675B">
        <w:rPr>
          <w:rFonts w:ascii="Arial" w:hAnsi="Arial" w:cs="Arial"/>
          <w:sz w:val="22"/>
          <w:szCs w:val="22"/>
        </w:rPr>
        <w:t xml:space="preserve"> this change of use.</w:t>
      </w:r>
    </w:p>
    <w:p w14:paraId="077A9960" w14:textId="77777777" w:rsidR="00A6675B" w:rsidRPr="00A6675B" w:rsidRDefault="00A6675B" w:rsidP="00A6675B">
      <w:pPr>
        <w:spacing w:after="0" w:line="240" w:lineRule="auto"/>
        <w:jc w:val="both"/>
        <w:rPr>
          <w:rFonts w:ascii="Arial" w:hAnsi="Arial" w:cs="Arial"/>
          <w:sz w:val="22"/>
          <w:szCs w:val="22"/>
        </w:rPr>
      </w:pPr>
    </w:p>
    <w:p w14:paraId="055ABE29" w14:textId="77777777" w:rsidR="00A6675B" w:rsidRP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 xml:space="preserve">It is expected that the type of vehicles servicing this use </w:t>
      </w:r>
      <w:proofErr w:type="gramStart"/>
      <w:r w:rsidRPr="00A6675B">
        <w:rPr>
          <w:rFonts w:ascii="Arial" w:hAnsi="Arial" w:cs="Arial"/>
          <w:sz w:val="22"/>
          <w:szCs w:val="22"/>
        </w:rPr>
        <w:t>on a daily basis</w:t>
      </w:r>
      <w:proofErr w:type="gramEnd"/>
      <w:r w:rsidRPr="00A6675B">
        <w:rPr>
          <w:rFonts w:ascii="Arial" w:hAnsi="Arial" w:cs="Arial"/>
          <w:sz w:val="22"/>
          <w:szCs w:val="22"/>
        </w:rPr>
        <w:t xml:space="preserve"> will be standard cars, and small vans (up to around 3.5 T) with the occasional weekly delivery from a larger vehicle (around 7.5 - 13 T). As pointed out by Ms Hall, the access point to and from Malthouse Lane is adequate to accommodate all varieties of vehicles, as it has done so since the Fieldfare Trailers Centre commenced operations and indeed before that time for agricultural machinery. </w:t>
      </w:r>
    </w:p>
    <w:p w14:paraId="053DECE9" w14:textId="77777777" w:rsidR="00A6675B" w:rsidRPr="00A6675B" w:rsidRDefault="00A6675B" w:rsidP="00A6675B">
      <w:pPr>
        <w:spacing w:after="0" w:line="240" w:lineRule="auto"/>
        <w:jc w:val="both"/>
        <w:rPr>
          <w:rFonts w:ascii="Arial" w:hAnsi="Arial" w:cs="Arial"/>
          <w:sz w:val="22"/>
          <w:szCs w:val="22"/>
        </w:rPr>
      </w:pPr>
    </w:p>
    <w:p w14:paraId="33B65B18" w14:textId="77777777" w:rsidR="00A6675B" w:rsidRP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 xml:space="preserve">The internal route from Malthouse Lane to the Application Site is sufficient to accommodate the wide variety of vehicles that might require access to this site. Once off Malthouse Lane, drivers </w:t>
      </w:r>
      <w:proofErr w:type="gramStart"/>
      <w:r w:rsidRPr="00A6675B">
        <w:rPr>
          <w:rFonts w:ascii="Arial" w:hAnsi="Arial" w:cs="Arial"/>
          <w:sz w:val="22"/>
          <w:szCs w:val="22"/>
        </w:rPr>
        <w:t>are able to</w:t>
      </w:r>
      <w:proofErr w:type="gramEnd"/>
      <w:r w:rsidRPr="00A6675B">
        <w:rPr>
          <w:rFonts w:ascii="Arial" w:hAnsi="Arial" w:cs="Arial"/>
          <w:sz w:val="22"/>
          <w:szCs w:val="22"/>
        </w:rPr>
        <w:t xml:space="preserve"> see the route up to the Application Site, giving them the ability to assess the oncoming traffic from the other direction before proceeding along the internal route, allowing them to give way where necessary. Once drivers reach the main yard, there is sufficient turning space/parking within the curtilage of the Application Site as well as the surrounding yard to manoeuvre all types of vehicles that require access, which Ms Hall has already identified.</w:t>
      </w:r>
    </w:p>
    <w:p w14:paraId="75D18740" w14:textId="77777777" w:rsidR="00A6675B" w:rsidRPr="00A6675B" w:rsidRDefault="00A6675B" w:rsidP="00A6675B">
      <w:pPr>
        <w:spacing w:after="0" w:line="240" w:lineRule="auto"/>
        <w:jc w:val="both"/>
        <w:rPr>
          <w:rFonts w:ascii="Arial" w:hAnsi="Arial" w:cs="Arial"/>
          <w:sz w:val="22"/>
          <w:szCs w:val="22"/>
        </w:rPr>
      </w:pPr>
    </w:p>
    <w:p w14:paraId="023E92CC" w14:textId="77777777" w:rsidR="00A6675B" w:rsidRPr="00A6675B" w:rsidRDefault="00A6675B" w:rsidP="00A6675B">
      <w:pPr>
        <w:spacing w:after="0" w:line="240" w:lineRule="auto"/>
        <w:jc w:val="both"/>
        <w:rPr>
          <w:rFonts w:ascii="Arial" w:hAnsi="Arial" w:cs="Arial"/>
          <w:sz w:val="22"/>
          <w:szCs w:val="22"/>
        </w:rPr>
      </w:pPr>
      <w:proofErr w:type="gramStart"/>
      <w:r w:rsidRPr="00A6675B">
        <w:rPr>
          <w:rFonts w:ascii="Arial" w:hAnsi="Arial" w:cs="Arial"/>
          <w:sz w:val="22"/>
          <w:szCs w:val="22"/>
        </w:rPr>
        <w:t>In order to</w:t>
      </w:r>
      <w:proofErr w:type="gramEnd"/>
      <w:r w:rsidRPr="00A6675B">
        <w:rPr>
          <w:rFonts w:ascii="Arial" w:hAnsi="Arial" w:cs="Arial"/>
          <w:sz w:val="22"/>
          <w:szCs w:val="22"/>
        </w:rPr>
        <w:t xml:space="preserve"> minimise potential impact on the local highway network, particularly the junction where Malthouse Lane meets the A30, there is a sign located on the opposite side of the road at the entrance to the site, advising ‘no right turn’ out of the site. Whilst this does not physically prevent traffic from turning left, it provides encouragement, particularly for HGVs, to turn right away from the junction with the A30. Otherwise, it is not considered that the proposed use would create any conflict </w:t>
      </w:r>
      <w:proofErr w:type="gramStart"/>
      <w:r w:rsidRPr="00A6675B">
        <w:rPr>
          <w:rFonts w:ascii="Arial" w:hAnsi="Arial" w:cs="Arial"/>
          <w:sz w:val="22"/>
          <w:szCs w:val="22"/>
        </w:rPr>
        <w:t>with regard to</w:t>
      </w:r>
      <w:proofErr w:type="gramEnd"/>
      <w:r w:rsidRPr="00A6675B">
        <w:rPr>
          <w:rFonts w:ascii="Arial" w:hAnsi="Arial" w:cs="Arial"/>
          <w:sz w:val="22"/>
          <w:szCs w:val="22"/>
        </w:rPr>
        <w:t xml:space="preserve"> use of the existing roadway.</w:t>
      </w:r>
    </w:p>
    <w:p w14:paraId="359248FE" w14:textId="77777777" w:rsidR="00A6675B" w:rsidRPr="00A6675B" w:rsidRDefault="00A6675B" w:rsidP="00A6675B">
      <w:pPr>
        <w:spacing w:after="0" w:line="240" w:lineRule="auto"/>
        <w:jc w:val="both"/>
        <w:rPr>
          <w:rFonts w:ascii="Arial" w:hAnsi="Arial" w:cs="Arial"/>
          <w:sz w:val="22"/>
          <w:szCs w:val="22"/>
        </w:rPr>
      </w:pPr>
    </w:p>
    <w:p w14:paraId="48070A8C" w14:textId="77777777" w:rsidR="00A6675B" w:rsidRPr="00A6675B" w:rsidRDefault="00A6675B" w:rsidP="00A6675B">
      <w:pPr>
        <w:spacing w:after="0" w:line="240" w:lineRule="auto"/>
        <w:jc w:val="both"/>
        <w:rPr>
          <w:rFonts w:ascii="Arial" w:hAnsi="Arial" w:cs="Arial"/>
          <w:sz w:val="22"/>
          <w:szCs w:val="22"/>
        </w:rPr>
      </w:pPr>
      <w:r w:rsidRPr="00A6675B">
        <w:rPr>
          <w:rFonts w:ascii="Arial" w:hAnsi="Arial" w:cs="Arial"/>
          <w:sz w:val="22"/>
          <w:szCs w:val="22"/>
        </w:rPr>
        <w:t>Just to clarify any doubt from the Public Protection Officer, there are no groundworks proposed in this application, nor any material changes for that matter.</w:t>
      </w:r>
    </w:p>
    <w:p w14:paraId="387DD56D" w14:textId="77777777" w:rsidR="00A6675B" w:rsidRPr="00A6675B" w:rsidRDefault="00A6675B" w:rsidP="00A6675B">
      <w:pPr>
        <w:spacing w:after="0" w:line="240" w:lineRule="auto"/>
        <w:jc w:val="both"/>
        <w:rPr>
          <w:rFonts w:ascii="Arial" w:hAnsi="Arial" w:cs="Arial"/>
          <w:sz w:val="22"/>
          <w:szCs w:val="22"/>
        </w:rPr>
      </w:pPr>
    </w:p>
    <w:p w14:paraId="730749A7" w14:textId="77777777" w:rsidR="00A6675B" w:rsidRPr="00A6675B" w:rsidRDefault="00A6675B" w:rsidP="00A6675B">
      <w:pPr>
        <w:spacing w:after="0" w:line="240" w:lineRule="auto"/>
        <w:jc w:val="both"/>
        <w:rPr>
          <w:rFonts w:ascii="Arial" w:hAnsi="Arial" w:cs="Arial"/>
          <w:sz w:val="22"/>
          <w:szCs w:val="22"/>
        </w:rPr>
      </w:pPr>
    </w:p>
    <w:p w14:paraId="512C7845" w14:textId="77777777" w:rsidR="00A6675B" w:rsidRPr="00A6675B" w:rsidRDefault="00A6675B" w:rsidP="00A6675B">
      <w:pPr>
        <w:spacing w:after="0" w:line="240" w:lineRule="auto"/>
        <w:jc w:val="both"/>
        <w:rPr>
          <w:rFonts w:ascii="Arial" w:hAnsi="Arial" w:cs="Arial"/>
          <w:sz w:val="22"/>
          <w:szCs w:val="22"/>
        </w:rPr>
      </w:pPr>
    </w:p>
    <w:p w14:paraId="4EBD3E88" w14:textId="77777777" w:rsidR="006B0D61" w:rsidRPr="00A6675B" w:rsidRDefault="006B0D61" w:rsidP="00A6675B">
      <w:pPr>
        <w:spacing w:after="0" w:line="240" w:lineRule="auto"/>
        <w:jc w:val="both"/>
        <w:rPr>
          <w:rFonts w:ascii="Arial" w:hAnsi="Arial" w:cs="Arial"/>
          <w:sz w:val="22"/>
          <w:szCs w:val="22"/>
        </w:rPr>
      </w:pPr>
    </w:p>
    <w:sectPr w:rsidR="006B0D61" w:rsidRPr="00A667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75B"/>
    <w:rsid w:val="00590B54"/>
    <w:rsid w:val="005C144C"/>
    <w:rsid w:val="006B0D61"/>
    <w:rsid w:val="00A6675B"/>
    <w:rsid w:val="00D9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3B7D"/>
  <w15:chartTrackingRefBased/>
  <w15:docId w15:val="{1C46CC72-A13B-4FC5-A420-95D9296DC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7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7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7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7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7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7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7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7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7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7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7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7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7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7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7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75B"/>
    <w:rPr>
      <w:rFonts w:eastAsiaTheme="majorEastAsia" w:cstheme="majorBidi"/>
      <w:color w:val="272727" w:themeColor="text1" w:themeTint="D8"/>
    </w:rPr>
  </w:style>
  <w:style w:type="paragraph" w:styleId="Title">
    <w:name w:val="Title"/>
    <w:basedOn w:val="Normal"/>
    <w:next w:val="Normal"/>
    <w:link w:val="TitleChar"/>
    <w:uiPriority w:val="10"/>
    <w:qFormat/>
    <w:rsid w:val="00A66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7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7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7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75B"/>
    <w:pPr>
      <w:spacing w:before="160"/>
      <w:jc w:val="center"/>
    </w:pPr>
    <w:rPr>
      <w:i/>
      <w:iCs/>
      <w:color w:val="404040" w:themeColor="text1" w:themeTint="BF"/>
    </w:rPr>
  </w:style>
  <w:style w:type="character" w:customStyle="1" w:styleId="QuoteChar">
    <w:name w:val="Quote Char"/>
    <w:basedOn w:val="DefaultParagraphFont"/>
    <w:link w:val="Quote"/>
    <w:uiPriority w:val="29"/>
    <w:rsid w:val="00A6675B"/>
    <w:rPr>
      <w:i/>
      <w:iCs/>
      <w:color w:val="404040" w:themeColor="text1" w:themeTint="BF"/>
    </w:rPr>
  </w:style>
  <w:style w:type="paragraph" w:styleId="ListParagraph">
    <w:name w:val="List Paragraph"/>
    <w:basedOn w:val="Normal"/>
    <w:uiPriority w:val="34"/>
    <w:qFormat/>
    <w:rsid w:val="00A6675B"/>
    <w:pPr>
      <w:ind w:left="720"/>
      <w:contextualSpacing/>
    </w:pPr>
  </w:style>
  <w:style w:type="character" w:styleId="IntenseEmphasis">
    <w:name w:val="Intense Emphasis"/>
    <w:basedOn w:val="DefaultParagraphFont"/>
    <w:uiPriority w:val="21"/>
    <w:qFormat/>
    <w:rsid w:val="00A6675B"/>
    <w:rPr>
      <w:i/>
      <w:iCs/>
      <w:color w:val="0F4761" w:themeColor="accent1" w:themeShade="BF"/>
    </w:rPr>
  </w:style>
  <w:style w:type="paragraph" w:styleId="IntenseQuote">
    <w:name w:val="Intense Quote"/>
    <w:basedOn w:val="Normal"/>
    <w:next w:val="Normal"/>
    <w:link w:val="IntenseQuoteChar"/>
    <w:uiPriority w:val="30"/>
    <w:qFormat/>
    <w:rsid w:val="00A66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75B"/>
    <w:rPr>
      <w:i/>
      <w:iCs/>
      <w:color w:val="0F4761" w:themeColor="accent1" w:themeShade="BF"/>
    </w:rPr>
  </w:style>
  <w:style w:type="character" w:styleId="IntenseReference">
    <w:name w:val="Intense Reference"/>
    <w:basedOn w:val="DefaultParagraphFont"/>
    <w:uiPriority w:val="32"/>
    <w:qFormat/>
    <w:rsid w:val="00A667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2026-08-26T13:05:00Z</dcterms:created>
  <dcterms:modified xsi:type="dcterms:W3CDTF">2026-08-26T13:08:00Z</dcterms:modified>
</cp:coreProperties>
</file>