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F7A7" w14:textId="6202CC04"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r w:rsidR="00D61B8E">
        <w:rPr>
          <w:rFonts w:ascii="Arial" w:eastAsia="Times New Roman" w:hAnsi="Arial" w:cs="Arial"/>
          <w:b/>
          <w:bCs/>
          <w:kern w:val="0"/>
          <w:sz w:val="28"/>
          <w:szCs w:val="28"/>
          <w:lang w:eastAsia="en-GB"/>
          <w14:ligatures w14:val="none"/>
        </w:rPr>
        <w:t xml:space="preserve"> AND LISTED BUILDING CONSENT </w:t>
      </w:r>
    </w:p>
    <w:p w14:paraId="5B12C17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995FA5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8E119E9" w14:textId="77777777" w:rsidTr="00683C17">
        <w:tc>
          <w:tcPr>
            <w:tcW w:w="3681" w:type="dxa"/>
          </w:tcPr>
          <w:p w14:paraId="09B1568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350ABF0"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PL/2026/04002</w:t>
            </w:r>
          </w:p>
        </w:tc>
      </w:tr>
      <w:tr w:rsidR="003951BD" w14:paraId="280F38D0" w14:textId="77777777" w:rsidTr="00683C17">
        <w:tc>
          <w:tcPr>
            <w:tcW w:w="3681" w:type="dxa"/>
          </w:tcPr>
          <w:p w14:paraId="6EABE61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3A62611" w14:textId="65763B01"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r w:rsidR="00301E42">
              <w:rPr>
                <w:rFonts w:ascii="Arial" w:eastAsia="Arial" w:hAnsi="Arial" w:cs="Arial"/>
                <w:sz w:val="22"/>
                <w:szCs w:val="22"/>
              </w:rPr>
              <w:t xml:space="preserve"> and Listed Building Consent </w:t>
            </w:r>
          </w:p>
        </w:tc>
      </w:tr>
      <w:tr w:rsidR="003951BD" w14:paraId="617C6CBB" w14:textId="77777777" w:rsidTr="00683C17">
        <w:tc>
          <w:tcPr>
            <w:tcW w:w="3681" w:type="dxa"/>
          </w:tcPr>
          <w:p w14:paraId="6B0346D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7C1D10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 Walnut House, Eyles Road, Devizes, SN10 5NX</w:t>
            </w:r>
          </w:p>
        </w:tc>
      </w:tr>
      <w:tr w:rsidR="003951BD" w14:paraId="5C69209D" w14:textId="77777777" w:rsidTr="00683C17">
        <w:tc>
          <w:tcPr>
            <w:tcW w:w="3681" w:type="dxa"/>
          </w:tcPr>
          <w:p w14:paraId="7D64198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434107C"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Single-storey extension</w:t>
            </w:r>
          </w:p>
        </w:tc>
      </w:tr>
      <w:tr w:rsidR="003951BD" w14:paraId="22073C1E" w14:textId="77777777" w:rsidTr="00683C17">
        <w:tc>
          <w:tcPr>
            <w:tcW w:w="3681" w:type="dxa"/>
          </w:tcPr>
          <w:p w14:paraId="4815106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B226846"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A9A19F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4E24AF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CFB217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FE4F00E" w14:textId="77777777" w:rsidR="00A72039" w:rsidRDefault="00A72039" w:rsidP="00A72039">
      <w:pPr>
        <w:spacing w:after="0" w:line="276" w:lineRule="auto"/>
        <w:jc w:val="both"/>
        <w:outlineLvl w:val="2"/>
        <w:rPr>
          <w:rFonts w:ascii="Arial" w:eastAsia="Times New Roman" w:hAnsi="Arial" w:cs="Arial"/>
          <w:kern w:val="0"/>
          <w:sz w:val="22"/>
          <w:szCs w:val="22"/>
          <w:lang w:eastAsia="en-GB"/>
          <w14:ligatures w14:val="none"/>
        </w:rPr>
      </w:pPr>
      <w:r w:rsidRPr="00A72039">
        <w:rPr>
          <w:rFonts w:ascii="Arial" w:eastAsia="Times New Roman" w:hAnsi="Arial" w:cs="Arial"/>
          <w:kern w:val="0"/>
          <w:sz w:val="22"/>
          <w:szCs w:val="22"/>
          <w:lang w:eastAsia="en-GB"/>
          <w14:ligatures w14:val="none"/>
        </w:rPr>
        <w:t>The proposal seeks householder planning permission for the erection of a single-storey extension to the southern side elevation of the existing dwelling. The extension would provide a utility and boot room and would enable alterations to the internal arrangement of the existing kitchen and dining area. The proposed extension would have a gross internal floor area of approximately 7.1 square metres, with an eaves height of approximately 3.1 metres and a ridge height of approximately 4.6 metres.</w:t>
      </w:r>
    </w:p>
    <w:p w14:paraId="74D76206" w14:textId="77777777" w:rsidR="00A72039" w:rsidRPr="00A72039" w:rsidRDefault="00A72039" w:rsidP="00A72039">
      <w:pPr>
        <w:spacing w:after="0" w:line="276" w:lineRule="auto"/>
        <w:jc w:val="both"/>
        <w:outlineLvl w:val="2"/>
        <w:rPr>
          <w:rFonts w:ascii="Arial" w:eastAsia="Times New Roman" w:hAnsi="Arial" w:cs="Arial"/>
          <w:kern w:val="0"/>
          <w:sz w:val="22"/>
          <w:szCs w:val="22"/>
          <w:lang w:eastAsia="en-GB"/>
          <w14:ligatures w14:val="none"/>
        </w:rPr>
      </w:pPr>
    </w:p>
    <w:p w14:paraId="2B154971" w14:textId="77777777" w:rsidR="00ED524E" w:rsidRDefault="00A72039" w:rsidP="00ED524E">
      <w:pPr>
        <w:spacing w:after="0" w:line="276" w:lineRule="auto"/>
        <w:jc w:val="both"/>
        <w:outlineLvl w:val="2"/>
        <w:rPr>
          <w:rFonts w:ascii="Arial" w:eastAsia="Times New Roman" w:hAnsi="Arial" w:cs="Arial"/>
          <w:kern w:val="0"/>
          <w:sz w:val="22"/>
          <w:szCs w:val="22"/>
          <w:lang w:eastAsia="en-GB"/>
          <w14:ligatures w14:val="none"/>
        </w:rPr>
      </w:pPr>
      <w:r w:rsidRPr="00A72039">
        <w:rPr>
          <w:rFonts w:ascii="Arial" w:eastAsia="Times New Roman" w:hAnsi="Arial" w:cs="Arial"/>
          <w:kern w:val="0"/>
          <w:sz w:val="22"/>
          <w:szCs w:val="22"/>
          <w:lang w:eastAsia="en-GB"/>
          <w14:ligatures w14:val="none"/>
        </w:rPr>
        <w:t xml:space="preserve">The extension would have a traditional hipped roof finished in natural slate and would incorporate traditionally detailed external joinery. </w:t>
      </w:r>
      <w:r w:rsidR="00ED524E" w:rsidRPr="00ED524E">
        <w:rPr>
          <w:rFonts w:ascii="Arial" w:eastAsia="Times New Roman" w:hAnsi="Arial" w:cs="Arial"/>
          <w:kern w:val="0"/>
          <w:sz w:val="22"/>
          <w:szCs w:val="22"/>
          <w:lang w:eastAsia="en-GB"/>
          <w14:ligatures w14:val="none"/>
        </w:rPr>
        <w:t>The proposal was originally submitted with a rendered external wall finish. Following concerns raised by the Council's Conservation Officer regarding the appropriateness of render on what is principally a brick-built villa with stone detailing, amended plans and an updated Heritage and Design &amp; Access Statement were submitted confirming that the extension would instead be constructed in facing brick. This amendment is considered to provide a more sympathetic relationship with the materials and architectural character of the host building and satisfactorily addresses the Conservation Officer's concerns.</w:t>
      </w:r>
    </w:p>
    <w:p w14:paraId="18FCECF5" w14:textId="77777777" w:rsidR="00ED524E" w:rsidRPr="00ED524E" w:rsidRDefault="00ED524E" w:rsidP="00ED524E">
      <w:pPr>
        <w:spacing w:after="0" w:line="276" w:lineRule="auto"/>
        <w:jc w:val="both"/>
        <w:outlineLvl w:val="2"/>
        <w:rPr>
          <w:rFonts w:ascii="Arial" w:eastAsia="Times New Roman" w:hAnsi="Arial" w:cs="Arial"/>
          <w:kern w:val="0"/>
          <w:sz w:val="22"/>
          <w:szCs w:val="22"/>
          <w:lang w:eastAsia="en-GB"/>
          <w14:ligatures w14:val="none"/>
        </w:rPr>
      </w:pPr>
    </w:p>
    <w:p w14:paraId="774427F2" w14:textId="6AAF5096" w:rsidR="00A72039" w:rsidRDefault="00ED524E" w:rsidP="00ED524E">
      <w:pPr>
        <w:spacing w:after="0" w:line="276" w:lineRule="auto"/>
        <w:jc w:val="both"/>
        <w:outlineLvl w:val="2"/>
        <w:rPr>
          <w:rFonts w:ascii="Arial" w:eastAsia="Times New Roman" w:hAnsi="Arial" w:cs="Arial"/>
          <w:kern w:val="0"/>
          <w:sz w:val="22"/>
          <w:szCs w:val="22"/>
          <w:lang w:eastAsia="en-GB"/>
          <w14:ligatures w14:val="none"/>
        </w:rPr>
      </w:pPr>
      <w:r w:rsidRPr="00ED524E">
        <w:rPr>
          <w:rFonts w:ascii="Arial" w:eastAsia="Times New Roman" w:hAnsi="Arial" w:cs="Arial"/>
          <w:kern w:val="0"/>
          <w:sz w:val="22"/>
          <w:szCs w:val="22"/>
          <w:lang w:eastAsia="en-GB"/>
          <w14:ligatures w14:val="none"/>
        </w:rPr>
        <w:t>In this instance, it was not considered necessary to undertake a further round of consultation. Neither Devizes Town Council nor the Trust for Devizes objected to the proposal as originally submitted, and the amendment relates solely to the substitution of render with facing brick. As facing brick is considered by the Conservation Officer to be a more appropriate material in heritage and design terms, the amendment is not considered to materially alter the nature of the proposal or prejudice any interested party.</w:t>
      </w:r>
    </w:p>
    <w:p w14:paraId="3EE7EB1F" w14:textId="77777777" w:rsidR="00ED524E" w:rsidRDefault="00ED524E" w:rsidP="00ED524E">
      <w:pPr>
        <w:spacing w:after="0" w:line="276" w:lineRule="auto"/>
        <w:jc w:val="both"/>
        <w:outlineLvl w:val="2"/>
        <w:rPr>
          <w:rFonts w:ascii="Arial" w:eastAsia="Times New Roman" w:hAnsi="Arial" w:cs="Arial"/>
          <w:b/>
          <w:bCs/>
          <w:kern w:val="0"/>
          <w:sz w:val="22"/>
          <w:szCs w:val="22"/>
          <w:lang w:eastAsia="en-GB"/>
          <w14:ligatures w14:val="none"/>
        </w:rPr>
      </w:pPr>
    </w:p>
    <w:p w14:paraId="693F187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0150C73" w14:textId="77777777" w:rsidR="00A72039" w:rsidRDefault="00A72039" w:rsidP="00A72039">
      <w:pPr>
        <w:spacing w:after="0" w:line="276" w:lineRule="auto"/>
        <w:jc w:val="both"/>
        <w:outlineLvl w:val="2"/>
        <w:rPr>
          <w:rFonts w:ascii="Arial" w:eastAsia="Times New Roman" w:hAnsi="Arial" w:cs="Arial"/>
          <w:color w:val="FF0000"/>
          <w:kern w:val="0"/>
          <w:sz w:val="22"/>
          <w:szCs w:val="22"/>
          <w:lang w:eastAsia="en-GB"/>
          <w14:ligatures w14:val="none"/>
        </w:rPr>
      </w:pPr>
    </w:p>
    <w:p w14:paraId="5A43579B" w14:textId="128B4A5B" w:rsidR="00A72039" w:rsidRPr="00A72039" w:rsidRDefault="00A72039" w:rsidP="00A7203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72039">
        <w:rPr>
          <w:rFonts w:ascii="Arial" w:eastAsia="Times New Roman" w:hAnsi="Arial" w:cs="Arial"/>
          <w:color w:val="000000" w:themeColor="text1"/>
          <w:kern w:val="0"/>
          <w:sz w:val="22"/>
          <w:szCs w:val="22"/>
          <w:lang w:eastAsia="en-GB"/>
          <w14:ligatures w14:val="none"/>
        </w:rPr>
        <w:t xml:space="preserve">The application relates to 1 Walnut House, a substantial dwelling within the former Roundway Hospital complex. Walnut House originally formed one of the detached villa ward buildings associated with the former Wiltshire County Asylum and is a curtilage-listed building associated with the Grade II listed former hospital. The building dates from 1904 and was converted to residential use as part of the redevelopment of the former hospital site. </w:t>
      </w:r>
    </w:p>
    <w:p w14:paraId="7AF3A938" w14:textId="77777777" w:rsidR="00A72039" w:rsidRPr="00A72039" w:rsidRDefault="00A72039" w:rsidP="00A72039">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84CACB" w14:textId="48610F9C" w:rsidR="00A72039" w:rsidRPr="00A72039" w:rsidRDefault="00A72039" w:rsidP="00A7203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72039">
        <w:rPr>
          <w:rFonts w:ascii="Arial" w:eastAsia="Times New Roman" w:hAnsi="Arial" w:cs="Arial"/>
          <w:color w:val="000000" w:themeColor="text1"/>
          <w:kern w:val="0"/>
          <w:sz w:val="22"/>
          <w:szCs w:val="22"/>
          <w:lang w:eastAsia="en-GB"/>
          <w14:ligatures w14:val="none"/>
        </w:rPr>
        <w:lastRenderedPageBreak/>
        <w:t xml:space="preserve">The host building is a substantial two-storey brick-built villa with stone detailing and a slate roof. It has undergone previous alterations, particularly in connection with its conversion to residential use. The application property benefits from a mature and established garden, and the proposal would not require changes to the existing access, parking arrangements or boundary treatments. </w:t>
      </w:r>
    </w:p>
    <w:p w14:paraId="06AE7AF0" w14:textId="77777777" w:rsidR="00A72039" w:rsidRPr="00A72039" w:rsidRDefault="00A72039" w:rsidP="00A72039">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564C6C1" w14:textId="77777777" w:rsidR="00A72039" w:rsidRDefault="00A72039" w:rsidP="00A7203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72039">
        <w:rPr>
          <w:rFonts w:ascii="Arial" w:eastAsia="Times New Roman" w:hAnsi="Arial" w:cs="Arial"/>
          <w:color w:val="000000" w:themeColor="text1"/>
          <w:kern w:val="0"/>
          <w:sz w:val="22"/>
          <w:szCs w:val="22"/>
          <w:lang w:eastAsia="en-GB"/>
          <w14:ligatures w14:val="none"/>
        </w:rPr>
        <w:t>The application site is subject to the following relevant planning constraints:</w:t>
      </w:r>
    </w:p>
    <w:p w14:paraId="02596DA3" w14:textId="77777777" w:rsidR="00A72039" w:rsidRPr="00A72039" w:rsidRDefault="00A72039" w:rsidP="00A72039">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629C15E" w14:textId="77777777" w:rsidR="00A72039" w:rsidRPr="00A72039" w:rsidRDefault="00A72039" w:rsidP="00A72039">
      <w:pPr>
        <w:numPr>
          <w:ilvl w:val="0"/>
          <w:numId w:val="15"/>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72039">
        <w:rPr>
          <w:rFonts w:ascii="Arial" w:eastAsia="Times New Roman" w:hAnsi="Arial" w:cs="Arial"/>
          <w:color w:val="000000" w:themeColor="text1"/>
          <w:kern w:val="0"/>
          <w:sz w:val="22"/>
          <w:szCs w:val="22"/>
          <w:lang w:eastAsia="en-GB"/>
          <w14:ligatures w14:val="none"/>
        </w:rPr>
        <w:t>Curtilage-listed building associated with the Grade II listed former Wiltshire County Asylum;</w:t>
      </w:r>
    </w:p>
    <w:p w14:paraId="5CE89042" w14:textId="7D49E7BB" w:rsidR="00683C17" w:rsidRPr="00CA53ED" w:rsidRDefault="00A72039" w:rsidP="00F90E99">
      <w:pPr>
        <w:numPr>
          <w:ilvl w:val="0"/>
          <w:numId w:val="15"/>
        </w:numPr>
        <w:spacing w:after="0" w:line="276" w:lineRule="auto"/>
        <w:jc w:val="both"/>
        <w:outlineLvl w:val="2"/>
        <w:rPr>
          <w:rFonts w:ascii="Arial" w:eastAsia="Times New Roman" w:hAnsi="Arial" w:cs="Arial"/>
          <w:b/>
          <w:bCs/>
          <w:kern w:val="0"/>
          <w:sz w:val="22"/>
          <w:szCs w:val="22"/>
          <w:lang w:eastAsia="en-GB"/>
          <w14:ligatures w14:val="none"/>
        </w:rPr>
      </w:pPr>
      <w:r w:rsidRPr="00CA53ED">
        <w:rPr>
          <w:rFonts w:ascii="Arial" w:eastAsia="Times New Roman" w:hAnsi="Arial" w:cs="Arial"/>
          <w:color w:val="000000" w:themeColor="text1"/>
          <w:kern w:val="0"/>
          <w:sz w:val="22"/>
          <w:szCs w:val="22"/>
          <w:lang w:eastAsia="en-GB"/>
          <w14:ligatures w14:val="none"/>
        </w:rPr>
        <w:t>Setting of designated heritage assets.</w:t>
      </w:r>
    </w:p>
    <w:p w14:paraId="54B6FCC2" w14:textId="390B19CE" w:rsidR="00CA53ED" w:rsidRPr="00CA53ED" w:rsidRDefault="00CA53ED" w:rsidP="00F90E99">
      <w:pPr>
        <w:numPr>
          <w:ilvl w:val="0"/>
          <w:numId w:val="15"/>
        </w:num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Within Limits of Development of Devizes</w:t>
      </w:r>
    </w:p>
    <w:p w14:paraId="16C11756" w14:textId="77777777" w:rsidR="00CA53ED" w:rsidRPr="00CA53ED" w:rsidRDefault="00CA53ED" w:rsidP="00CA53ED">
      <w:pPr>
        <w:spacing w:after="0" w:line="276" w:lineRule="auto"/>
        <w:ind w:left="720"/>
        <w:jc w:val="both"/>
        <w:outlineLvl w:val="2"/>
        <w:rPr>
          <w:rFonts w:ascii="Arial" w:eastAsia="Times New Roman" w:hAnsi="Arial" w:cs="Arial"/>
          <w:b/>
          <w:bCs/>
          <w:kern w:val="0"/>
          <w:sz w:val="22"/>
          <w:szCs w:val="22"/>
          <w:lang w:eastAsia="en-GB"/>
          <w14:ligatures w14:val="none"/>
        </w:rPr>
      </w:pPr>
    </w:p>
    <w:p w14:paraId="60F31E3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9DB604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1F436517" w14:textId="77777777" w:rsidTr="008F7D98">
        <w:trPr>
          <w:trHeight w:hRule="exact" w:val="20"/>
        </w:trPr>
        <w:tc>
          <w:tcPr>
            <w:tcW w:w="8921" w:type="dxa"/>
            <w:tcBorders>
              <w:bottom w:val="single" w:sz="6" w:space="0" w:color="auto"/>
            </w:tcBorders>
            <w:vAlign w:val="center"/>
            <w:hideMark/>
          </w:tcPr>
          <w:p w14:paraId="20094907"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010E7802"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789EB22"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13DE905E" w14:textId="77777777" w:rsidTr="008F7D98">
        <w:tc>
          <w:tcPr>
            <w:tcW w:w="8921" w:type="dxa"/>
            <w:tcBorders>
              <w:left w:val="single" w:sz="12" w:space="0" w:color="auto"/>
              <w:bottom w:val="single" w:sz="12" w:space="0" w:color="auto"/>
              <w:right w:val="single" w:sz="12" w:space="0" w:color="auto"/>
            </w:tcBorders>
            <w:vAlign w:val="center"/>
          </w:tcPr>
          <w:p w14:paraId="156D0ED4"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K/46146/L - Listed building consent Decision - Approve with Conditions Date: 30/9/2003 – Insertion of 6 No rooflights within existing roof.</w:t>
            </w:r>
          </w:p>
        </w:tc>
      </w:tr>
      <w:tr w:rsidR="003951BD" w:rsidRPr="003E74F7" w14:paraId="1E60D3DB" w14:textId="77777777" w:rsidTr="008F7D98">
        <w:tc>
          <w:tcPr>
            <w:tcW w:w="8921" w:type="dxa"/>
            <w:tcBorders>
              <w:left w:val="single" w:sz="12" w:space="0" w:color="auto"/>
              <w:bottom w:val="single" w:sz="12" w:space="0" w:color="auto"/>
              <w:right w:val="single" w:sz="12" w:space="0" w:color="auto"/>
            </w:tcBorders>
            <w:vAlign w:val="center"/>
          </w:tcPr>
          <w:p w14:paraId="1378DA71"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19/10700/PREAPP - Pre-Application enquiry Decision - Pre-App Response Date: 26/11/2019 – Dormer window and conversion of loft space in to a habitable room (curtilage grade II listed building)</w:t>
            </w:r>
          </w:p>
        </w:tc>
      </w:tr>
      <w:tr w:rsidR="003951BD" w:rsidRPr="003E74F7" w14:paraId="025F86F1" w14:textId="77777777" w:rsidTr="008F7D98">
        <w:tc>
          <w:tcPr>
            <w:tcW w:w="8921" w:type="dxa"/>
            <w:tcBorders>
              <w:top w:val="single" w:sz="12" w:space="0" w:color="auto"/>
            </w:tcBorders>
            <w:vAlign w:val="center"/>
            <w:hideMark/>
          </w:tcPr>
          <w:p w14:paraId="179320D7" w14:textId="77777777" w:rsidR="003951BD" w:rsidRPr="003E74F7" w:rsidRDefault="003951BD" w:rsidP="003951BD">
            <w:pPr>
              <w:spacing w:after="0"/>
              <w:rPr>
                <w:rFonts w:cs="Arial"/>
                <w:szCs w:val="22"/>
              </w:rPr>
            </w:pPr>
          </w:p>
        </w:tc>
      </w:tr>
      <w:tr w:rsidR="003951BD" w:rsidRPr="003E74F7" w14:paraId="150380A5" w14:textId="77777777" w:rsidTr="008F7D98">
        <w:tc>
          <w:tcPr>
            <w:tcW w:w="8921" w:type="dxa"/>
            <w:vAlign w:val="center"/>
            <w:hideMark/>
          </w:tcPr>
          <w:p w14:paraId="25C86CD2" w14:textId="77777777" w:rsidR="003951BD" w:rsidRPr="003E74F7" w:rsidRDefault="003951BD" w:rsidP="003951BD">
            <w:pPr>
              <w:spacing w:after="0"/>
              <w:rPr>
                <w:rFonts w:cs="Arial"/>
                <w:szCs w:val="22"/>
              </w:rPr>
            </w:pPr>
          </w:p>
        </w:tc>
      </w:tr>
    </w:tbl>
    <w:bookmarkEnd w:id="0"/>
    <w:p w14:paraId="1F1C85C4" w14:textId="2889EA34" w:rsidR="00BD6B4D" w:rsidRPr="00371103" w:rsidRDefault="00BD6B4D" w:rsidP="009C1702">
      <w:pPr>
        <w:spacing w:after="0" w:line="276" w:lineRule="auto"/>
        <w:jc w:val="both"/>
        <w:rPr>
          <w:rFonts w:ascii="Arial" w:eastAsia="Times New Roman" w:hAnsi="Arial" w:cs="Arial"/>
          <w:i/>
          <w:iCs/>
          <w:color w:val="FF0000"/>
          <w:kern w:val="0"/>
          <w:sz w:val="22"/>
          <w:szCs w:val="22"/>
          <w:lang w:eastAsia="en-GB"/>
          <w14:ligatures w14:val="none"/>
        </w:rPr>
      </w:pPr>
      <w:r w:rsidRPr="00371103">
        <w:rPr>
          <w:rFonts w:ascii="Arial" w:eastAsia="Times New Roman" w:hAnsi="Arial" w:cs="Arial"/>
          <w:i/>
          <w:iCs/>
          <w:color w:val="FF0000"/>
          <w:kern w:val="0"/>
          <w:sz w:val="22"/>
          <w:szCs w:val="22"/>
          <w:lang w:eastAsia="en-GB"/>
          <w14:ligatures w14:val="none"/>
        </w:rPr>
        <w:t xml:space="preserve"> </w:t>
      </w:r>
    </w:p>
    <w:p w14:paraId="2444622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E775E7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47000A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7D6DA0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876BE5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E7014B9"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126B6B2D" w14:textId="77777777" w:rsidR="00683C17" w:rsidRPr="00A72039"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72039">
        <w:rPr>
          <w:rFonts w:ascii="Arial" w:eastAsia="Times New Roman" w:hAnsi="Arial" w:cs="Arial"/>
          <w:color w:val="000000" w:themeColor="text1"/>
          <w:kern w:val="0"/>
          <w:sz w:val="22"/>
          <w:szCs w:val="22"/>
          <w:lang w:eastAsia="en-GB"/>
          <w14:ligatures w14:val="none"/>
        </w:rPr>
        <w:t>Core Policy 58</w:t>
      </w:r>
      <w:r w:rsidR="006A735A" w:rsidRPr="00A72039">
        <w:rPr>
          <w:rFonts w:ascii="Arial" w:eastAsia="Times New Roman" w:hAnsi="Arial" w:cs="Arial"/>
          <w:color w:val="000000" w:themeColor="text1"/>
          <w:kern w:val="0"/>
          <w:sz w:val="22"/>
          <w:szCs w:val="22"/>
          <w:lang w:eastAsia="en-GB"/>
          <w14:ligatures w14:val="none"/>
        </w:rPr>
        <w:t>:</w:t>
      </w:r>
      <w:r w:rsidR="00315AE0" w:rsidRPr="00A72039">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07463B70"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2C62DC07" w14:textId="63F0B798" w:rsidR="0021435E" w:rsidRPr="00A72039" w:rsidRDefault="00A7203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72039">
        <w:rPr>
          <w:rFonts w:ascii="Arial" w:eastAsia="Times New Roman" w:hAnsi="Arial" w:cs="Arial"/>
          <w:color w:val="000000" w:themeColor="text1"/>
          <w:kern w:val="0"/>
          <w:sz w:val="22"/>
          <w:szCs w:val="22"/>
          <w:lang w:eastAsia="en-GB"/>
          <w14:ligatures w14:val="none"/>
        </w:rPr>
        <w:t>Devizes Area Neighbourhood Plan (2015)</w:t>
      </w:r>
    </w:p>
    <w:p w14:paraId="679FD60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9E3A4E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D3B5A7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90A419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983778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38D53E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FD99BDE"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A3D554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DFDAFD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850326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7AAB56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C35F6B5" w14:textId="77777777" w:rsidR="00A72039" w:rsidRDefault="00A72039" w:rsidP="00A72039">
      <w:pPr>
        <w:spacing w:after="0" w:line="276" w:lineRule="auto"/>
        <w:jc w:val="both"/>
        <w:rPr>
          <w:rFonts w:ascii="Arial" w:eastAsia="Times New Roman" w:hAnsi="Arial" w:cs="Arial"/>
          <w:kern w:val="0"/>
          <w:sz w:val="22"/>
          <w:szCs w:val="22"/>
          <w:lang w:eastAsia="en-GB"/>
          <w14:ligatures w14:val="none"/>
        </w:rPr>
      </w:pPr>
      <w:r w:rsidRPr="00A72039">
        <w:rPr>
          <w:rFonts w:ascii="Arial" w:eastAsia="Times New Roman" w:hAnsi="Arial" w:cs="Arial"/>
          <w:kern w:val="0"/>
          <w:sz w:val="22"/>
          <w:szCs w:val="22"/>
          <w:u w:val="single"/>
          <w:lang w:eastAsia="en-GB"/>
          <w14:ligatures w14:val="none"/>
        </w:rPr>
        <w:t>Devizes Town Council:</w:t>
      </w:r>
      <w:r w:rsidRPr="00A72039">
        <w:rPr>
          <w:rFonts w:ascii="Arial" w:eastAsia="Times New Roman" w:hAnsi="Arial" w:cs="Arial"/>
          <w:kern w:val="0"/>
          <w:sz w:val="22"/>
          <w:szCs w:val="22"/>
          <w:lang w:eastAsia="en-GB"/>
          <w14:ligatures w14:val="none"/>
        </w:rPr>
        <w:t xml:space="preserve"> No objection.</w:t>
      </w:r>
    </w:p>
    <w:p w14:paraId="7E3FC59B" w14:textId="77777777" w:rsidR="00A72039" w:rsidRPr="00A72039" w:rsidRDefault="00A72039" w:rsidP="00A72039">
      <w:pPr>
        <w:spacing w:after="0" w:line="276" w:lineRule="auto"/>
        <w:jc w:val="both"/>
        <w:rPr>
          <w:rFonts w:ascii="Arial" w:eastAsia="Times New Roman" w:hAnsi="Arial" w:cs="Arial"/>
          <w:kern w:val="0"/>
          <w:sz w:val="22"/>
          <w:szCs w:val="22"/>
          <w:lang w:eastAsia="en-GB"/>
          <w14:ligatures w14:val="none"/>
        </w:rPr>
      </w:pPr>
    </w:p>
    <w:p w14:paraId="0D462A0A" w14:textId="77777777" w:rsidR="00A72039" w:rsidRPr="00A72039" w:rsidRDefault="00A72039" w:rsidP="00A72039">
      <w:pPr>
        <w:spacing w:after="0" w:line="276" w:lineRule="auto"/>
        <w:jc w:val="both"/>
        <w:rPr>
          <w:rFonts w:ascii="Arial" w:eastAsia="Times New Roman" w:hAnsi="Arial" w:cs="Arial"/>
          <w:kern w:val="0"/>
          <w:sz w:val="22"/>
          <w:szCs w:val="22"/>
          <w:lang w:eastAsia="en-GB"/>
          <w14:ligatures w14:val="none"/>
        </w:rPr>
      </w:pPr>
      <w:r w:rsidRPr="00A72039">
        <w:rPr>
          <w:rFonts w:ascii="Arial" w:eastAsia="Times New Roman" w:hAnsi="Arial" w:cs="Arial"/>
          <w:kern w:val="0"/>
          <w:sz w:val="22"/>
          <w:szCs w:val="22"/>
          <w:u w:val="single"/>
          <w:lang w:eastAsia="en-GB"/>
          <w14:ligatures w14:val="none"/>
        </w:rPr>
        <w:t>The Trust for Devizes</w:t>
      </w:r>
      <w:r w:rsidRPr="00A72039">
        <w:rPr>
          <w:rFonts w:ascii="Arial" w:eastAsia="Times New Roman" w:hAnsi="Arial" w:cs="Arial"/>
          <w:kern w:val="0"/>
          <w:sz w:val="22"/>
          <w:szCs w:val="22"/>
          <w:lang w:eastAsia="en-GB"/>
          <w14:ligatures w14:val="none"/>
        </w:rPr>
        <w:t>: No objection, subject to a condition controlling the details of the external materials.</w:t>
      </w:r>
    </w:p>
    <w:p w14:paraId="048293B5" w14:textId="77777777" w:rsidR="00A72039" w:rsidRDefault="00A72039" w:rsidP="00A72039">
      <w:pPr>
        <w:spacing w:after="0" w:line="276" w:lineRule="auto"/>
        <w:jc w:val="both"/>
        <w:rPr>
          <w:rFonts w:ascii="Arial" w:eastAsia="Times New Roman" w:hAnsi="Arial" w:cs="Arial"/>
          <w:kern w:val="0"/>
          <w:sz w:val="22"/>
          <w:szCs w:val="22"/>
          <w:lang w:eastAsia="en-GB"/>
          <w14:ligatures w14:val="none"/>
        </w:rPr>
      </w:pPr>
    </w:p>
    <w:p w14:paraId="2CE2D07B" w14:textId="1581D68B" w:rsidR="005B0FD5" w:rsidRPr="00A72039" w:rsidRDefault="00A72039" w:rsidP="00A72039">
      <w:pPr>
        <w:spacing w:after="0" w:line="276" w:lineRule="auto"/>
        <w:jc w:val="both"/>
        <w:rPr>
          <w:rFonts w:ascii="Arial" w:eastAsia="Times New Roman" w:hAnsi="Arial" w:cs="Arial"/>
          <w:b/>
          <w:bCs/>
          <w:color w:val="FF0000"/>
          <w:kern w:val="0"/>
          <w:sz w:val="22"/>
          <w:szCs w:val="22"/>
          <w:lang w:eastAsia="en-GB"/>
          <w14:ligatures w14:val="none"/>
        </w:rPr>
      </w:pPr>
      <w:r w:rsidRPr="00A72039">
        <w:rPr>
          <w:rFonts w:ascii="Arial" w:eastAsia="Times New Roman" w:hAnsi="Arial" w:cs="Arial"/>
          <w:kern w:val="0"/>
          <w:sz w:val="22"/>
          <w:szCs w:val="22"/>
          <w:u w:val="single"/>
          <w:lang w:eastAsia="en-GB"/>
          <w14:ligatures w14:val="none"/>
        </w:rPr>
        <w:lastRenderedPageBreak/>
        <w:t>Conservation Officer:</w:t>
      </w:r>
      <w:r w:rsidRPr="00A72039">
        <w:rPr>
          <w:rFonts w:ascii="Arial" w:eastAsia="Times New Roman" w:hAnsi="Arial" w:cs="Arial"/>
          <w:kern w:val="0"/>
          <w:sz w:val="22"/>
          <w:szCs w:val="22"/>
          <w:lang w:eastAsia="en-GB"/>
          <w14:ligatures w14:val="none"/>
        </w:rPr>
        <w:t xml:space="preserve"> Support in principle, subject to amendments and conditions. </w:t>
      </w:r>
    </w:p>
    <w:p w14:paraId="1464C75E"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9411BF7"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1DAC31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07C67C8"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A65698"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0DA4710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88FB53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C28AD6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F90B30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324F9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E23571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D149C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40910A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AD05565" w14:textId="6898C984"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w:t>
      </w:r>
      <w:r w:rsidR="00F209B1">
        <w:rPr>
          <w:rFonts w:ascii="Arial" w:eastAsia="Times New Roman" w:hAnsi="Arial" w:cs="Arial"/>
          <w:kern w:val="0"/>
          <w:sz w:val="22"/>
          <w:szCs w:val="22"/>
          <w:u w:val="single"/>
          <w:lang w:eastAsia="en-GB"/>
          <w14:ligatures w14:val="none"/>
        </w:rPr>
        <w:t xml:space="preserve">, Heritage </w:t>
      </w:r>
      <w:r w:rsidRPr="00852CAC">
        <w:rPr>
          <w:rFonts w:ascii="Arial" w:eastAsia="Times New Roman" w:hAnsi="Arial" w:cs="Arial"/>
          <w:kern w:val="0"/>
          <w:sz w:val="22"/>
          <w:szCs w:val="22"/>
          <w:u w:val="single"/>
          <w:lang w:eastAsia="en-GB"/>
          <w14:ligatures w14:val="none"/>
        </w:rPr>
        <w:t xml:space="preserve">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r w:rsidR="00F209B1">
        <w:rPr>
          <w:rFonts w:ascii="Arial" w:eastAsia="Times New Roman" w:hAnsi="Arial" w:cs="Arial"/>
          <w:kern w:val="0"/>
          <w:sz w:val="22"/>
          <w:szCs w:val="22"/>
          <w:u w:val="single"/>
          <w:lang w:eastAsia="en-GB"/>
          <w14:ligatures w14:val="none"/>
        </w:rPr>
        <w:t xml:space="preserve"> and </w:t>
      </w:r>
    </w:p>
    <w:p w14:paraId="0568DA2A" w14:textId="77777777" w:rsidR="005B0FD5"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7196F7C" w14:textId="77777777" w:rsidR="00F209B1" w:rsidRPr="00BB7690"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5D6A64F" w14:textId="77777777" w:rsidR="00F209B1" w:rsidRPr="00BB7690"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46B722BB" w14:textId="77777777" w:rsidR="00F209B1" w:rsidRPr="00BB7690"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Section </w:t>
      </w:r>
      <w:r>
        <w:rPr>
          <w:rFonts w:ascii="Arial" w:eastAsia="Times New Roman" w:hAnsi="Arial" w:cs="Arial"/>
          <w:color w:val="000000" w:themeColor="text1"/>
          <w:kern w:val="0"/>
          <w:sz w:val="22"/>
          <w:szCs w:val="22"/>
          <w:lang w:eastAsia="en-GB"/>
          <w14:ligatures w14:val="none"/>
        </w:rPr>
        <w:t xml:space="preserve">16 and </w:t>
      </w:r>
      <w:r w:rsidRPr="00BB7690">
        <w:rPr>
          <w:rFonts w:ascii="Arial" w:eastAsia="Times New Roman" w:hAnsi="Arial" w:cs="Arial"/>
          <w:color w:val="000000" w:themeColor="text1"/>
          <w:kern w:val="0"/>
          <w:sz w:val="22"/>
          <w:szCs w:val="22"/>
          <w:lang w:eastAsia="en-GB"/>
          <w14:ligatures w14:val="none"/>
        </w:rPr>
        <w:t>66 requires that special regard be given to the desirability of preserving listed buildings, their settings or any features of special architectural or historic interest which they possess.</w:t>
      </w:r>
    </w:p>
    <w:p w14:paraId="625B8817" w14:textId="77777777" w:rsid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1F43D229" w14:textId="77777777" w:rsidR="00F209B1" w:rsidRPr="00436D0A"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7E22A2B" w14:textId="77777777" w:rsidR="00F209B1" w:rsidRPr="00436D0A"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0A785ABD" w14:textId="77777777" w:rsidR="00F209B1" w:rsidRPr="00436D0A"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63DB118" w14:textId="77777777" w:rsid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47BFB48B" w14:textId="77777777" w:rsidR="00F209B1" w:rsidRPr="002A0EB6" w:rsidRDefault="00F209B1" w:rsidP="00F209B1">
      <w:pPr>
        <w:spacing w:after="0" w:line="276" w:lineRule="auto"/>
        <w:jc w:val="both"/>
        <w:rPr>
          <w:rFonts w:ascii="Arial" w:hAnsi="Arial" w:cs="Arial"/>
          <w:color w:val="000000"/>
          <w:sz w:val="22"/>
          <w:szCs w:val="22"/>
        </w:rPr>
      </w:pPr>
      <w:r w:rsidRPr="002A0EB6">
        <w:rPr>
          <w:rFonts w:ascii="Arial" w:hAnsi="Arial" w:cs="Arial"/>
          <w:color w:val="000000"/>
          <w:sz w:val="22"/>
          <w:szCs w:val="22"/>
        </w:rPr>
        <w:t>The NPPF heritage policies (HE4-HE10) recognise heritage assets as an irreplaceable resource that should be conserved in a manner appropriate to their significance. Development proposals affecting heritage assets should be accompanied by sufficient information to understand the significance of the asset, including the contribution made by its setting, and the potential effect of the proposal on that significance.</w:t>
      </w:r>
    </w:p>
    <w:p w14:paraId="207E15A2" w14:textId="77777777" w:rsidR="00F209B1" w:rsidRPr="002A0EB6" w:rsidRDefault="00F209B1" w:rsidP="00F209B1">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2010B93A" w14:textId="77777777" w:rsidR="00F209B1" w:rsidRPr="002A0EB6" w:rsidRDefault="00F209B1" w:rsidP="00F209B1">
      <w:pPr>
        <w:spacing w:after="0" w:line="276" w:lineRule="auto"/>
        <w:jc w:val="both"/>
        <w:rPr>
          <w:rFonts w:ascii="Arial" w:hAnsi="Arial" w:cs="Arial"/>
          <w:color w:val="000000"/>
          <w:sz w:val="22"/>
          <w:szCs w:val="22"/>
        </w:rPr>
      </w:pPr>
      <w:r w:rsidRPr="002A0EB6">
        <w:rPr>
          <w:rFonts w:ascii="Arial" w:hAnsi="Arial" w:cs="Arial"/>
          <w:color w:val="000000"/>
          <w:sz w:val="22"/>
          <w:szCs w:val="22"/>
        </w:rPr>
        <w:lastRenderedPageBreak/>
        <w:t>When determining applications affecting designated heritage assets, substantial weight should be given to their conservation, with the weight increasing according to the importance of the asset affected. Any harm to, or loss of, the significance of a designated heritage asset must have a clear and convincing justification.</w:t>
      </w:r>
    </w:p>
    <w:p w14:paraId="3C9EA396" w14:textId="77777777" w:rsidR="00F209B1" w:rsidRPr="002A0EB6" w:rsidRDefault="00F209B1" w:rsidP="00F209B1">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2CF69034" w14:textId="77777777" w:rsidR="00F209B1" w:rsidRPr="002A0EB6" w:rsidRDefault="00F209B1" w:rsidP="00F209B1">
      <w:pPr>
        <w:spacing w:after="0" w:line="276" w:lineRule="auto"/>
        <w:jc w:val="both"/>
        <w:rPr>
          <w:rFonts w:ascii="Arial" w:hAnsi="Arial" w:cs="Arial"/>
          <w:color w:val="000000"/>
          <w:sz w:val="22"/>
          <w:szCs w:val="22"/>
        </w:rPr>
      </w:pPr>
      <w:r w:rsidRPr="002A0EB6">
        <w:rPr>
          <w:rFonts w:ascii="Arial" w:hAnsi="Arial" w:cs="Arial"/>
          <w:color w:val="000000"/>
          <w:sz w:val="22"/>
          <w:szCs w:val="22"/>
        </w:rPr>
        <w:t>Where a proposal would affect the significance of a heritage asset, the effect should be identified and assessed, having regard to whether it would result in a positive effect, no effect, harm, substantial harm, or total loss of significance. Harm to heritage assets should be weighed against the public benefits of the proposal in accordance with the relevant heritage policies of the Framework.</w:t>
      </w:r>
    </w:p>
    <w:p w14:paraId="0A06E526" w14:textId="77777777" w:rsidR="00F209B1" w:rsidRPr="002A0EB6" w:rsidRDefault="00F209B1" w:rsidP="00F209B1">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45919681" w14:textId="77777777" w:rsidR="00F209B1" w:rsidRPr="002A0EB6" w:rsidRDefault="00F209B1" w:rsidP="00F209B1">
      <w:pPr>
        <w:spacing w:after="0" w:line="276" w:lineRule="auto"/>
        <w:jc w:val="both"/>
        <w:rPr>
          <w:rFonts w:ascii="Arial" w:hAnsi="Arial" w:cs="Arial"/>
          <w:color w:val="000000"/>
          <w:sz w:val="22"/>
          <w:szCs w:val="22"/>
        </w:rPr>
      </w:pPr>
      <w:r w:rsidRPr="002A0EB6">
        <w:rPr>
          <w:rFonts w:ascii="Arial" w:hAnsi="Arial" w:cs="Arial"/>
          <w:color w:val="000000"/>
          <w:sz w:val="22"/>
          <w:szCs w:val="22"/>
        </w:rPr>
        <w:t>The Planning Practice Guidance provides further guidance on the interpretation and application of national heritage policy.</w:t>
      </w:r>
    </w:p>
    <w:p w14:paraId="0ECF479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9536EFC" w14:textId="77777777" w:rsid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F209B1">
        <w:rPr>
          <w:rFonts w:ascii="Arial" w:eastAsia="Times New Roman" w:hAnsi="Arial" w:cs="Arial"/>
          <w:color w:val="000000" w:themeColor="text1"/>
          <w:kern w:val="0"/>
          <w:sz w:val="22"/>
          <w:szCs w:val="22"/>
          <w:lang w:eastAsia="en-GB"/>
          <w14:ligatures w14:val="none"/>
        </w:rPr>
        <w:t xml:space="preserve">The proposed extension would be modest in scale and clearly subordinate to the host dwelling. It would occupy a limited footprint of approximately 7.1 square metres and would remain at single-storey level. Its hipped roof form, reduced ridge height and traditional proportions would ensure that it reads as a subordinate addition rather than a competing or visually dominant element. The proposal broadly reflects the form of the comparable single-storey extension at the opposite end of Walnut House, thereby maintaining the balanced composition of the building and providing an appropriate visual relationship with the host dwelling. </w:t>
      </w:r>
    </w:p>
    <w:p w14:paraId="10D5BBED" w14:textId="77777777" w:rsidR="00F209B1" w:rsidRP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729728AB" w14:textId="77777777" w:rsid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F209B1">
        <w:rPr>
          <w:rFonts w:ascii="Arial" w:eastAsia="Times New Roman" w:hAnsi="Arial" w:cs="Arial"/>
          <w:color w:val="000000" w:themeColor="text1"/>
          <w:kern w:val="0"/>
          <w:sz w:val="22"/>
          <w:szCs w:val="22"/>
          <w:lang w:eastAsia="en-GB"/>
          <w14:ligatures w14:val="none"/>
        </w:rPr>
        <w:t xml:space="preserve">During the consideration of the application, concern was raised by the Conservation Officer regarding the originally proposed rendered wall finish. The host building is principally constructed of brick with stone lintels and retains the architectural character of an Edwardian villa. Amended plans have subsequently been submitted confirming that the extension will be constructed in facing brick rather than render. This amendment provides a more sympathetic relationship with the materials and architectural character of the host building and satisfactorily addresses the concerns raised by the Conservation Officer. </w:t>
      </w:r>
    </w:p>
    <w:p w14:paraId="2C002374" w14:textId="77777777" w:rsidR="00F209B1" w:rsidRP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447325A7" w14:textId="40ECDDCD" w:rsidR="00DD7B14" w:rsidRPr="00DD7B14" w:rsidRDefault="00DD7B14" w:rsidP="00DD7B14">
      <w:pPr>
        <w:spacing w:after="0" w:line="276" w:lineRule="auto"/>
        <w:jc w:val="both"/>
        <w:rPr>
          <w:rFonts w:ascii="Arial" w:eastAsia="Times New Roman" w:hAnsi="Arial" w:cs="Arial"/>
          <w:color w:val="000000" w:themeColor="text1"/>
          <w:kern w:val="0"/>
          <w:sz w:val="22"/>
          <w:szCs w:val="22"/>
          <w:lang w:eastAsia="en-GB"/>
          <w14:ligatures w14:val="none"/>
        </w:rPr>
      </w:pPr>
      <w:r w:rsidRPr="00DD7B14">
        <w:rPr>
          <w:rFonts w:ascii="Arial" w:eastAsia="Times New Roman" w:hAnsi="Arial" w:cs="Arial"/>
          <w:color w:val="000000" w:themeColor="text1"/>
          <w:kern w:val="0"/>
          <w:sz w:val="22"/>
          <w:szCs w:val="22"/>
          <w:lang w:eastAsia="en-GB"/>
          <w14:ligatures w14:val="none"/>
        </w:rPr>
        <w:t xml:space="preserve">The amended plans and revised Heritage and Design &amp; Access Statement confirm that the main walling material and brick plinth would comprise brickwork to match the existing building, thereby addressing the Conservation Officer's concerns regarding the originally proposed render finish. The proposed materials are therefore considered acceptable in principle and would preserve the character and appearance of the host building and its heritage significance. The extension would also incorporate traditionally detailed joinery and a natural slate roof. Whilst the submitted details are sufficient to establish the acceptability of the proposal, it is considered reasonable and necessary to secure further details of the external and internal joinery, eaves and verges, together with </w:t>
      </w:r>
      <w:r>
        <w:rPr>
          <w:rFonts w:ascii="Arial" w:eastAsia="Times New Roman" w:hAnsi="Arial" w:cs="Arial"/>
          <w:color w:val="000000" w:themeColor="text1"/>
          <w:kern w:val="0"/>
          <w:sz w:val="22"/>
          <w:szCs w:val="22"/>
          <w:lang w:eastAsia="en-GB"/>
          <w14:ligatures w14:val="none"/>
        </w:rPr>
        <w:t xml:space="preserve">a working to ensure </w:t>
      </w:r>
      <w:r w:rsidRPr="00DD7B14">
        <w:rPr>
          <w:rFonts w:ascii="Arial" w:eastAsia="Times New Roman" w:hAnsi="Arial" w:cs="Arial"/>
          <w:color w:val="000000" w:themeColor="text1"/>
          <w:kern w:val="0"/>
          <w:sz w:val="22"/>
          <w:szCs w:val="22"/>
          <w:lang w:eastAsia="en-GB"/>
          <w14:ligatures w14:val="none"/>
        </w:rPr>
        <w:t>that the roof slate will match the existing, by condition. In addition, confirmation is required as to whether any structural works are necessary to facilitate the removal of the existing internal stud walls. Subject to these conditions, the proposal would preserve the significance of the heritage asset and its setting</w:t>
      </w:r>
    </w:p>
    <w:p w14:paraId="34CB59E4" w14:textId="77777777" w:rsidR="00F209B1" w:rsidRP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784453D2" w14:textId="77777777" w:rsid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F209B1">
        <w:rPr>
          <w:rFonts w:ascii="Arial" w:eastAsia="Times New Roman" w:hAnsi="Arial" w:cs="Arial"/>
          <w:color w:val="000000" w:themeColor="text1"/>
          <w:kern w:val="0"/>
          <w:sz w:val="22"/>
          <w:szCs w:val="22"/>
          <w:lang w:eastAsia="en-GB"/>
          <w14:ligatures w14:val="none"/>
        </w:rPr>
        <w:t xml:space="preserve">The significance of Walnut House derives principally from its surviving historic fabric, architectural form and detailing, use of traditional materials, and historic association with the former Wiltshire County Asylum. Whilst the building has undergone substantial alterations as part of its conversion to residential use, the proposal has been designed as a modest and </w:t>
      </w:r>
      <w:r w:rsidRPr="00F209B1">
        <w:rPr>
          <w:rFonts w:ascii="Arial" w:eastAsia="Times New Roman" w:hAnsi="Arial" w:cs="Arial"/>
          <w:color w:val="000000" w:themeColor="text1"/>
          <w:kern w:val="0"/>
          <w:sz w:val="22"/>
          <w:szCs w:val="22"/>
          <w:lang w:eastAsia="en-GB"/>
          <w14:ligatures w14:val="none"/>
        </w:rPr>
        <w:lastRenderedPageBreak/>
        <w:t xml:space="preserve">subservient addition which would not require the removal of original external fabric. The existing external doorway would be retained in its present position. </w:t>
      </w:r>
    </w:p>
    <w:p w14:paraId="705090E1" w14:textId="77777777" w:rsidR="00F209B1" w:rsidRP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p>
    <w:p w14:paraId="5DD2EFAA" w14:textId="77777777" w:rsid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F209B1">
        <w:rPr>
          <w:rFonts w:ascii="Arial" w:eastAsia="Times New Roman" w:hAnsi="Arial" w:cs="Arial"/>
          <w:color w:val="000000" w:themeColor="text1"/>
          <w:kern w:val="0"/>
          <w:sz w:val="22"/>
          <w:szCs w:val="22"/>
          <w:lang w:eastAsia="en-GB"/>
          <w14:ligatures w14:val="none"/>
        </w:rPr>
        <w:t>The Conservation Officer concluded that the proposal would have a neutral impact upon the heritage asset, noting that it would contribute towards a more balanced external appearance whilst preserving the significance of the building. Having afforded considerable importance and weight to the desirability of preserving the heritage asset and its setting, it is considered that the proposal would preserve the architectural and historic interest of the curtilage-listed building and the setting of the Grade II listed former hospital. No harm to the significance of the relevant heritage assets has been identified.</w:t>
      </w:r>
    </w:p>
    <w:p w14:paraId="43A1F114" w14:textId="77777777" w:rsidR="00F209B1" w:rsidRDefault="00F209B1" w:rsidP="00852CAC">
      <w:pPr>
        <w:spacing w:after="0" w:line="276" w:lineRule="auto"/>
        <w:jc w:val="both"/>
        <w:rPr>
          <w:rFonts w:ascii="Arial" w:eastAsia="Times New Roman" w:hAnsi="Arial" w:cs="Arial"/>
          <w:kern w:val="0"/>
          <w:sz w:val="22"/>
          <w:szCs w:val="22"/>
          <w:lang w:eastAsia="en-GB"/>
          <w14:ligatures w14:val="none"/>
        </w:rPr>
      </w:pPr>
    </w:p>
    <w:p w14:paraId="5E169164" w14:textId="77777777" w:rsidR="00F209B1" w:rsidRPr="00F209B1" w:rsidRDefault="00F209B1" w:rsidP="00F209B1">
      <w:pPr>
        <w:spacing w:after="0" w:line="276" w:lineRule="auto"/>
        <w:jc w:val="both"/>
        <w:rPr>
          <w:rFonts w:ascii="Arial" w:eastAsia="Times New Roman" w:hAnsi="Arial" w:cs="Arial"/>
          <w:color w:val="000000" w:themeColor="text1"/>
          <w:kern w:val="0"/>
          <w:sz w:val="22"/>
          <w:szCs w:val="22"/>
          <w:lang w:eastAsia="en-GB"/>
          <w14:ligatures w14:val="none"/>
        </w:rPr>
      </w:pPr>
      <w:r w:rsidRPr="00F209B1">
        <w:rPr>
          <w:rFonts w:ascii="Arial" w:eastAsia="Times New Roman" w:hAnsi="Arial" w:cs="Arial"/>
          <w:color w:val="000000" w:themeColor="text1"/>
          <w:kern w:val="0"/>
          <w:sz w:val="22"/>
          <w:szCs w:val="22"/>
          <w:lang w:eastAsia="en-GB"/>
          <w14:ligatures w14:val="none"/>
        </w:rPr>
        <w:t>Accordingly, the proposal is considered to comply with Core Policies 57 and 58 of the Wiltshire Core Strategy, Sections 16 and 66 of the Planning (Listed Buildings and Conservation Areas) Act 1990, and the heritage and design objectives of the National Planning Policy Framework.</w:t>
      </w:r>
    </w:p>
    <w:p w14:paraId="3C116394" w14:textId="77777777" w:rsidR="00A050F1" w:rsidRDefault="00A050F1" w:rsidP="00A050F1">
      <w:pPr>
        <w:spacing w:after="0" w:line="276" w:lineRule="auto"/>
        <w:jc w:val="both"/>
        <w:rPr>
          <w:rFonts w:ascii="Arial" w:hAnsi="Arial" w:cs="Arial"/>
          <w:b/>
          <w:bCs/>
          <w:i/>
          <w:iCs/>
          <w:color w:val="FF0000"/>
          <w:sz w:val="22"/>
          <w:szCs w:val="22"/>
        </w:rPr>
      </w:pPr>
    </w:p>
    <w:p w14:paraId="0225EC0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3DC720F"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B104EB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BA7B155" w14:textId="77777777" w:rsidR="00393433" w:rsidRDefault="00393433" w:rsidP="00A050F1">
      <w:pPr>
        <w:spacing w:after="0" w:line="276" w:lineRule="auto"/>
        <w:jc w:val="both"/>
        <w:rPr>
          <w:rFonts w:ascii="Arial" w:hAnsi="Arial" w:cs="Arial"/>
          <w:color w:val="000000" w:themeColor="text1"/>
          <w:sz w:val="22"/>
          <w:szCs w:val="22"/>
        </w:rPr>
      </w:pPr>
    </w:p>
    <w:p w14:paraId="6B4B0103" w14:textId="77777777" w:rsidR="002D51AF" w:rsidRPr="002D51AF" w:rsidRDefault="002D51AF" w:rsidP="002D51AF">
      <w:pPr>
        <w:spacing w:after="0" w:line="276" w:lineRule="auto"/>
        <w:jc w:val="both"/>
        <w:rPr>
          <w:rFonts w:ascii="Arial" w:eastAsia="Times New Roman" w:hAnsi="Arial" w:cs="Arial"/>
          <w:kern w:val="0"/>
          <w:sz w:val="22"/>
          <w:szCs w:val="22"/>
          <w:lang w:eastAsia="en-GB"/>
          <w14:ligatures w14:val="none"/>
        </w:rPr>
      </w:pPr>
      <w:r w:rsidRPr="002D51AF">
        <w:rPr>
          <w:rFonts w:ascii="Arial" w:eastAsia="Times New Roman" w:hAnsi="Arial" w:cs="Arial"/>
          <w:kern w:val="0"/>
          <w:sz w:val="22"/>
          <w:szCs w:val="22"/>
          <w:lang w:eastAsia="en-GB"/>
          <w14:ligatures w14:val="none"/>
        </w:rPr>
        <w:t>Policy P3 of the NPPF requires development to contribute positively to the creation of healthy, safe and inclusive places. In particular, Policy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3772C91A" w14:textId="77777777" w:rsidR="00400FB2" w:rsidRDefault="00400FB2" w:rsidP="00A050F1">
      <w:pPr>
        <w:spacing w:after="0" w:line="276" w:lineRule="auto"/>
        <w:jc w:val="both"/>
        <w:rPr>
          <w:rFonts w:ascii="Arial" w:hAnsi="Arial" w:cs="Arial"/>
          <w:color w:val="000000" w:themeColor="text1"/>
          <w:sz w:val="22"/>
          <w:szCs w:val="22"/>
        </w:rPr>
      </w:pPr>
    </w:p>
    <w:p w14:paraId="4999AB6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751A121" w14:textId="77777777" w:rsidR="00DB13C3" w:rsidRPr="00D61B8E" w:rsidRDefault="00DB13C3" w:rsidP="00DB13C3">
      <w:pPr>
        <w:spacing w:after="0" w:line="276" w:lineRule="auto"/>
        <w:jc w:val="both"/>
        <w:rPr>
          <w:rFonts w:ascii="Arial" w:hAnsi="Arial" w:cs="Arial"/>
          <w:color w:val="000000" w:themeColor="text1"/>
          <w:sz w:val="22"/>
          <w:szCs w:val="22"/>
        </w:rPr>
      </w:pPr>
    </w:p>
    <w:p w14:paraId="5200B530" w14:textId="77777777" w:rsidR="00D61B8E" w:rsidRPr="00D61B8E" w:rsidRDefault="00D61B8E" w:rsidP="00D61B8E">
      <w:pPr>
        <w:spacing w:after="0" w:line="276" w:lineRule="auto"/>
        <w:jc w:val="both"/>
        <w:rPr>
          <w:rFonts w:ascii="Arial" w:hAnsi="Arial" w:cs="Arial"/>
          <w:color w:val="000000" w:themeColor="text1"/>
          <w:sz w:val="22"/>
          <w:szCs w:val="22"/>
        </w:rPr>
      </w:pPr>
      <w:r w:rsidRPr="00D61B8E">
        <w:rPr>
          <w:rFonts w:ascii="Arial" w:hAnsi="Arial" w:cs="Arial"/>
          <w:color w:val="000000" w:themeColor="text1"/>
          <w:sz w:val="22"/>
          <w:szCs w:val="22"/>
        </w:rPr>
        <w:t>The proposed extension would be single storey, modest in scale and positioned adjacent to the host dwelling within its established garden. Having regard to its limited height, siting and relationship with neighbouring properties, it would not result in an unacceptable loss of daylight or sunlight, an overbearing effect, or a harmful loss of privacy for neighbouring occupiers.</w:t>
      </w:r>
      <w:r>
        <w:rPr>
          <w:rFonts w:ascii="Arial" w:hAnsi="Arial" w:cs="Arial"/>
          <w:color w:val="000000" w:themeColor="text1"/>
          <w:sz w:val="22"/>
          <w:szCs w:val="22"/>
        </w:rPr>
        <w:t xml:space="preserve"> </w:t>
      </w:r>
      <w:r w:rsidRPr="00D61B8E">
        <w:rPr>
          <w:rFonts w:ascii="Arial" w:hAnsi="Arial" w:cs="Arial"/>
          <w:color w:val="000000" w:themeColor="text1"/>
          <w:sz w:val="22"/>
          <w:szCs w:val="22"/>
        </w:rPr>
        <w:t>The proposal would provide additional accommodation for the occupiers of the application property without adversely affecting the residential amenity of surrounding properties.</w:t>
      </w:r>
    </w:p>
    <w:p w14:paraId="1A576CCD" w14:textId="77777777" w:rsidR="00DB13C3" w:rsidRPr="00A050F1" w:rsidRDefault="00DB13C3" w:rsidP="00DB13C3">
      <w:pPr>
        <w:spacing w:after="0" w:line="276" w:lineRule="auto"/>
        <w:jc w:val="both"/>
        <w:rPr>
          <w:rFonts w:ascii="Arial" w:hAnsi="Arial" w:cs="Arial"/>
          <w:color w:val="000000" w:themeColor="text1"/>
          <w:sz w:val="22"/>
          <w:szCs w:val="22"/>
        </w:rPr>
      </w:pPr>
    </w:p>
    <w:p w14:paraId="26F5A4E1"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696A4A4"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370503"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15C83157"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39E1A42A" w14:textId="7457F6D6" w:rsidR="00200044" w:rsidRDefault="00D61B8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61B8E">
        <w:rPr>
          <w:rFonts w:ascii="Arial" w:eastAsia="Times New Roman" w:hAnsi="Arial" w:cs="Arial"/>
          <w:color w:val="000000" w:themeColor="text1"/>
          <w:kern w:val="0"/>
          <w:sz w:val="22"/>
          <w:szCs w:val="22"/>
          <w:lang w:eastAsia="en-GB"/>
          <w14:ligatures w14:val="none"/>
        </w:rPr>
        <w:t>N/A</w:t>
      </w:r>
    </w:p>
    <w:p w14:paraId="7D09BC93" w14:textId="77777777" w:rsidR="00D61B8E" w:rsidRPr="00D61B8E" w:rsidRDefault="00D61B8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63B98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D204F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015D1D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81B2113"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63D087CD"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51F6C2A0"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02955756" w14:textId="77777777" w:rsidR="00284CD5" w:rsidRPr="004B2F79" w:rsidRDefault="00284CD5" w:rsidP="00284CD5">
      <w:pPr>
        <w:spacing w:after="0" w:line="276" w:lineRule="auto"/>
        <w:jc w:val="both"/>
        <w:rPr>
          <w:rFonts w:ascii="Arial" w:hAnsi="Arial" w:cs="Arial"/>
          <w:color w:val="000000" w:themeColor="text1"/>
          <w:sz w:val="22"/>
          <w:szCs w:val="22"/>
        </w:rPr>
      </w:pPr>
    </w:p>
    <w:p w14:paraId="36441E3D"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6E48D32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AD8F9C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0F2F7C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4182E7D"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1EBC36DF"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591CB19" w14:textId="1C07D4DE" w:rsidR="003D05E9" w:rsidRPr="009B77AD"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9D6751">
        <w:rPr>
          <w:rFonts w:ascii="Arial" w:eastAsia="Times New Roman" w:hAnsi="Arial" w:cs="Arial"/>
          <w:color w:val="000000" w:themeColor="text1"/>
          <w:kern w:val="0"/>
          <w:sz w:val="22"/>
          <w:szCs w:val="22"/>
          <w:lang w:eastAsia="en-GB"/>
          <w14:ligatures w14:val="none"/>
        </w:rPr>
        <w:t>Furthermore, the proposal would not result in any unacceptable impacts in respec</w:t>
      </w:r>
      <w:r w:rsidRPr="00D61B8E">
        <w:rPr>
          <w:rFonts w:ascii="Arial" w:eastAsia="Times New Roman" w:hAnsi="Arial" w:cs="Arial"/>
          <w:color w:val="000000" w:themeColor="text1"/>
          <w:kern w:val="0"/>
          <w:sz w:val="22"/>
          <w:szCs w:val="22"/>
          <w:lang w:eastAsia="en-GB"/>
          <w14:ligatures w14:val="none"/>
        </w:rPr>
        <w:t>t of heritage assets</w:t>
      </w:r>
      <w:r w:rsidR="00D61B8E" w:rsidRPr="00D61B8E">
        <w:rPr>
          <w:rFonts w:ascii="Arial" w:eastAsia="Times New Roman" w:hAnsi="Arial" w:cs="Arial"/>
          <w:color w:val="000000" w:themeColor="text1"/>
          <w:kern w:val="0"/>
          <w:sz w:val="22"/>
          <w:szCs w:val="22"/>
          <w:lang w:eastAsia="en-GB"/>
          <w14:ligatures w14:val="none"/>
        </w:rPr>
        <w:t>.</w:t>
      </w:r>
    </w:p>
    <w:p w14:paraId="35295FDD" w14:textId="77777777" w:rsidR="009B77AD" w:rsidRPr="003D05E9" w:rsidRDefault="009B77AD"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0F4F7CB3" w14:textId="5BC0EE0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w:t>
      </w:r>
      <w:r w:rsidR="00D61B8E">
        <w:rPr>
          <w:rFonts w:ascii="Arial" w:eastAsia="Times New Roman" w:hAnsi="Arial" w:cs="Arial"/>
          <w:color w:val="000000" w:themeColor="text1"/>
          <w:kern w:val="0"/>
          <w:sz w:val="22"/>
          <w:szCs w:val="22"/>
          <w:lang w:eastAsia="en-GB"/>
          <w14:ligatures w14:val="none"/>
        </w:rPr>
        <w:t>s for Planning Permission and Listed Building Consent</w:t>
      </w:r>
      <w:r w:rsidRPr="003D05E9">
        <w:rPr>
          <w:rFonts w:ascii="Arial" w:eastAsia="Times New Roman" w:hAnsi="Arial" w:cs="Arial"/>
          <w:color w:val="000000" w:themeColor="text1"/>
          <w:kern w:val="0"/>
          <w:sz w:val="22"/>
          <w:szCs w:val="22"/>
          <w:lang w:eastAsia="en-GB"/>
          <w14:ligatures w14:val="none"/>
        </w:rPr>
        <w:t xml:space="preserve"> </w:t>
      </w:r>
      <w:r w:rsidR="00D61B8E">
        <w:rPr>
          <w:rFonts w:ascii="Arial" w:eastAsia="Times New Roman" w:hAnsi="Arial" w:cs="Arial"/>
          <w:color w:val="000000" w:themeColor="text1"/>
          <w:kern w:val="0"/>
          <w:sz w:val="22"/>
          <w:szCs w:val="22"/>
          <w:lang w:eastAsia="en-GB"/>
          <w14:ligatures w14:val="none"/>
        </w:rPr>
        <w:t>are</w:t>
      </w:r>
      <w:r w:rsidRPr="003D05E9">
        <w:rPr>
          <w:rFonts w:ascii="Arial" w:eastAsia="Times New Roman" w:hAnsi="Arial" w:cs="Arial"/>
          <w:color w:val="000000" w:themeColor="text1"/>
          <w:kern w:val="0"/>
          <w:sz w:val="22"/>
          <w:szCs w:val="22"/>
          <w:lang w:eastAsia="en-GB"/>
          <w14:ligatures w14:val="none"/>
        </w:rPr>
        <w:t xml:space="preserve">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776FA99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1C988B5" w14:textId="2068ED3A"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w:t>
      </w:r>
      <w:r w:rsidR="00D61B8E">
        <w:rPr>
          <w:rFonts w:ascii="Arial" w:eastAsia="Times New Roman" w:hAnsi="Arial" w:cs="Arial"/>
          <w:b/>
          <w:bCs/>
          <w:kern w:val="0"/>
          <w:sz w:val="22"/>
          <w:szCs w:val="22"/>
          <w:lang w:eastAsia="en-GB"/>
          <w14:ligatures w14:val="none"/>
        </w:rPr>
        <w:t xml:space="preserve">and Listed Building Consent </w:t>
      </w:r>
      <w:r w:rsidRPr="009C1702">
        <w:rPr>
          <w:rFonts w:ascii="Arial" w:eastAsia="Times New Roman" w:hAnsi="Arial" w:cs="Arial"/>
          <w:b/>
          <w:bCs/>
          <w:kern w:val="0"/>
          <w:sz w:val="22"/>
          <w:szCs w:val="22"/>
          <w:lang w:eastAsia="en-GB"/>
          <w14:ligatures w14:val="none"/>
        </w:rPr>
        <w:t>be GRANTED subject to condition</w:t>
      </w:r>
      <w:r w:rsidR="009B7AD7">
        <w:rPr>
          <w:rFonts w:ascii="Arial" w:eastAsia="Times New Roman" w:hAnsi="Arial" w:cs="Arial"/>
          <w:b/>
          <w:bCs/>
          <w:kern w:val="0"/>
          <w:sz w:val="22"/>
          <w:szCs w:val="22"/>
          <w:lang w:eastAsia="en-GB"/>
          <w14:ligatures w14:val="none"/>
        </w:rPr>
        <w:t>s.</w:t>
      </w:r>
    </w:p>
    <w:p w14:paraId="0C8D10D7" w14:textId="77777777" w:rsidR="00AD6A10" w:rsidRDefault="00AD6A10" w:rsidP="009C1702">
      <w:pPr>
        <w:spacing w:after="0" w:line="276" w:lineRule="auto"/>
        <w:jc w:val="both"/>
        <w:rPr>
          <w:rFonts w:ascii="Arial" w:eastAsia="Times New Roman" w:hAnsi="Arial" w:cs="Arial"/>
          <w:b/>
          <w:bCs/>
          <w:kern w:val="0"/>
          <w:sz w:val="22"/>
          <w:szCs w:val="22"/>
          <w:lang w:eastAsia="en-GB"/>
          <w14:ligatures w14:val="none"/>
        </w:rPr>
      </w:pPr>
    </w:p>
    <w:p w14:paraId="77EC8525" w14:textId="77777777" w:rsidR="00DD7B14" w:rsidRDefault="00DD7B14" w:rsidP="00DD7B14">
      <w:p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t>Notwithstanding the approved drawings, no works shall commence until details of the following matters have been submitted to and approved in writing by the Local Planning Authority:</w:t>
      </w:r>
    </w:p>
    <w:p w14:paraId="7446E7AB" w14:textId="77777777" w:rsidR="00DD7B14" w:rsidRPr="00DD7B14" w:rsidRDefault="00DD7B14" w:rsidP="00DD7B14">
      <w:pPr>
        <w:spacing w:after="0" w:line="276" w:lineRule="auto"/>
        <w:jc w:val="both"/>
        <w:rPr>
          <w:rFonts w:ascii="Arial" w:eastAsia="Times New Roman" w:hAnsi="Arial" w:cs="Arial"/>
          <w:kern w:val="0"/>
          <w:sz w:val="22"/>
          <w:szCs w:val="22"/>
          <w:lang w:eastAsia="en-GB"/>
          <w14:ligatures w14:val="none"/>
        </w:rPr>
      </w:pPr>
    </w:p>
    <w:p w14:paraId="47BCD886" w14:textId="06A5F10A" w:rsidR="00DD7B14" w:rsidRPr="00DD7B14" w:rsidRDefault="00DD7B14" w:rsidP="00DD7B1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t>Large scale details of all external joinery including metal-framed glazing (1:5 elevation, 1:2 section) including vertical and horizontal cross-sections through openings to show the positions of joinery within openings, depth of reveal, heads, sills and lintels;</w:t>
      </w:r>
    </w:p>
    <w:p w14:paraId="32CB5EBA" w14:textId="7E881279" w:rsidR="00DD7B14" w:rsidRPr="00DD7B14" w:rsidRDefault="00DD7B14" w:rsidP="00DD7B1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t>Large scale details of all internal joinery (1:5 elevation, 1:2 section);</w:t>
      </w:r>
    </w:p>
    <w:p w14:paraId="486B05E7" w14:textId="6C0003D4" w:rsidR="00DD7B14" w:rsidRPr="00DD7B14" w:rsidRDefault="00DD7B14" w:rsidP="00DD7B1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t>Large scale details of proposed eaves and verges (1:5 section);</w:t>
      </w:r>
    </w:p>
    <w:p w14:paraId="06ED42B7" w14:textId="5E30BFEC" w:rsidR="00DD7B14" w:rsidRPr="00DD7B14" w:rsidRDefault="00DD7B14" w:rsidP="00DD7B1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t>Full details and samples of external materials.</w:t>
      </w:r>
    </w:p>
    <w:p w14:paraId="57251CE1" w14:textId="4B700BB0" w:rsidR="00DD7B14" w:rsidRPr="00DD7B14" w:rsidRDefault="00DD7B14" w:rsidP="00DD7B1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t>a structural engineers report setting out if any structural works are required to allow the removal of the internal stud walls. If works are required, this will be subject to a further LBC approval.</w:t>
      </w:r>
    </w:p>
    <w:p w14:paraId="3442C0F4" w14:textId="77777777" w:rsidR="00DD7B14" w:rsidRDefault="00DD7B14" w:rsidP="00DD7B14">
      <w:pPr>
        <w:spacing w:after="0" w:line="276" w:lineRule="auto"/>
        <w:jc w:val="both"/>
        <w:rPr>
          <w:rFonts w:ascii="Arial" w:eastAsia="Times New Roman" w:hAnsi="Arial" w:cs="Arial"/>
          <w:kern w:val="0"/>
          <w:sz w:val="22"/>
          <w:szCs w:val="22"/>
          <w:lang w:eastAsia="en-GB"/>
          <w14:ligatures w14:val="none"/>
        </w:rPr>
      </w:pPr>
    </w:p>
    <w:p w14:paraId="45D1B8A2" w14:textId="41AD6685" w:rsidR="00DD7B14" w:rsidRPr="00DD7B14" w:rsidRDefault="00DD7B14" w:rsidP="00DD7B14">
      <w:p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t>The works shall be carried out in accordance with the approved details.</w:t>
      </w:r>
    </w:p>
    <w:p w14:paraId="5E6B2B39" w14:textId="77777777" w:rsidR="00DD7B14" w:rsidRDefault="00DD7B14" w:rsidP="00DD7B14">
      <w:pPr>
        <w:spacing w:after="0" w:line="276" w:lineRule="auto"/>
        <w:jc w:val="both"/>
        <w:rPr>
          <w:rFonts w:ascii="Arial" w:eastAsia="Times New Roman" w:hAnsi="Arial" w:cs="Arial"/>
          <w:kern w:val="0"/>
          <w:sz w:val="22"/>
          <w:szCs w:val="22"/>
          <w:lang w:eastAsia="en-GB"/>
          <w14:ligatures w14:val="none"/>
        </w:rPr>
      </w:pPr>
    </w:p>
    <w:p w14:paraId="4E100BB2" w14:textId="7FF112CC" w:rsidR="00DD7B14" w:rsidRPr="00DD7B14" w:rsidRDefault="00DD7B14" w:rsidP="00DD7B14">
      <w:pPr>
        <w:spacing w:after="0" w:line="276" w:lineRule="auto"/>
        <w:jc w:val="both"/>
        <w:rPr>
          <w:rFonts w:ascii="Arial" w:eastAsia="Times New Roman" w:hAnsi="Arial" w:cs="Arial"/>
          <w:kern w:val="0"/>
          <w:sz w:val="22"/>
          <w:szCs w:val="22"/>
          <w:lang w:eastAsia="en-GB"/>
          <w14:ligatures w14:val="none"/>
        </w:rPr>
      </w:pPr>
      <w:r w:rsidRPr="00DD7B14">
        <w:rPr>
          <w:rFonts w:ascii="Arial" w:eastAsia="Times New Roman" w:hAnsi="Arial" w:cs="Arial"/>
          <w:kern w:val="0"/>
          <w:sz w:val="22"/>
          <w:szCs w:val="22"/>
          <w:lang w:eastAsia="en-GB"/>
          <w14:ligatures w14:val="none"/>
        </w:rPr>
        <w:lastRenderedPageBreak/>
        <w:t>REASON: In the interests of preserving the character and appearance of the listed building and its setting.</w:t>
      </w:r>
    </w:p>
    <w:p w14:paraId="050CC29A"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59231C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30D1"/>
    <w:multiLevelType w:val="hybridMultilevel"/>
    <w:tmpl w:val="FF724E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87544C"/>
    <w:multiLevelType w:val="multilevel"/>
    <w:tmpl w:val="7CA6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0212EA"/>
    <w:multiLevelType w:val="multilevel"/>
    <w:tmpl w:val="9C723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3"/>
  </w:num>
  <w:num w:numId="3" w16cid:durableId="1181357059">
    <w:abstractNumId w:val="12"/>
  </w:num>
  <w:num w:numId="4" w16cid:durableId="1650787556">
    <w:abstractNumId w:val="7"/>
  </w:num>
  <w:num w:numId="5" w16cid:durableId="466094426">
    <w:abstractNumId w:val="13"/>
  </w:num>
  <w:num w:numId="6" w16cid:durableId="1542328013">
    <w:abstractNumId w:val="15"/>
  </w:num>
  <w:num w:numId="7" w16cid:durableId="1004281297">
    <w:abstractNumId w:val="4"/>
  </w:num>
  <w:num w:numId="8" w16cid:durableId="1878279251">
    <w:abstractNumId w:val="2"/>
  </w:num>
  <w:num w:numId="9" w16cid:durableId="1286542474">
    <w:abstractNumId w:val="5"/>
  </w:num>
  <w:num w:numId="10" w16cid:durableId="2027555515">
    <w:abstractNumId w:val="11"/>
  </w:num>
  <w:num w:numId="11" w16cid:durableId="334724159">
    <w:abstractNumId w:val="9"/>
  </w:num>
  <w:num w:numId="12" w16cid:durableId="1840384416">
    <w:abstractNumId w:val="8"/>
  </w:num>
  <w:num w:numId="13" w16cid:durableId="665060638">
    <w:abstractNumId w:val="16"/>
  </w:num>
  <w:num w:numId="14" w16cid:durableId="32586408">
    <w:abstractNumId w:val="14"/>
  </w:num>
  <w:num w:numId="15" w16cid:durableId="23870220">
    <w:abstractNumId w:val="10"/>
  </w:num>
  <w:num w:numId="16" w16cid:durableId="752431155">
    <w:abstractNumId w:val="1"/>
  </w:num>
  <w:num w:numId="17" w16cid:durableId="90079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34D23"/>
    <w:rsid w:val="00141929"/>
    <w:rsid w:val="0014198B"/>
    <w:rsid w:val="00152901"/>
    <w:rsid w:val="0016162B"/>
    <w:rsid w:val="00162405"/>
    <w:rsid w:val="0018298F"/>
    <w:rsid w:val="00185935"/>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4692"/>
    <w:rsid w:val="00284CD5"/>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1E42"/>
    <w:rsid w:val="00302D05"/>
    <w:rsid w:val="003030A4"/>
    <w:rsid w:val="00307390"/>
    <w:rsid w:val="00312C7F"/>
    <w:rsid w:val="00315AE0"/>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668B"/>
    <w:rsid w:val="00391F88"/>
    <w:rsid w:val="00393433"/>
    <w:rsid w:val="00394AB3"/>
    <w:rsid w:val="003951BD"/>
    <w:rsid w:val="003A202C"/>
    <w:rsid w:val="003A2DD3"/>
    <w:rsid w:val="003A7995"/>
    <w:rsid w:val="003C7574"/>
    <w:rsid w:val="003D05E9"/>
    <w:rsid w:val="003E08E2"/>
    <w:rsid w:val="003E2BA9"/>
    <w:rsid w:val="003E41D0"/>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857"/>
    <w:rsid w:val="004D3BA9"/>
    <w:rsid w:val="004D4AA6"/>
    <w:rsid w:val="004E7970"/>
    <w:rsid w:val="004F635C"/>
    <w:rsid w:val="004F65E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02F"/>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61C4E"/>
    <w:rsid w:val="00965A06"/>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2039"/>
    <w:rsid w:val="00A772D3"/>
    <w:rsid w:val="00A81CF7"/>
    <w:rsid w:val="00A8272D"/>
    <w:rsid w:val="00A85226"/>
    <w:rsid w:val="00AB52C2"/>
    <w:rsid w:val="00AC01A4"/>
    <w:rsid w:val="00AD2BC0"/>
    <w:rsid w:val="00AD39FA"/>
    <w:rsid w:val="00AD6A10"/>
    <w:rsid w:val="00AE028B"/>
    <w:rsid w:val="00AE04FE"/>
    <w:rsid w:val="00AF104C"/>
    <w:rsid w:val="00AF2650"/>
    <w:rsid w:val="00AF2AF9"/>
    <w:rsid w:val="00B01936"/>
    <w:rsid w:val="00B111D2"/>
    <w:rsid w:val="00B16D71"/>
    <w:rsid w:val="00B1710B"/>
    <w:rsid w:val="00B3075F"/>
    <w:rsid w:val="00B44C99"/>
    <w:rsid w:val="00B44EC9"/>
    <w:rsid w:val="00B54DA2"/>
    <w:rsid w:val="00B633AB"/>
    <w:rsid w:val="00B6556B"/>
    <w:rsid w:val="00B67C4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A53ED"/>
    <w:rsid w:val="00CB6B3B"/>
    <w:rsid w:val="00CC51B9"/>
    <w:rsid w:val="00CC552A"/>
    <w:rsid w:val="00CC57A0"/>
    <w:rsid w:val="00CD745F"/>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61B8E"/>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D7B14"/>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D524E"/>
    <w:rsid w:val="00EE47DB"/>
    <w:rsid w:val="00EE5C03"/>
    <w:rsid w:val="00EE6AA5"/>
    <w:rsid w:val="00EE7315"/>
    <w:rsid w:val="00EF0DA4"/>
    <w:rsid w:val="00F005A4"/>
    <w:rsid w:val="00F01283"/>
    <w:rsid w:val="00F07D8C"/>
    <w:rsid w:val="00F1263F"/>
    <w:rsid w:val="00F1491F"/>
    <w:rsid w:val="00F15E48"/>
    <w:rsid w:val="00F17D1C"/>
    <w:rsid w:val="00F209B1"/>
    <w:rsid w:val="00F2477F"/>
    <w:rsid w:val="00F24E24"/>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E4B9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A72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Pages>
  <Words>2365</Words>
  <Characters>13486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salesforceId:6ca295e5-835a-4e0b-91bf-5e9c72bf3236</dc:subject>
  <dc:creator>O'Donoghue, Ruaridh</dc:creator>
  <cp:keywords/>
  <dc:description/>
  <cp:lastModifiedBy>O'Donoghue, Ruaridh</cp:lastModifiedBy>
  <cp:revision>63</cp:revision>
  <dcterms:created xsi:type="dcterms:W3CDTF">2025-07-04T14:58:00Z</dcterms:created>
  <dcterms:modified xsi:type="dcterms:W3CDTF">2026-08-21T14:37:00Z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069Q300000SswjoIAB</vt:lpwstr>
  </property>
</Properties>
</file>