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3FCB3"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41A21859"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028CE674"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629" w:type="dxa"/>
        <w:tblLayout w:type="fixed"/>
        <w:tblLook w:val="04A0" w:firstRow="1" w:lastRow="0" w:firstColumn="1" w:lastColumn="0" w:noHBand="0" w:noVBand="1"/>
      </w:tblPr>
      <w:tblGrid>
        <w:gridCol w:w="3981"/>
        <w:gridCol w:w="5648"/>
      </w:tblGrid>
      <w:tr w:rsidR="00B4036B" w14:paraId="18B906E0"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727194A1" w14:textId="77777777" w:rsidR="00B4036B" w:rsidRDefault="00B4036B" w:rsidP="008F7D98">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A5FCFF1" w14:textId="77777777" w:rsidR="00B4036B" w:rsidRPr="004424DC" w:rsidRDefault="00B4036B" w:rsidP="008F7D98">
            <w:pPr>
              <w:spacing w:line="276" w:lineRule="auto"/>
            </w:pPr>
            <w:r w:rsidRPr="004424DC">
              <w:rPr>
                <w:rFonts w:ascii="Arial" w:eastAsia="Arial" w:hAnsi="Arial" w:cs="Arial"/>
                <w:sz w:val="22"/>
                <w:szCs w:val="22"/>
              </w:rPr>
              <w:t>PL/2026/03983</w:t>
            </w:r>
          </w:p>
        </w:tc>
      </w:tr>
      <w:tr w:rsidR="00B4036B" w14:paraId="0008AF72"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D498D4E" w14:textId="77777777" w:rsidR="00B4036B" w:rsidRDefault="00B4036B" w:rsidP="008F7D98">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9BE9937" w14:textId="77777777" w:rsidR="00B4036B" w:rsidRPr="004424DC" w:rsidRDefault="00B4036B" w:rsidP="008F7D98">
            <w:pPr>
              <w:spacing w:line="276" w:lineRule="auto"/>
              <w:rPr>
                <w:rFonts w:ascii="Arial" w:eastAsia="Arial" w:hAnsi="Arial" w:cs="Arial"/>
                <w:sz w:val="22"/>
                <w:szCs w:val="22"/>
              </w:rPr>
            </w:pPr>
            <w:r w:rsidRPr="004424DC">
              <w:rPr>
                <w:rFonts w:ascii="Arial" w:eastAsia="Arial" w:hAnsi="Arial" w:cs="Arial"/>
                <w:sz w:val="22"/>
                <w:szCs w:val="22"/>
              </w:rPr>
              <w:t>Listed building consent (Alt/Ext)</w:t>
            </w:r>
          </w:p>
        </w:tc>
      </w:tr>
      <w:tr w:rsidR="00B4036B" w14:paraId="59E1B06F"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683F616F" w14:textId="77777777" w:rsidR="00B4036B" w:rsidRDefault="00B4036B" w:rsidP="008F7D98">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6289C1EE" w14:textId="77777777" w:rsidR="00B4036B" w:rsidRPr="004424DC" w:rsidRDefault="00B4036B" w:rsidP="008F7D98">
            <w:pPr>
              <w:spacing w:line="276" w:lineRule="auto"/>
            </w:pPr>
            <w:r w:rsidRPr="004424DC">
              <w:rPr>
                <w:rFonts w:ascii="Arial" w:eastAsia="Arial" w:hAnsi="Arial" w:cs="Arial"/>
                <w:sz w:val="22"/>
                <w:szCs w:val="22"/>
              </w:rPr>
              <w:t>16 Cross Keys, Corsham, SN13 0DT</w:t>
            </w:r>
          </w:p>
        </w:tc>
      </w:tr>
      <w:tr w:rsidR="00B4036B" w14:paraId="0647D311"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423A7E85" w14:textId="77777777" w:rsidR="00B4036B" w:rsidRDefault="00B4036B" w:rsidP="008F7D98">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914993E" w14:textId="77777777" w:rsidR="00B4036B" w:rsidRPr="004424DC" w:rsidRDefault="00B4036B" w:rsidP="008F7D98">
            <w:pPr>
              <w:spacing w:line="276" w:lineRule="auto"/>
            </w:pPr>
            <w:r w:rsidRPr="004424DC">
              <w:rPr>
                <w:rFonts w:ascii="Arial" w:eastAsia="Arial" w:hAnsi="Arial" w:cs="Arial"/>
                <w:sz w:val="22"/>
                <w:szCs w:val="22"/>
              </w:rPr>
              <w:t>Renovating existing windows to double glazed slimline units to improve thermal and acoustic insulation.</w:t>
            </w:r>
          </w:p>
        </w:tc>
      </w:tr>
      <w:tr w:rsidR="00B4036B" w14:paraId="0D4AF7F8"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C78EA1A" w14:textId="77777777" w:rsidR="00B4036B" w:rsidRDefault="00B4036B" w:rsidP="008F7D98">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5B9A065" w14:textId="77777777" w:rsidR="00B4036B" w:rsidRPr="004424DC" w:rsidRDefault="00B4036B" w:rsidP="008F7D98">
            <w:pPr>
              <w:spacing w:line="276" w:lineRule="auto"/>
            </w:pPr>
            <w:r w:rsidRPr="004424DC">
              <w:rPr>
                <w:rFonts w:ascii="Arial" w:eastAsia="Arial" w:hAnsi="Arial" w:cs="Arial"/>
                <w:sz w:val="22"/>
                <w:szCs w:val="22"/>
              </w:rPr>
              <w:t>Approve</w:t>
            </w:r>
          </w:p>
        </w:tc>
      </w:tr>
    </w:tbl>
    <w:p w14:paraId="10179E31"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51C8102"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6FCD88E1" w14:textId="764A9F74" w:rsidR="00BB3A49" w:rsidRPr="00803C95" w:rsidRDefault="00CD1751"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803C95">
        <w:rPr>
          <w:rFonts w:ascii="Arial" w:eastAsia="Times New Roman" w:hAnsi="Arial" w:cs="Arial"/>
          <w:color w:val="000000" w:themeColor="text1"/>
          <w:kern w:val="0"/>
          <w:sz w:val="22"/>
          <w:szCs w:val="22"/>
          <w:lang w:eastAsia="en-GB"/>
          <w14:ligatures w14:val="none"/>
        </w:rPr>
        <w:t>The subject property is a GII designated</w:t>
      </w:r>
      <w:r w:rsidR="00020780" w:rsidRPr="00803C95">
        <w:rPr>
          <w:rFonts w:ascii="Arial" w:eastAsia="Times New Roman" w:hAnsi="Arial" w:cs="Arial"/>
          <w:color w:val="000000" w:themeColor="text1"/>
          <w:kern w:val="0"/>
          <w:sz w:val="22"/>
          <w:szCs w:val="22"/>
          <w:lang w:eastAsia="en-GB"/>
          <w14:ligatures w14:val="none"/>
        </w:rPr>
        <w:t>, C18</w:t>
      </w:r>
      <w:r w:rsidRPr="00803C95">
        <w:rPr>
          <w:rFonts w:ascii="Arial" w:eastAsia="Times New Roman" w:hAnsi="Arial" w:cs="Arial"/>
          <w:color w:val="000000" w:themeColor="text1"/>
          <w:kern w:val="0"/>
          <w:sz w:val="22"/>
          <w:szCs w:val="22"/>
          <w:lang w:eastAsia="en-GB"/>
          <w14:ligatures w14:val="none"/>
        </w:rPr>
        <w:t xml:space="preserve"> </w:t>
      </w:r>
      <w:r w:rsidR="002C0E01" w:rsidRPr="00803C95">
        <w:rPr>
          <w:rFonts w:ascii="Arial" w:eastAsia="Times New Roman" w:hAnsi="Arial" w:cs="Arial"/>
          <w:color w:val="000000" w:themeColor="text1"/>
          <w:kern w:val="0"/>
          <w:sz w:val="22"/>
          <w:szCs w:val="22"/>
          <w:lang w:eastAsia="en-GB"/>
          <w14:ligatures w14:val="none"/>
        </w:rPr>
        <w:t xml:space="preserve">pair of cottages, now converted to a single dwelling. </w:t>
      </w:r>
      <w:r w:rsidR="00BB3A49" w:rsidRPr="00803C95">
        <w:rPr>
          <w:rFonts w:ascii="Arial" w:eastAsia="Times New Roman" w:hAnsi="Arial" w:cs="Arial"/>
          <w:color w:val="000000" w:themeColor="text1"/>
          <w:kern w:val="0"/>
          <w:sz w:val="22"/>
          <w:szCs w:val="22"/>
          <w:lang w:eastAsia="en-GB"/>
          <w14:ligatures w14:val="none"/>
        </w:rPr>
        <w:t xml:space="preserve">A previously approved application, saw an attached outbuilding converted to an annexe, such that the location plan </w:t>
      </w:r>
      <w:r w:rsidR="00803C95" w:rsidRPr="00803C95">
        <w:rPr>
          <w:rFonts w:ascii="Arial" w:eastAsia="Times New Roman" w:hAnsi="Arial" w:cs="Arial"/>
          <w:color w:val="000000" w:themeColor="text1"/>
          <w:kern w:val="0"/>
          <w:sz w:val="22"/>
          <w:szCs w:val="22"/>
          <w:lang w:eastAsia="en-GB"/>
          <w14:ligatures w14:val="none"/>
        </w:rPr>
        <w:t xml:space="preserve">below </w:t>
      </w:r>
      <w:r w:rsidR="00BB3A49" w:rsidRPr="00803C95">
        <w:rPr>
          <w:rFonts w:ascii="Arial" w:eastAsia="Times New Roman" w:hAnsi="Arial" w:cs="Arial"/>
          <w:color w:val="000000" w:themeColor="text1"/>
          <w:kern w:val="0"/>
          <w:sz w:val="22"/>
          <w:szCs w:val="22"/>
          <w:lang w:eastAsia="en-GB"/>
          <w14:ligatures w14:val="none"/>
        </w:rPr>
        <w:t>reads as 3 cottages</w:t>
      </w:r>
      <w:r w:rsidR="00503DC1" w:rsidRPr="00803C95">
        <w:rPr>
          <w:rFonts w:ascii="Arial" w:eastAsia="Times New Roman" w:hAnsi="Arial" w:cs="Arial"/>
          <w:color w:val="000000" w:themeColor="text1"/>
          <w:kern w:val="0"/>
          <w:sz w:val="22"/>
          <w:szCs w:val="22"/>
          <w:lang w:eastAsia="en-GB"/>
          <w14:ligatures w14:val="none"/>
        </w:rPr>
        <w:t xml:space="preserve"> (hatched are</w:t>
      </w:r>
      <w:r w:rsidR="00CB4C68" w:rsidRPr="00803C95">
        <w:rPr>
          <w:rFonts w:ascii="Arial" w:eastAsia="Times New Roman" w:hAnsi="Arial" w:cs="Arial"/>
          <w:color w:val="000000" w:themeColor="text1"/>
          <w:kern w:val="0"/>
          <w:sz w:val="22"/>
          <w:szCs w:val="22"/>
          <w:lang w:eastAsia="en-GB"/>
          <w14:ligatures w14:val="none"/>
        </w:rPr>
        <w:t>a</w:t>
      </w:r>
      <w:r w:rsidR="00503DC1" w:rsidRPr="00803C95">
        <w:rPr>
          <w:rFonts w:ascii="Arial" w:eastAsia="Times New Roman" w:hAnsi="Arial" w:cs="Arial"/>
          <w:color w:val="000000" w:themeColor="text1"/>
          <w:kern w:val="0"/>
          <w:sz w:val="22"/>
          <w:szCs w:val="22"/>
          <w:lang w:eastAsia="en-GB"/>
          <w14:ligatures w14:val="none"/>
        </w:rPr>
        <w:t xml:space="preserve"> is the annexe).</w:t>
      </w:r>
      <w:r w:rsidR="009A5F00" w:rsidRPr="00803C95">
        <w:rPr>
          <w:rFonts w:ascii="Arial" w:eastAsia="Times New Roman" w:hAnsi="Arial" w:cs="Arial"/>
          <w:color w:val="000000" w:themeColor="text1"/>
          <w:kern w:val="0"/>
          <w:sz w:val="22"/>
          <w:szCs w:val="22"/>
          <w:lang w:eastAsia="en-GB"/>
          <w14:ligatures w14:val="none"/>
        </w:rPr>
        <w:t xml:space="preserve"> There is a shared private driveway encircling</w:t>
      </w:r>
      <w:r w:rsidR="00A178FF" w:rsidRPr="00803C95">
        <w:rPr>
          <w:rFonts w:ascii="Arial" w:eastAsia="Times New Roman" w:hAnsi="Arial" w:cs="Arial"/>
          <w:color w:val="000000" w:themeColor="text1"/>
          <w:kern w:val="0"/>
          <w:sz w:val="22"/>
          <w:szCs w:val="22"/>
          <w:lang w:eastAsia="en-GB"/>
          <w14:ligatures w14:val="none"/>
        </w:rPr>
        <w:t xml:space="preserve"> from the north</w:t>
      </w:r>
      <w:r w:rsidR="001B627B" w:rsidRPr="00803C95">
        <w:rPr>
          <w:rFonts w:ascii="Arial" w:eastAsia="Times New Roman" w:hAnsi="Arial" w:cs="Arial"/>
          <w:color w:val="000000" w:themeColor="text1"/>
          <w:kern w:val="0"/>
          <w:sz w:val="22"/>
          <w:szCs w:val="22"/>
          <w:lang w:eastAsia="en-GB"/>
          <w14:ligatures w14:val="none"/>
        </w:rPr>
        <w:t xml:space="preserve"> and terminating to the </w:t>
      </w:r>
      <w:r w:rsidR="00A178FF" w:rsidRPr="00803C95">
        <w:rPr>
          <w:rFonts w:ascii="Arial" w:eastAsia="Times New Roman" w:hAnsi="Arial" w:cs="Arial"/>
          <w:color w:val="000000" w:themeColor="text1"/>
          <w:kern w:val="0"/>
          <w:sz w:val="22"/>
          <w:szCs w:val="22"/>
          <w:lang w:eastAsia="en-GB"/>
          <w14:ligatures w14:val="none"/>
        </w:rPr>
        <w:t xml:space="preserve">SE. </w:t>
      </w:r>
      <w:r w:rsidR="004402DE" w:rsidRPr="00803C95">
        <w:rPr>
          <w:rFonts w:ascii="Arial" w:eastAsia="Times New Roman" w:hAnsi="Arial" w:cs="Arial"/>
          <w:color w:val="000000" w:themeColor="text1"/>
          <w:kern w:val="0"/>
          <w:sz w:val="22"/>
          <w:szCs w:val="22"/>
          <w:lang w:eastAsia="en-GB"/>
          <w14:ligatures w14:val="none"/>
        </w:rPr>
        <w:t xml:space="preserve">Attached to the rear/north is GII, C18 cottages, nos. 14 </w:t>
      </w:r>
      <w:r w:rsidR="00A06E8B" w:rsidRPr="00803C95">
        <w:rPr>
          <w:rFonts w:ascii="Arial" w:eastAsia="Times New Roman" w:hAnsi="Arial" w:cs="Arial"/>
          <w:color w:val="000000" w:themeColor="text1"/>
          <w:kern w:val="0"/>
          <w:sz w:val="22"/>
          <w:szCs w:val="22"/>
          <w:lang w:eastAsia="en-GB"/>
          <w14:ligatures w14:val="none"/>
        </w:rPr>
        <w:t>a</w:t>
      </w:r>
      <w:r w:rsidR="004402DE" w:rsidRPr="00803C95">
        <w:rPr>
          <w:rFonts w:ascii="Arial" w:eastAsia="Times New Roman" w:hAnsi="Arial" w:cs="Arial"/>
          <w:color w:val="000000" w:themeColor="text1"/>
          <w:kern w:val="0"/>
          <w:sz w:val="22"/>
          <w:szCs w:val="22"/>
          <w:lang w:eastAsia="en-GB"/>
          <w14:ligatures w14:val="none"/>
        </w:rPr>
        <w:t>nd 15.</w:t>
      </w:r>
    </w:p>
    <w:p w14:paraId="6EC801FF" w14:textId="77777777" w:rsidR="00CB4C68" w:rsidRPr="00803C95" w:rsidRDefault="00CB4C68"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1EE5D083" w14:textId="7F39EA14" w:rsidR="0045539F" w:rsidRPr="00803C95" w:rsidRDefault="00CB4C68"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803C95">
        <w:rPr>
          <w:rFonts w:ascii="Arial" w:eastAsia="Times New Roman" w:hAnsi="Arial" w:cs="Arial"/>
          <w:color w:val="000000" w:themeColor="text1"/>
          <w:kern w:val="0"/>
          <w:sz w:val="22"/>
          <w:szCs w:val="22"/>
          <w:lang w:eastAsia="en-GB"/>
          <w14:ligatures w14:val="none"/>
        </w:rPr>
        <w:t>The building is designated for its special architectural and/or historic interest under the Planning (Listed Buildings and Conservation Areas) Act 1990.</w:t>
      </w:r>
    </w:p>
    <w:p w14:paraId="78EF5312" w14:textId="77777777" w:rsidR="001B627B" w:rsidRDefault="001B627B" w:rsidP="00970F6B">
      <w:pPr>
        <w:spacing w:after="0" w:line="276" w:lineRule="auto"/>
        <w:jc w:val="both"/>
        <w:rPr>
          <w:rFonts w:ascii="Arial" w:eastAsia="Times New Roman" w:hAnsi="Arial" w:cs="Arial"/>
          <w:color w:val="ED0000"/>
          <w:kern w:val="0"/>
          <w:sz w:val="22"/>
          <w:szCs w:val="22"/>
          <w:lang w:eastAsia="en-GB"/>
          <w14:ligatures w14:val="none"/>
        </w:rPr>
      </w:pPr>
    </w:p>
    <w:p w14:paraId="6486B577" w14:textId="75642346" w:rsidR="002E6035" w:rsidRDefault="002E6035" w:rsidP="00970F6B">
      <w:pPr>
        <w:spacing w:after="0" w:line="276" w:lineRule="auto"/>
        <w:jc w:val="both"/>
        <w:rPr>
          <w:rFonts w:ascii="Arial" w:eastAsia="Times New Roman" w:hAnsi="Arial" w:cs="Arial"/>
          <w:color w:val="ED0000"/>
          <w:kern w:val="0"/>
          <w:sz w:val="22"/>
          <w:szCs w:val="22"/>
          <w:lang w:eastAsia="en-GB"/>
          <w14:ligatures w14:val="none"/>
        </w:rPr>
      </w:pPr>
      <w:r w:rsidRPr="002E6035">
        <w:rPr>
          <w:rFonts w:ascii="Arial" w:eastAsia="Times New Roman" w:hAnsi="Arial" w:cs="Arial"/>
          <w:color w:val="ED0000"/>
          <w:kern w:val="0"/>
          <w:sz w:val="22"/>
          <w:szCs w:val="22"/>
          <w:lang w:eastAsia="en-GB"/>
          <w14:ligatures w14:val="none"/>
        </w:rPr>
        <w:drawing>
          <wp:inline distT="0" distB="0" distL="0" distR="0" wp14:anchorId="3D9D5620" wp14:editId="2CC54A85">
            <wp:extent cx="1922400" cy="2160000"/>
            <wp:effectExtent l="0" t="0" r="1905" b="0"/>
            <wp:docPr id="324862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862371" name=""/>
                    <pic:cNvPicPr/>
                  </pic:nvPicPr>
                  <pic:blipFill rotWithShape="1">
                    <a:blip r:embed="rId9"/>
                    <a:srcRect l="-1" t="6864" r="18385"/>
                    <a:stretch>
                      <a:fillRect/>
                    </a:stretch>
                  </pic:blipFill>
                  <pic:spPr bwMode="auto">
                    <a:xfrm>
                      <a:off x="0" y="0"/>
                      <a:ext cx="1922400" cy="2160000"/>
                    </a:xfrm>
                    <a:prstGeom prst="rect">
                      <a:avLst/>
                    </a:prstGeom>
                    <a:ln>
                      <a:noFill/>
                    </a:ln>
                    <a:extLst>
                      <a:ext uri="{53640926-AAD7-44D8-BBD7-CCE9431645EC}">
                        <a14:shadowObscured xmlns:a14="http://schemas.microsoft.com/office/drawing/2010/main"/>
                      </a:ext>
                    </a:extLst>
                  </pic:spPr>
                </pic:pic>
              </a:graphicData>
            </a:graphic>
          </wp:inline>
        </w:drawing>
      </w:r>
      <w:r w:rsidR="00EB1FD9">
        <w:rPr>
          <w:rFonts w:ascii="Arial" w:eastAsia="Times New Roman" w:hAnsi="Arial" w:cs="Arial"/>
          <w:color w:val="ED0000"/>
          <w:kern w:val="0"/>
          <w:sz w:val="22"/>
          <w:szCs w:val="22"/>
          <w:lang w:eastAsia="en-GB"/>
          <w14:ligatures w14:val="none"/>
        </w:rPr>
        <w:t xml:space="preserve"> </w:t>
      </w:r>
      <w:r w:rsidR="005C2DD5" w:rsidRPr="005C2DD5">
        <w:rPr>
          <w:rFonts w:ascii="Arial" w:eastAsia="Times New Roman" w:hAnsi="Arial" w:cs="Arial"/>
          <w:color w:val="ED0000"/>
          <w:kern w:val="0"/>
          <w:sz w:val="22"/>
          <w:szCs w:val="22"/>
          <w:lang w:eastAsia="en-GB"/>
          <w14:ligatures w14:val="none"/>
        </w:rPr>
        <w:drawing>
          <wp:inline distT="0" distB="0" distL="0" distR="0" wp14:anchorId="1DAA250D" wp14:editId="27C891E1">
            <wp:extent cx="3668400" cy="2160000"/>
            <wp:effectExtent l="0" t="0" r="8255" b="0"/>
            <wp:docPr id="2134855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855517" name=""/>
                    <pic:cNvPicPr/>
                  </pic:nvPicPr>
                  <pic:blipFill rotWithShape="1">
                    <a:blip r:embed="rId10"/>
                    <a:srcRect l="4178" b="11244"/>
                    <a:stretch>
                      <a:fillRect/>
                    </a:stretch>
                  </pic:blipFill>
                  <pic:spPr bwMode="auto">
                    <a:xfrm>
                      <a:off x="0" y="0"/>
                      <a:ext cx="3668400" cy="2160000"/>
                    </a:xfrm>
                    <a:prstGeom prst="rect">
                      <a:avLst/>
                    </a:prstGeom>
                    <a:ln>
                      <a:noFill/>
                    </a:ln>
                    <a:extLst>
                      <a:ext uri="{53640926-AAD7-44D8-BBD7-CCE9431645EC}">
                        <a14:shadowObscured xmlns:a14="http://schemas.microsoft.com/office/drawing/2010/main"/>
                      </a:ext>
                    </a:extLst>
                  </pic:spPr>
                </pic:pic>
              </a:graphicData>
            </a:graphic>
          </wp:inline>
        </w:drawing>
      </w:r>
    </w:p>
    <w:p w14:paraId="5F0B3C8E" w14:textId="54913C1B" w:rsidR="00C735FD" w:rsidRDefault="00C735FD" w:rsidP="00C735FD">
      <w:pPr>
        <w:spacing w:after="0" w:line="276" w:lineRule="auto"/>
        <w:jc w:val="center"/>
        <w:rPr>
          <w:rFonts w:ascii="Arial" w:eastAsia="Times New Roman" w:hAnsi="Arial" w:cs="Arial"/>
          <w:b/>
          <w:bCs/>
          <w:color w:val="000000" w:themeColor="text1"/>
          <w:kern w:val="0"/>
          <w:sz w:val="22"/>
          <w:szCs w:val="22"/>
          <w:lang w:eastAsia="en-GB"/>
          <w14:ligatures w14:val="none"/>
        </w:rPr>
      </w:pPr>
      <w:r w:rsidRPr="00C735FD">
        <w:rPr>
          <w:rFonts w:ascii="Arial" w:eastAsia="Times New Roman" w:hAnsi="Arial" w:cs="Arial"/>
          <w:b/>
          <w:bCs/>
          <w:color w:val="000000" w:themeColor="text1"/>
          <w:kern w:val="0"/>
          <w:sz w:val="22"/>
          <w:szCs w:val="22"/>
          <w:lang w:eastAsia="en-GB"/>
          <w14:ligatures w14:val="none"/>
        </w:rPr>
        <w:t>Location Plan and Google Earth Photo</w:t>
      </w:r>
    </w:p>
    <w:p w14:paraId="14626603" w14:textId="77777777" w:rsidR="00A06E8B" w:rsidRDefault="00A06E8B" w:rsidP="00C735FD">
      <w:pPr>
        <w:spacing w:after="0" w:line="276" w:lineRule="auto"/>
        <w:jc w:val="center"/>
        <w:rPr>
          <w:rFonts w:ascii="Arial" w:eastAsia="Times New Roman" w:hAnsi="Arial" w:cs="Arial"/>
          <w:b/>
          <w:bCs/>
          <w:color w:val="000000" w:themeColor="text1"/>
          <w:kern w:val="0"/>
          <w:sz w:val="22"/>
          <w:szCs w:val="22"/>
          <w:lang w:eastAsia="en-GB"/>
          <w14:ligatures w14:val="none"/>
        </w:rPr>
      </w:pPr>
    </w:p>
    <w:p w14:paraId="116A3B91" w14:textId="77777777" w:rsidR="00A06E8B" w:rsidRPr="00A36A79" w:rsidRDefault="00A06E8B" w:rsidP="00A06E8B">
      <w:pPr>
        <w:spacing w:after="0" w:line="276" w:lineRule="auto"/>
        <w:jc w:val="both"/>
        <w:rPr>
          <w:rFonts w:ascii="Arial" w:eastAsia="Times New Roman" w:hAnsi="Arial" w:cs="Arial"/>
          <w:color w:val="000000" w:themeColor="text1"/>
          <w:kern w:val="0"/>
          <w:sz w:val="22"/>
          <w:szCs w:val="22"/>
          <w:lang w:eastAsia="en-GB"/>
          <w14:ligatures w14:val="none"/>
        </w:rPr>
      </w:pPr>
      <w:r w:rsidRPr="00A36A79">
        <w:rPr>
          <w:rFonts w:ascii="Arial" w:eastAsia="Times New Roman" w:hAnsi="Arial" w:cs="Arial"/>
          <w:color w:val="000000" w:themeColor="text1"/>
          <w:kern w:val="0"/>
          <w:sz w:val="22"/>
          <w:szCs w:val="22"/>
          <w:lang w:eastAsia="en-GB"/>
          <w14:ligatures w14:val="none"/>
        </w:rPr>
        <w:t xml:space="preserve">Built of rubble stone, with flush quoins, under a stone tiled roof at 1 ½ storeys, the property lies at the crossroads of Cross Keys Road (running south to Corsham) and Bath Road (running east to Pickwick). This location makes the property’s SE and SW elevations highly visible, and as a local landmark, on the northwest edge of the Corsham Conservation Area, surrounded by other listed buildings. </w:t>
      </w:r>
    </w:p>
    <w:p w14:paraId="337BE133" w14:textId="77777777" w:rsidR="00A06E8B" w:rsidRPr="00A36A79" w:rsidRDefault="00A06E8B" w:rsidP="00A06E8B">
      <w:pPr>
        <w:spacing w:after="0" w:line="276" w:lineRule="auto"/>
        <w:jc w:val="both"/>
        <w:rPr>
          <w:rFonts w:ascii="Arial" w:eastAsia="Times New Roman" w:hAnsi="Arial" w:cs="Arial"/>
          <w:color w:val="000000" w:themeColor="text1"/>
          <w:kern w:val="0"/>
          <w:sz w:val="22"/>
          <w:szCs w:val="22"/>
          <w:lang w:eastAsia="en-GB"/>
          <w14:ligatures w14:val="none"/>
        </w:rPr>
      </w:pPr>
    </w:p>
    <w:p w14:paraId="35C56BBB" w14:textId="02B83C25" w:rsidR="00630588" w:rsidRDefault="00A06E8B"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A36A79">
        <w:rPr>
          <w:rFonts w:ascii="Arial" w:eastAsia="Times New Roman" w:hAnsi="Arial" w:cs="Arial"/>
          <w:color w:val="000000" w:themeColor="text1"/>
          <w:kern w:val="0"/>
          <w:sz w:val="22"/>
          <w:szCs w:val="22"/>
          <w:lang w:eastAsia="en-GB"/>
          <w14:ligatures w14:val="none"/>
        </w:rPr>
        <w:t>In identifying the two cottages</w:t>
      </w:r>
      <w:r w:rsidR="00E60E81">
        <w:rPr>
          <w:rFonts w:ascii="Arial" w:eastAsia="Times New Roman" w:hAnsi="Arial" w:cs="Arial"/>
          <w:color w:val="000000" w:themeColor="text1"/>
          <w:kern w:val="0"/>
          <w:sz w:val="22"/>
          <w:szCs w:val="22"/>
          <w:lang w:eastAsia="en-GB"/>
          <w14:ligatures w14:val="none"/>
        </w:rPr>
        <w:t xml:space="preserve"> in drawings below</w:t>
      </w:r>
      <w:r w:rsidRPr="00A36A79">
        <w:rPr>
          <w:rFonts w:ascii="Arial" w:eastAsia="Times New Roman" w:hAnsi="Arial" w:cs="Arial"/>
          <w:color w:val="000000" w:themeColor="text1"/>
          <w:kern w:val="0"/>
          <w:sz w:val="22"/>
          <w:szCs w:val="22"/>
          <w:lang w:eastAsia="en-GB"/>
          <w14:ligatures w14:val="none"/>
        </w:rPr>
        <w:t xml:space="preserve">, it is noted the east cottage has a trellis porch on the SE elevation, and hood on brackets to the west cottage’s SW elevation. </w:t>
      </w:r>
    </w:p>
    <w:p w14:paraId="51A6ED06" w14:textId="77777777" w:rsidR="00A36A79" w:rsidRDefault="00A36A79"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25D4A3A5" w14:textId="77777777" w:rsidR="00A36A79" w:rsidRDefault="00A36A79"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56C64528" w14:textId="77777777" w:rsidR="00A36A79" w:rsidRDefault="00A36A79"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3E274A93" w14:textId="77777777" w:rsidR="00A36A79" w:rsidRPr="00A36A79" w:rsidRDefault="00A36A79"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6200A693" w14:textId="77777777" w:rsidR="00A36A79" w:rsidRDefault="00F7609E" w:rsidP="00A36A79">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lastRenderedPageBreak/>
        <w:t>PROPOSAL</w:t>
      </w:r>
    </w:p>
    <w:p w14:paraId="2525F72D" w14:textId="51DB3803" w:rsidR="00A36A79" w:rsidRPr="00A36A79" w:rsidRDefault="00CD1751" w:rsidP="00A36A79">
      <w:pPr>
        <w:spacing w:after="0" w:line="276" w:lineRule="auto"/>
        <w:jc w:val="both"/>
        <w:outlineLvl w:val="2"/>
        <w:rPr>
          <w:rFonts w:ascii="Arial" w:eastAsia="Times New Roman" w:hAnsi="Arial" w:cs="Arial"/>
          <w:b/>
          <w:bCs/>
          <w:kern w:val="0"/>
          <w:sz w:val="22"/>
          <w:szCs w:val="22"/>
          <w:lang w:eastAsia="en-GB"/>
          <w14:ligatures w14:val="none"/>
        </w:rPr>
      </w:pPr>
      <w:r w:rsidRPr="00A36A79">
        <w:rPr>
          <w:rFonts w:ascii="Arial" w:eastAsia="Times New Roman" w:hAnsi="Arial" w:cs="Arial"/>
          <w:color w:val="000000" w:themeColor="text1"/>
          <w:kern w:val="0"/>
          <w:sz w:val="22"/>
          <w:szCs w:val="22"/>
          <w:lang w:eastAsia="en-GB"/>
          <w14:ligatures w14:val="none"/>
        </w:rPr>
        <w:t xml:space="preserve">The proposal is to </w:t>
      </w:r>
      <w:r w:rsidR="00A36A79" w:rsidRPr="00A36A79">
        <w:rPr>
          <w:rFonts w:ascii="Arial" w:eastAsia="Times New Roman" w:hAnsi="Arial" w:cs="Arial"/>
          <w:color w:val="000000" w:themeColor="text1"/>
          <w:kern w:val="0"/>
          <w:sz w:val="22"/>
          <w:szCs w:val="22"/>
          <w:lang w:eastAsia="en-GB"/>
          <w14:ligatures w14:val="none"/>
        </w:rPr>
        <w:t>replace the 9</w:t>
      </w:r>
      <w:r w:rsidRPr="00A36A79">
        <w:rPr>
          <w:rFonts w:ascii="Arial" w:eastAsia="Times New Roman" w:hAnsi="Arial" w:cs="Arial"/>
          <w:color w:val="000000" w:themeColor="text1"/>
          <w:kern w:val="0"/>
          <w:sz w:val="22"/>
          <w:szCs w:val="22"/>
          <w:lang w:eastAsia="en-GB"/>
          <w14:ligatures w14:val="none"/>
        </w:rPr>
        <w:t xml:space="preserve"> existing </w:t>
      </w:r>
      <w:r w:rsidR="00A36A79" w:rsidRPr="00A36A79">
        <w:rPr>
          <w:rFonts w:ascii="Arial" w:eastAsia="Times New Roman" w:hAnsi="Arial" w:cs="Arial"/>
          <w:color w:val="000000" w:themeColor="text1"/>
          <w:kern w:val="0"/>
          <w:sz w:val="22"/>
          <w:szCs w:val="22"/>
          <w:lang w:eastAsia="en-GB"/>
          <w14:ligatures w14:val="none"/>
        </w:rPr>
        <w:t>single glazed timber casements with openable lights, with</w:t>
      </w:r>
      <w:r w:rsidRPr="00A36A79">
        <w:rPr>
          <w:rFonts w:ascii="Arial" w:eastAsia="Times New Roman" w:hAnsi="Arial" w:cs="Arial"/>
          <w:color w:val="000000" w:themeColor="text1"/>
          <w:kern w:val="0"/>
          <w:sz w:val="22"/>
          <w:szCs w:val="22"/>
          <w:lang w:eastAsia="en-GB"/>
          <w14:ligatures w14:val="none"/>
        </w:rPr>
        <w:t xml:space="preserve"> DG, slimline </w:t>
      </w:r>
      <w:r w:rsidR="00A36A79" w:rsidRPr="00A36A79">
        <w:rPr>
          <w:rFonts w:ascii="Arial" w:eastAsia="Times New Roman" w:hAnsi="Arial" w:cs="Arial"/>
          <w:color w:val="000000" w:themeColor="text1"/>
          <w:kern w:val="0"/>
          <w:sz w:val="22"/>
          <w:szCs w:val="22"/>
          <w:lang w:eastAsia="en-GB"/>
          <w14:ligatures w14:val="none"/>
        </w:rPr>
        <w:t xml:space="preserve">timber casements with openable lights, </w:t>
      </w:r>
      <w:r w:rsidR="00A36A79" w:rsidRPr="00A36A79">
        <w:rPr>
          <w:rFonts w:ascii="Arial" w:eastAsia="Times New Roman" w:hAnsi="Arial" w:cs="Arial"/>
          <w:color w:val="000000" w:themeColor="text1"/>
          <w:kern w:val="0"/>
          <w:sz w:val="22"/>
          <w:szCs w:val="22"/>
          <w:lang w:eastAsia="en-GB"/>
          <w14:ligatures w14:val="none"/>
        </w:rPr>
        <w:t xml:space="preserve">set in 18mm ovolo glazing bars with pinned, painted beads for a finer details. </w:t>
      </w:r>
    </w:p>
    <w:p w14:paraId="0BD26425" w14:textId="77777777" w:rsidR="00A36A79" w:rsidRDefault="00A36A79" w:rsidP="00A36A79">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D953324" w14:textId="77777777" w:rsidR="00A36A79" w:rsidRPr="00A36A79" w:rsidRDefault="00A36A79" w:rsidP="00A36A79">
      <w:pPr>
        <w:spacing w:after="0" w:line="276" w:lineRule="auto"/>
        <w:jc w:val="both"/>
        <w:rPr>
          <w:rFonts w:ascii="Arial" w:eastAsia="Times New Roman" w:hAnsi="Arial" w:cs="Arial"/>
          <w:color w:val="000000" w:themeColor="text1"/>
          <w:kern w:val="0"/>
          <w:sz w:val="22"/>
          <w:szCs w:val="22"/>
          <w:lang w:eastAsia="en-GB"/>
          <w14:ligatures w14:val="none"/>
        </w:rPr>
      </w:pPr>
      <w:r w:rsidRPr="00A36A79">
        <w:rPr>
          <w:rFonts w:ascii="Arial" w:eastAsia="Times New Roman" w:hAnsi="Arial" w:cs="Arial"/>
          <w:color w:val="000000" w:themeColor="text1"/>
          <w:kern w:val="0"/>
          <w:sz w:val="22"/>
          <w:szCs w:val="22"/>
          <w:lang w:eastAsia="en-GB"/>
          <w14:ligatures w14:val="none"/>
        </w:rPr>
        <w:t>The submitted Listed Building Statement shows the 9 subject casements within mullions are all modern, in a poor state of repair and advanced decay.</w:t>
      </w:r>
    </w:p>
    <w:p w14:paraId="2AB3C3DB" w14:textId="77777777" w:rsidR="008C234A" w:rsidRDefault="008C234A" w:rsidP="55F69212">
      <w:pPr>
        <w:spacing w:after="0" w:line="276" w:lineRule="auto"/>
        <w:jc w:val="both"/>
        <w:rPr>
          <w:rFonts w:ascii="Arial" w:eastAsia="Times New Roman" w:hAnsi="Arial" w:cs="Arial"/>
          <w:i/>
          <w:iCs/>
          <w:color w:val="FF0000"/>
          <w:kern w:val="0"/>
          <w:sz w:val="22"/>
          <w:szCs w:val="22"/>
          <w:lang w:eastAsia="en-GB"/>
          <w14:ligatures w14:val="none"/>
        </w:rPr>
      </w:pPr>
    </w:p>
    <w:p w14:paraId="7C0B38EB" w14:textId="5C04E5BA" w:rsidR="008C234A" w:rsidRDefault="008C234A" w:rsidP="55F69212">
      <w:pPr>
        <w:spacing w:after="0" w:line="276" w:lineRule="auto"/>
        <w:jc w:val="both"/>
        <w:rPr>
          <w:rFonts w:ascii="Arial" w:eastAsia="Times New Roman" w:hAnsi="Arial" w:cs="Arial"/>
          <w:i/>
          <w:iCs/>
          <w:color w:val="FF0000"/>
          <w:kern w:val="0"/>
          <w:sz w:val="22"/>
          <w:szCs w:val="22"/>
          <w:lang w:eastAsia="en-GB"/>
          <w14:ligatures w14:val="none"/>
        </w:rPr>
      </w:pPr>
      <w:r w:rsidRPr="008C234A">
        <w:rPr>
          <w:rFonts w:ascii="Arial" w:eastAsia="Times New Roman" w:hAnsi="Arial" w:cs="Arial"/>
          <w:i/>
          <w:iCs/>
          <w:color w:val="FF0000"/>
          <w:kern w:val="0"/>
          <w:sz w:val="22"/>
          <w:szCs w:val="22"/>
          <w:lang w:eastAsia="en-GB"/>
          <w14:ligatures w14:val="none"/>
        </w:rPr>
        <w:drawing>
          <wp:inline distT="0" distB="0" distL="0" distR="0" wp14:anchorId="4CEBDF36" wp14:editId="3F77664D">
            <wp:extent cx="3470334" cy="1399540"/>
            <wp:effectExtent l="0" t="0" r="0" b="0"/>
            <wp:docPr id="1735595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595335" name=""/>
                    <pic:cNvPicPr/>
                  </pic:nvPicPr>
                  <pic:blipFill rotWithShape="1">
                    <a:blip r:embed="rId11"/>
                    <a:srcRect l="11437" t="54726" r="7358" b="3858"/>
                    <a:stretch>
                      <a:fillRect/>
                    </a:stretch>
                  </pic:blipFill>
                  <pic:spPr bwMode="auto">
                    <a:xfrm>
                      <a:off x="0" y="0"/>
                      <a:ext cx="3478917" cy="1403001"/>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i/>
          <w:iCs/>
          <w:color w:val="FF0000"/>
          <w:kern w:val="0"/>
          <w:sz w:val="22"/>
          <w:szCs w:val="22"/>
          <w:lang w:eastAsia="en-GB"/>
          <w14:ligatures w14:val="none"/>
        </w:rPr>
        <w:t xml:space="preserve"> </w:t>
      </w:r>
      <w:r w:rsidRPr="008C234A">
        <w:rPr>
          <w:rFonts w:ascii="Arial" w:eastAsia="Times New Roman" w:hAnsi="Arial" w:cs="Arial"/>
          <w:i/>
          <w:iCs/>
          <w:color w:val="FF0000"/>
          <w:kern w:val="0"/>
          <w:sz w:val="22"/>
          <w:szCs w:val="22"/>
          <w:lang w:eastAsia="en-GB"/>
          <w14:ligatures w14:val="none"/>
        </w:rPr>
        <w:drawing>
          <wp:inline distT="0" distB="0" distL="0" distR="0" wp14:anchorId="0F75EB2A" wp14:editId="28281A13">
            <wp:extent cx="1152525" cy="1418590"/>
            <wp:effectExtent l="0" t="0" r="9525" b="0"/>
            <wp:docPr id="53901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01936" name=""/>
                    <pic:cNvPicPr/>
                  </pic:nvPicPr>
                  <pic:blipFill rotWithShape="1">
                    <a:blip r:embed="rId11"/>
                    <a:srcRect l="8073" r="64785" b="57750"/>
                    <a:stretch>
                      <a:fillRect/>
                    </a:stretch>
                  </pic:blipFill>
                  <pic:spPr bwMode="auto">
                    <a:xfrm>
                      <a:off x="0" y="0"/>
                      <a:ext cx="1153100" cy="1419298"/>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i/>
          <w:iCs/>
          <w:color w:val="FF0000"/>
          <w:kern w:val="0"/>
          <w:sz w:val="22"/>
          <w:szCs w:val="22"/>
          <w:lang w:eastAsia="en-GB"/>
          <w14:ligatures w14:val="none"/>
        </w:rPr>
        <w:t xml:space="preserve"> </w:t>
      </w:r>
      <w:r w:rsidRPr="008C234A">
        <w:rPr>
          <w:rFonts w:ascii="Arial" w:eastAsia="Times New Roman" w:hAnsi="Arial" w:cs="Arial"/>
          <w:i/>
          <w:iCs/>
          <w:color w:val="FF0000"/>
          <w:kern w:val="0"/>
          <w:sz w:val="22"/>
          <w:szCs w:val="22"/>
          <w:lang w:eastAsia="en-GB"/>
          <w14:ligatures w14:val="none"/>
        </w:rPr>
        <w:drawing>
          <wp:inline distT="0" distB="0" distL="0" distR="0" wp14:anchorId="64A353DA" wp14:editId="68D4CE80">
            <wp:extent cx="1161415" cy="1409700"/>
            <wp:effectExtent l="0" t="0" r="635" b="0"/>
            <wp:docPr id="696480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480524" name=""/>
                    <pic:cNvPicPr/>
                  </pic:nvPicPr>
                  <pic:blipFill rotWithShape="1">
                    <a:blip r:embed="rId11"/>
                    <a:srcRect l="72646" b="58011"/>
                    <a:stretch>
                      <a:fillRect/>
                    </a:stretch>
                  </pic:blipFill>
                  <pic:spPr bwMode="auto">
                    <a:xfrm>
                      <a:off x="0" y="0"/>
                      <a:ext cx="1162109" cy="1410542"/>
                    </a:xfrm>
                    <a:prstGeom prst="rect">
                      <a:avLst/>
                    </a:prstGeom>
                    <a:ln>
                      <a:noFill/>
                    </a:ln>
                    <a:extLst>
                      <a:ext uri="{53640926-AAD7-44D8-BBD7-CCE9431645EC}">
                        <a14:shadowObscured xmlns:a14="http://schemas.microsoft.com/office/drawing/2010/main"/>
                      </a:ext>
                    </a:extLst>
                  </pic:spPr>
                </pic:pic>
              </a:graphicData>
            </a:graphic>
          </wp:inline>
        </w:drawing>
      </w:r>
    </w:p>
    <w:p w14:paraId="27B87F5F" w14:textId="41214712" w:rsidR="008C234A" w:rsidRPr="00E179B8" w:rsidRDefault="008C234A" w:rsidP="00E179B8">
      <w:pPr>
        <w:spacing w:after="0" w:line="276" w:lineRule="auto"/>
        <w:jc w:val="center"/>
        <w:rPr>
          <w:rFonts w:ascii="Arial" w:eastAsia="Times New Roman" w:hAnsi="Arial" w:cs="Arial"/>
          <w:b/>
          <w:bCs/>
          <w:color w:val="FF0000"/>
          <w:kern w:val="0"/>
          <w:sz w:val="22"/>
          <w:szCs w:val="22"/>
          <w:lang w:eastAsia="en-GB"/>
          <w14:ligatures w14:val="none"/>
        </w:rPr>
      </w:pPr>
      <w:r w:rsidRPr="00E179B8">
        <w:rPr>
          <w:rFonts w:ascii="Arial" w:eastAsia="Times New Roman" w:hAnsi="Arial" w:cs="Arial"/>
          <w:b/>
          <w:bCs/>
          <w:color w:val="000000" w:themeColor="text1"/>
          <w:kern w:val="0"/>
          <w:sz w:val="22"/>
          <w:szCs w:val="22"/>
          <w:lang w:eastAsia="en-GB"/>
          <w14:ligatures w14:val="none"/>
        </w:rPr>
        <w:t>Proposed Front (SE), Side (NE) and Side (SW) Elevations</w:t>
      </w:r>
    </w:p>
    <w:p w14:paraId="528E992B" w14:textId="72E28CA9" w:rsidR="008C234A" w:rsidRDefault="008C234A" w:rsidP="55F69212">
      <w:pPr>
        <w:spacing w:after="0" w:line="276" w:lineRule="auto"/>
        <w:jc w:val="both"/>
        <w:rPr>
          <w:rFonts w:ascii="Arial" w:eastAsia="Times New Roman" w:hAnsi="Arial" w:cs="Arial"/>
          <w:i/>
          <w:iCs/>
          <w:color w:val="FF0000"/>
          <w:kern w:val="0"/>
          <w:sz w:val="22"/>
          <w:szCs w:val="22"/>
          <w:lang w:eastAsia="en-GB"/>
          <w14:ligatures w14:val="none"/>
        </w:rPr>
      </w:pPr>
    </w:p>
    <w:p w14:paraId="7D67E271"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2A5CC800" w14:textId="0CBCDD12" w:rsidR="00683C17" w:rsidRPr="00E179B8" w:rsidRDefault="0034607F" w:rsidP="00E179B8">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B4036B" w:rsidRPr="003E74F7" w14:paraId="4F41A14A" w14:textId="77777777" w:rsidTr="008F7D98">
        <w:trPr>
          <w:trHeight w:hRule="exact" w:val="20"/>
        </w:trPr>
        <w:tc>
          <w:tcPr>
            <w:tcW w:w="8921" w:type="dxa"/>
            <w:tcBorders>
              <w:bottom w:val="single" w:sz="6" w:space="0" w:color="auto"/>
            </w:tcBorders>
            <w:vAlign w:val="center"/>
            <w:hideMark/>
          </w:tcPr>
          <w:p w14:paraId="4471727B" w14:textId="77777777" w:rsidR="00B4036B" w:rsidRPr="00D6500C" w:rsidRDefault="00B4036B" w:rsidP="00B4036B">
            <w:pPr>
              <w:spacing w:after="0"/>
              <w:rPr>
                <w:rFonts w:ascii="Arial" w:hAnsi="Arial" w:cs="Arial"/>
                <w:sz w:val="22"/>
                <w:szCs w:val="22"/>
              </w:rPr>
            </w:pPr>
            <w:bookmarkStart w:id="0" w:name="_bc9eaa23_7b84_4e11_8860_67eb8bbe0c9e"/>
          </w:p>
        </w:tc>
      </w:tr>
      <w:tr w:rsidR="00B4036B" w:rsidRPr="003E74F7" w14:paraId="3D43B3CF" w14:textId="77777777" w:rsidTr="008F7D98">
        <w:tc>
          <w:tcPr>
            <w:tcW w:w="8921" w:type="dxa"/>
            <w:tcBorders>
              <w:left w:val="single" w:sz="12" w:space="0" w:color="auto"/>
              <w:bottom w:val="single" w:sz="12" w:space="0" w:color="auto"/>
              <w:right w:val="single" w:sz="12" w:space="0" w:color="auto"/>
            </w:tcBorders>
            <w:vAlign w:val="center"/>
          </w:tcPr>
          <w:p w14:paraId="4D7C8694" w14:textId="77777777" w:rsidR="00B4036B" w:rsidRPr="00B001EA" w:rsidRDefault="00B4036B" w:rsidP="00B4036B">
            <w:pPr>
              <w:spacing w:after="0"/>
              <w:rPr>
                <w:rFonts w:ascii="Arial" w:hAnsi="Arial" w:cs="Arial"/>
                <w:sz w:val="22"/>
                <w:szCs w:val="22"/>
              </w:rPr>
            </w:pPr>
            <w:r w:rsidRPr="00B001EA">
              <w:rPr>
                <w:rFonts w:ascii="Arial" w:hAnsi="Arial" w:cs="Arial"/>
                <w:sz w:val="22"/>
                <w:szCs w:val="22"/>
              </w:rPr>
              <w:t>N/91/01797/LBC - Listed building consent Decision - Approved Date: 30/10/1991 – DEMOLITION OF PORCH/NEW PORCH AND ACCESS</w:t>
            </w:r>
          </w:p>
        </w:tc>
      </w:tr>
      <w:tr w:rsidR="00B4036B" w:rsidRPr="003E74F7" w14:paraId="4C78BE62" w14:textId="77777777" w:rsidTr="008F7D98">
        <w:tc>
          <w:tcPr>
            <w:tcW w:w="8921" w:type="dxa"/>
            <w:tcBorders>
              <w:left w:val="single" w:sz="12" w:space="0" w:color="auto"/>
              <w:bottom w:val="single" w:sz="12" w:space="0" w:color="auto"/>
              <w:right w:val="single" w:sz="12" w:space="0" w:color="auto"/>
            </w:tcBorders>
            <w:vAlign w:val="center"/>
          </w:tcPr>
          <w:p w14:paraId="11FA5AC4" w14:textId="77777777" w:rsidR="00B4036B" w:rsidRPr="00B001EA" w:rsidRDefault="00B4036B" w:rsidP="00B4036B">
            <w:pPr>
              <w:spacing w:after="0"/>
              <w:rPr>
                <w:rFonts w:ascii="Arial" w:hAnsi="Arial" w:cs="Arial"/>
                <w:sz w:val="22"/>
                <w:szCs w:val="22"/>
              </w:rPr>
            </w:pPr>
            <w:r w:rsidRPr="00B001EA">
              <w:rPr>
                <w:rFonts w:ascii="Arial" w:hAnsi="Arial" w:cs="Arial"/>
                <w:sz w:val="22"/>
                <w:szCs w:val="22"/>
              </w:rPr>
              <w:t>N/99/02438/LBC - Listed building consent Decision - Unknown Date: 12/1/2000 – STRIP AND RETILE STONE ROOF</w:t>
            </w:r>
          </w:p>
        </w:tc>
      </w:tr>
      <w:tr w:rsidR="00B4036B" w:rsidRPr="003E74F7" w14:paraId="7E92B0AC" w14:textId="77777777" w:rsidTr="008F7D98">
        <w:tc>
          <w:tcPr>
            <w:tcW w:w="8921" w:type="dxa"/>
            <w:tcBorders>
              <w:left w:val="single" w:sz="12" w:space="0" w:color="auto"/>
              <w:bottom w:val="single" w:sz="12" w:space="0" w:color="auto"/>
              <w:right w:val="single" w:sz="12" w:space="0" w:color="auto"/>
            </w:tcBorders>
            <w:vAlign w:val="center"/>
          </w:tcPr>
          <w:p w14:paraId="4F2CA3BF" w14:textId="77777777" w:rsidR="00B4036B" w:rsidRPr="00B001EA" w:rsidRDefault="00B4036B" w:rsidP="00B4036B">
            <w:pPr>
              <w:spacing w:after="0"/>
              <w:rPr>
                <w:rFonts w:ascii="Arial" w:hAnsi="Arial" w:cs="Arial"/>
                <w:sz w:val="22"/>
                <w:szCs w:val="22"/>
              </w:rPr>
            </w:pPr>
            <w:r w:rsidRPr="00B001EA">
              <w:rPr>
                <w:rFonts w:ascii="Arial" w:hAnsi="Arial" w:cs="Arial"/>
                <w:sz w:val="22"/>
                <w:szCs w:val="22"/>
              </w:rPr>
              <w:t>N/05/01297/LBC - Listed building consent Decision - Approve with Conditions Date: 26/7/2005 – Repaint Window Frames in White</w:t>
            </w:r>
          </w:p>
        </w:tc>
      </w:tr>
      <w:tr w:rsidR="00B4036B" w:rsidRPr="003E74F7" w14:paraId="360837C2" w14:textId="77777777" w:rsidTr="008F7D98">
        <w:tc>
          <w:tcPr>
            <w:tcW w:w="8921" w:type="dxa"/>
            <w:tcBorders>
              <w:left w:val="single" w:sz="12" w:space="0" w:color="auto"/>
              <w:bottom w:val="single" w:sz="12" w:space="0" w:color="auto"/>
              <w:right w:val="single" w:sz="12" w:space="0" w:color="auto"/>
            </w:tcBorders>
            <w:vAlign w:val="center"/>
          </w:tcPr>
          <w:p w14:paraId="5C90B1F7" w14:textId="77777777" w:rsidR="00B4036B" w:rsidRPr="00B001EA" w:rsidRDefault="00B4036B" w:rsidP="00B4036B">
            <w:pPr>
              <w:spacing w:after="0"/>
              <w:rPr>
                <w:rFonts w:ascii="Arial" w:hAnsi="Arial" w:cs="Arial"/>
                <w:sz w:val="22"/>
                <w:szCs w:val="22"/>
              </w:rPr>
            </w:pPr>
            <w:r w:rsidRPr="00B001EA">
              <w:rPr>
                <w:rFonts w:ascii="Arial" w:hAnsi="Arial" w:cs="Arial"/>
                <w:sz w:val="22"/>
                <w:szCs w:val="22"/>
              </w:rPr>
              <w:t>N/09/00295/FUL - Full planning permission Decision - Approve with Conditions Date: 18/8/2009 – External Alterations and Extension to Roof of Attached Outbuildings</w:t>
            </w:r>
          </w:p>
        </w:tc>
      </w:tr>
      <w:tr w:rsidR="00B4036B" w:rsidRPr="003E74F7" w14:paraId="37029044" w14:textId="77777777" w:rsidTr="008F7D98">
        <w:tc>
          <w:tcPr>
            <w:tcW w:w="8921" w:type="dxa"/>
            <w:tcBorders>
              <w:left w:val="single" w:sz="12" w:space="0" w:color="auto"/>
              <w:bottom w:val="single" w:sz="12" w:space="0" w:color="auto"/>
              <w:right w:val="single" w:sz="12" w:space="0" w:color="auto"/>
            </w:tcBorders>
            <w:vAlign w:val="center"/>
          </w:tcPr>
          <w:p w14:paraId="744FDDF2" w14:textId="77777777" w:rsidR="00B4036B" w:rsidRPr="00B001EA" w:rsidRDefault="00B4036B" w:rsidP="00B4036B">
            <w:pPr>
              <w:spacing w:after="0"/>
              <w:rPr>
                <w:rFonts w:ascii="Arial" w:hAnsi="Arial" w:cs="Arial"/>
                <w:sz w:val="22"/>
                <w:szCs w:val="22"/>
              </w:rPr>
            </w:pPr>
            <w:r w:rsidRPr="00B001EA">
              <w:rPr>
                <w:rFonts w:ascii="Arial" w:hAnsi="Arial" w:cs="Arial"/>
                <w:sz w:val="22"/>
                <w:szCs w:val="22"/>
              </w:rPr>
              <w:t>N/09/00296/LBC - Listed building consent Decision - Approve with Conditions Date: 18/8/2009 – Internal &amp; External Alterations and Extension to Roof of Attached Outbuildings</w:t>
            </w:r>
          </w:p>
        </w:tc>
      </w:tr>
      <w:tr w:rsidR="00B4036B" w:rsidRPr="003E74F7" w14:paraId="501EF991" w14:textId="77777777" w:rsidTr="008F7D98">
        <w:tc>
          <w:tcPr>
            <w:tcW w:w="8921" w:type="dxa"/>
            <w:tcBorders>
              <w:left w:val="single" w:sz="12" w:space="0" w:color="auto"/>
              <w:bottom w:val="single" w:sz="12" w:space="0" w:color="auto"/>
              <w:right w:val="single" w:sz="12" w:space="0" w:color="auto"/>
            </w:tcBorders>
            <w:vAlign w:val="center"/>
          </w:tcPr>
          <w:p w14:paraId="1A267338" w14:textId="77777777" w:rsidR="00B4036B" w:rsidRPr="00B001EA" w:rsidRDefault="00B4036B" w:rsidP="00B4036B">
            <w:pPr>
              <w:spacing w:after="0"/>
              <w:rPr>
                <w:rFonts w:ascii="Arial" w:hAnsi="Arial" w:cs="Arial"/>
                <w:sz w:val="22"/>
                <w:szCs w:val="22"/>
              </w:rPr>
            </w:pPr>
            <w:r w:rsidRPr="00B001EA">
              <w:rPr>
                <w:rFonts w:ascii="Arial" w:hAnsi="Arial" w:cs="Arial"/>
                <w:sz w:val="22"/>
                <w:szCs w:val="22"/>
              </w:rPr>
              <w:t>PL/2022/08915 - Householder planning permission Decision - Approve with Conditions Date: 7/6/2023 – Alterations to an existing ground floor extension of a listed building to form self-contained accommodation</w:t>
            </w:r>
          </w:p>
        </w:tc>
      </w:tr>
      <w:tr w:rsidR="00B4036B" w:rsidRPr="003E74F7" w14:paraId="297234BA" w14:textId="77777777" w:rsidTr="008F7D98">
        <w:tc>
          <w:tcPr>
            <w:tcW w:w="8921" w:type="dxa"/>
            <w:tcBorders>
              <w:left w:val="single" w:sz="12" w:space="0" w:color="auto"/>
              <w:bottom w:val="single" w:sz="12" w:space="0" w:color="auto"/>
              <w:right w:val="single" w:sz="12" w:space="0" w:color="auto"/>
            </w:tcBorders>
            <w:vAlign w:val="center"/>
          </w:tcPr>
          <w:p w14:paraId="4F5921CA" w14:textId="77777777" w:rsidR="00B4036B" w:rsidRPr="00B001EA" w:rsidRDefault="00B4036B" w:rsidP="00B4036B">
            <w:pPr>
              <w:spacing w:after="0"/>
              <w:rPr>
                <w:rFonts w:ascii="Arial" w:hAnsi="Arial" w:cs="Arial"/>
                <w:sz w:val="22"/>
                <w:szCs w:val="22"/>
              </w:rPr>
            </w:pPr>
            <w:r w:rsidRPr="00B001EA">
              <w:rPr>
                <w:rFonts w:ascii="Arial" w:hAnsi="Arial" w:cs="Arial"/>
                <w:sz w:val="22"/>
                <w:szCs w:val="22"/>
              </w:rPr>
              <w:t>PL/2022/09076 - Listed building consent (Alt/Ext) Decision - Approve with Conditions Date: 7/6/2023 – Alterations to an existing ground floor extension of a listed building to form self-contained accommodation</w:t>
            </w:r>
          </w:p>
        </w:tc>
      </w:tr>
      <w:tr w:rsidR="00B4036B" w:rsidRPr="003E74F7" w14:paraId="3C0A4C10" w14:textId="77777777" w:rsidTr="008F7D98">
        <w:tc>
          <w:tcPr>
            <w:tcW w:w="8921" w:type="dxa"/>
            <w:tcBorders>
              <w:top w:val="single" w:sz="12" w:space="0" w:color="auto"/>
            </w:tcBorders>
            <w:vAlign w:val="center"/>
            <w:hideMark/>
          </w:tcPr>
          <w:p w14:paraId="2B176855" w14:textId="77777777" w:rsidR="00B4036B" w:rsidRPr="003E74F7" w:rsidRDefault="00B4036B" w:rsidP="00B4036B">
            <w:pPr>
              <w:spacing w:after="0"/>
              <w:rPr>
                <w:rFonts w:cs="Arial"/>
                <w:szCs w:val="22"/>
              </w:rPr>
            </w:pPr>
          </w:p>
        </w:tc>
      </w:tr>
      <w:tr w:rsidR="00B4036B" w:rsidRPr="003E74F7" w14:paraId="22B1C492" w14:textId="77777777" w:rsidTr="008F7D98">
        <w:tc>
          <w:tcPr>
            <w:tcW w:w="8921" w:type="dxa"/>
            <w:vAlign w:val="center"/>
            <w:hideMark/>
          </w:tcPr>
          <w:p w14:paraId="7214CAB7" w14:textId="77777777" w:rsidR="00B4036B" w:rsidRPr="003E74F7" w:rsidRDefault="00B4036B" w:rsidP="00B4036B">
            <w:pPr>
              <w:spacing w:after="0"/>
              <w:rPr>
                <w:rFonts w:cs="Arial"/>
                <w:szCs w:val="22"/>
              </w:rPr>
            </w:pPr>
          </w:p>
        </w:tc>
      </w:tr>
      <w:bookmarkEnd w:id="0"/>
    </w:tbl>
    <w:p w14:paraId="3E1DB1A5" w14:textId="77777777" w:rsidR="00B4036B" w:rsidRDefault="00B4036B" w:rsidP="00683C17">
      <w:pPr>
        <w:spacing w:after="0" w:line="276" w:lineRule="auto"/>
        <w:jc w:val="both"/>
        <w:rPr>
          <w:rFonts w:ascii="Arial" w:eastAsia="Times New Roman" w:hAnsi="Arial" w:cs="Arial"/>
          <w:b/>
          <w:bCs/>
          <w:kern w:val="0"/>
          <w:sz w:val="22"/>
          <w:szCs w:val="22"/>
          <w:lang w:eastAsia="en-GB"/>
          <w14:ligatures w14:val="none"/>
        </w:rPr>
      </w:pPr>
    </w:p>
    <w:p w14:paraId="1434E1C2" w14:textId="77777777" w:rsidR="00B4036B" w:rsidRDefault="00B4036B" w:rsidP="00683C17">
      <w:pPr>
        <w:spacing w:after="0" w:line="276" w:lineRule="auto"/>
        <w:jc w:val="both"/>
        <w:rPr>
          <w:rFonts w:ascii="Arial" w:eastAsia="Times New Roman" w:hAnsi="Arial" w:cs="Arial"/>
          <w:b/>
          <w:bCs/>
          <w:kern w:val="0"/>
          <w:sz w:val="22"/>
          <w:szCs w:val="22"/>
          <w:lang w:eastAsia="en-GB"/>
          <w14:ligatures w14:val="none"/>
        </w:rPr>
      </w:pPr>
    </w:p>
    <w:p w14:paraId="4BC588A5" w14:textId="2CE9A462"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7418127B" w14:textId="77777777" w:rsidR="00AB6CA9" w:rsidRPr="00AB6CA9" w:rsidRDefault="0029205E"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5A89F224" w14:textId="77777777" w:rsidR="006B23D0" w:rsidRPr="006B23D0" w:rsidRDefault="006B23D0"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791B39D9"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248733D1"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lastRenderedPageBreak/>
        <w:t xml:space="preserve">Section 72(1) of the Planning (Listed Building and Conservation Areas) Act 1990 also requires the Council to pay special attention to the desirability of preserving or enhancing the character or appearance of designated Conservation Areas. </w:t>
      </w:r>
    </w:p>
    <w:p w14:paraId="71DBA7AC" w14:textId="77777777" w:rsid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25AD043D" w14:textId="77777777" w:rsidR="00104865" w:rsidRPr="00387A45" w:rsidRDefault="0010486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12BC6E05" w14:textId="77777777" w:rsidR="0029205E" w:rsidRPr="00496BFD" w:rsidRDefault="0029205E" w:rsidP="008253FE">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61D56518" w14:textId="77777777" w:rsidR="005C27FD" w:rsidRDefault="00507FCF" w:rsidP="008253FE">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w:t>
      </w:r>
      <w:r w:rsidR="005C27FD">
        <w:rPr>
          <w:rFonts w:ascii="Arial" w:hAnsi="Arial" w:cs="Arial"/>
          <w:sz w:val="22"/>
          <w:szCs w:val="22"/>
        </w:rPr>
        <w:t xml:space="preserve"> August 2026</w:t>
      </w:r>
      <w:r w:rsidRPr="00507FCF">
        <w:rPr>
          <w:rFonts w:ascii="Arial" w:hAnsi="Arial" w:cs="Arial"/>
          <w:sz w:val="22"/>
          <w:szCs w:val="22"/>
        </w:rPr>
        <w:t xml:space="preserve"> sets out government policy, including in respect of the historic environment.</w:t>
      </w:r>
      <w:r w:rsidR="005C27FD">
        <w:rPr>
          <w:rFonts w:ascii="Arial" w:hAnsi="Arial" w:cs="Arial"/>
          <w:sz w:val="22"/>
          <w:szCs w:val="22"/>
        </w:rPr>
        <w:t xml:space="preserve"> </w:t>
      </w:r>
    </w:p>
    <w:p w14:paraId="52943B29" w14:textId="77777777" w:rsidR="005C27FD" w:rsidRDefault="005C27FD" w:rsidP="008253FE">
      <w:pPr>
        <w:autoSpaceDE w:val="0"/>
        <w:autoSpaceDN w:val="0"/>
        <w:spacing w:after="0" w:line="276" w:lineRule="auto"/>
        <w:jc w:val="both"/>
        <w:rPr>
          <w:rFonts w:ascii="Arial" w:hAnsi="Arial" w:cs="Arial"/>
          <w:sz w:val="22"/>
          <w:szCs w:val="22"/>
        </w:rPr>
      </w:pPr>
    </w:p>
    <w:p w14:paraId="1BAE6DE3" w14:textId="77777777" w:rsidR="005C27FD" w:rsidRDefault="005C27FD" w:rsidP="008253FE">
      <w:pPr>
        <w:autoSpaceDE w:val="0"/>
        <w:autoSpaceDN w:val="0"/>
        <w:spacing w:after="0" w:line="276" w:lineRule="auto"/>
        <w:jc w:val="both"/>
        <w:rPr>
          <w:rFonts w:ascii="Arial" w:hAnsi="Arial" w:cs="Arial"/>
          <w:sz w:val="22"/>
          <w:szCs w:val="22"/>
        </w:rPr>
      </w:pPr>
      <w:r w:rsidRPr="005C27FD">
        <w:rPr>
          <w:rFonts w:ascii="Arial" w:hAnsi="Arial" w:cs="Arial"/>
          <w:sz w:val="22"/>
          <w:szCs w:val="22"/>
        </w:rPr>
        <w:t>Chapter 20</w:t>
      </w:r>
      <w:r>
        <w:rPr>
          <w:rFonts w:ascii="Arial" w:hAnsi="Arial" w:cs="Arial"/>
          <w:sz w:val="22"/>
          <w:szCs w:val="22"/>
        </w:rPr>
        <w:t xml:space="preserve"> -</w:t>
      </w:r>
      <w:r w:rsidRPr="005C27FD">
        <w:rPr>
          <w:rFonts w:ascii="Arial" w:hAnsi="Arial" w:cs="Arial"/>
          <w:sz w:val="22"/>
          <w:szCs w:val="22"/>
        </w:rPr>
        <w:t xml:space="preserve"> </w:t>
      </w:r>
      <w:r w:rsidRPr="005C27FD">
        <w:rPr>
          <w:rFonts w:ascii="Arial" w:hAnsi="Arial" w:cs="Arial"/>
          <w:i/>
          <w:iCs/>
          <w:sz w:val="22"/>
          <w:szCs w:val="22"/>
        </w:rPr>
        <w:t>Conserving and enhancing the historic environment</w:t>
      </w:r>
      <w:r w:rsidRPr="005C27FD">
        <w:rPr>
          <w:rFonts w:ascii="Arial" w:hAnsi="Arial" w:cs="Arial"/>
          <w:sz w:val="22"/>
          <w:szCs w:val="22"/>
        </w:rPr>
        <w:t>, recognises heritage assets as an irreplaceable resource. Heritage assets should be conserved in a manner appropriate to their significance, with harm avoided unless there is a clear and convincing justification. Decision-makers are required to apply a balanced approach, giving substantial weight to the conservation of heritage assets and weighing any harm to significance against the public benefits of the proposal.</w:t>
      </w:r>
    </w:p>
    <w:p w14:paraId="0DBA56B7" w14:textId="77777777" w:rsidR="005C27FD" w:rsidRPr="005C27FD" w:rsidRDefault="005C27FD" w:rsidP="008253FE">
      <w:pPr>
        <w:autoSpaceDE w:val="0"/>
        <w:autoSpaceDN w:val="0"/>
        <w:spacing w:after="0" w:line="276" w:lineRule="auto"/>
        <w:jc w:val="both"/>
        <w:rPr>
          <w:rFonts w:ascii="Arial" w:hAnsi="Arial" w:cs="Arial"/>
          <w:sz w:val="22"/>
          <w:szCs w:val="22"/>
        </w:rPr>
      </w:pPr>
    </w:p>
    <w:p w14:paraId="409D5544" w14:textId="77777777" w:rsidR="005C27FD" w:rsidRDefault="005C27FD" w:rsidP="008253FE">
      <w:pPr>
        <w:autoSpaceDE w:val="0"/>
        <w:autoSpaceDN w:val="0"/>
        <w:adjustRightInd w:val="0"/>
        <w:spacing w:after="0" w:line="276" w:lineRule="auto"/>
        <w:jc w:val="both"/>
        <w:rPr>
          <w:rFonts w:ascii="Arial" w:hAnsi="Arial" w:cs="Arial"/>
          <w:sz w:val="22"/>
          <w:szCs w:val="22"/>
        </w:rPr>
      </w:pPr>
      <w:r w:rsidRPr="005C27FD">
        <w:rPr>
          <w:rFonts w:ascii="Arial" w:hAnsi="Arial" w:cs="Arial"/>
          <w:sz w:val="22"/>
          <w:szCs w:val="22"/>
        </w:rPr>
        <w:t xml:space="preserve">Chapter 5 of the NPPF sets out policies for </w:t>
      </w:r>
      <w:r w:rsidRPr="005C27FD">
        <w:rPr>
          <w:rFonts w:ascii="Arial" w:hAnsi="Arial" w:cs="Arial"/>
          <w:i/>
          <w:iCs/>
          <w:sz w:val="22"/>
          <w:szCs w:val="22"/>
        </w:rPr>
        <w:t>Meeting the challenge of climate change</w:t>
      </w:r>
      <w:r w:rsidRPr="005C27FD">
        <w:rPr>
          <w:rFonts w:ascii="Arial" w:hAnsi="Arial" w:cs="Arial"/>
          <w:sz w:val="22"/>
          <w:szCs w:val="22"/>
        </w:rPr>
        <w:t xml:space="preserve"> and gives substantial weight to the benefits of improving the energy efficiency of existing buildings and/or drawing energy from district heat networks, renewable and low carbon sources (including through the installation of heat pumps and solar panels where these do not already benefit from permitted development rights). </w:t>
      </w:r>
    </w:p>
    <w:p w14:paraId="55B801B1" w14:textId="77777777" w:rsidR="00FF5E88" w:rsidRPr="005C27FD" w:rsidRDefault="00FF5E88" w:rsidP="008253FE">
      <w:pPr>
        <w:autoSpaceDE w:val="0"/>
        <w:autoSpaceDN w:val="0"/>
        <w:adjustRightInd w:val="0"/>
        <w:spacing w:after="0" w:line="276" w:lineRule="auto"/>
        <w:jc w:val="both"/>
        <w:rPr>
          <w:rFonts w:ascii="Arial" w:hAnsi="Arial" w:cs="Arial"/>
          <w:sz w:val="22"/>
          <w:szCs w:val="22"/>
        </w:rPr>
      </w:pPr>
    </w:p>
    <w:p w14:paraId="6EDCE0AD" w14:textId="77777777" w:rsidR="00507FCF" w:rsidRPr="00507FCF" w:rsidRDefault="00507FCF" w:rsidP="008253FE">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2AA437EC" w14:textId="77777777" w:rsidR="00507FCF" w:rsidRPr="00507FCF" w:rsidRDefault="00507FCF" w:rsidP="008253FE">
      <w:pPr>
        <w:spacing w:after="0" w:line="276" w:lineRule="auto"/>
        <w:jc w:val="both"/>
        <w:rPr>
          <w:rFonts w:ascii="Arial" w:hAnsi="Arial" w:cs="Arial"/>
          <w:sz w:val="22"/>
          <w:szCs w:val="22"/>
          <w:lang w:eastAsia="en-GB"/>
        </w:rPr>
      </w:pPr>
    </w:p>
    <w:p w14:paraId="790221F0" w14:textId="77777777" w:rsidR="005C27FD" w:rsidRPr="00B6310E" w:rsidRDefault="005C27FD" w:rsidP="008253FE">
      <w:pPr>
        <w:pStyle w:val="Letterbody"/>
        <w:spacing w:line="276" w:lineRule="auto"/>
        <w:rPr>
          <w:rFonts w:cs="Arial"/>
          <w:bCs/>
          <w:sz w:val="22"/>
          <w:szCs w:val="22"/>
        </w:rPr>
      </w:pPr>
      <w:r w:rsidRPr="00B6310E">
        <w:rPr>
          <w:rFonts w:cs="Arial"/>
          <w:bCs/>
          <w:sz w:val="22"/>
          <w:szCs w:val="22"/>
        </w:rPr>
        <w:t xml:space="preserve">Historic England’s </w:t>
      </w:r>
      <w:r w:rsidRPr="005C27FD">
        <w:rPr>
          <w:rFonts w:cs="Arial"/>
          <w:bCs/>
          <w:i/>
          <w:iCs/>
          <w:sz w:val="22"/>
          <w:szCs w:val="22"/>
        </w:rPr>
        <w:t>Conservation Principles, Policies and Guidance</w:t>
      </w:r>
      <w:r>
        <w:rPr>
          <w:rFonts w:cs="Arial"/>
          <w:bCs/>
          <w:sz w:val="22"/>
          <w:szCs w:val="22"/>
        </w:rPr>
        <w:t xml:space="preserve"> (2008)</w:t>
      </w:r>
      <w:r w:rsidRPr="00B6310E">
        <w:rPr>
          <w:rFonts w:cs="Arial"/>
          <w:bCs/>
          <w:sz w:val="22"/>
          <w:szCs w:val="22"/>
        </w:rPr>
        <w:t xml:space="preserve"> provides policy and guidance for the “sustainable management of the historic environment”. Additional guidance on </w:t>
      </w:r>
      <w:r w:rsidRPr="00B6310E">
        <w:rPr>
          <w:rFonts w:cs="Arial"/>
          <w:sz w:val="22"/>
          <w:szCs w:val="22"/>
        </w:rPr>
        <w:t xml:space="preserve">the application of policies set out in the NPPF </w:t>
      </w:r>
      <w:r w:rsidRPr="00B6310E">
        <w:rPr>
          <w:rFonts w:cs="Arial"/>
          <w:bCs/>
          <w:sz w:val="22"/>
          <w:szCs w:val="22"/>
        </w:rPr>
        <w:t>is contained within their publications:  </w:t>
      </w:r>
    </w:p>
    <w:p w14:paraId="61DCDFC8" w14:textId="77777777" w:rsidR="005C27FD" w:rsidRPr="00B6310E" w:rsidRDefault="005C27FD" w:rsidP="008253FE">
      <w:pPr>
        <w:pStyle w:val="Letterbody"/>
        <w:numPr>
          <w:ilvl w:val="0"/>
          <w:numId w:val="24"/>
        </w:numPr>
        <w:spacing w:line="276" w:lineRule="auto"/>
        <w:rPr>
          <w:rFonts w:cs="Arial"/>
          <w:bCs/>
          <w:sz w:val="22"/>
          <w:szCs w:val="22"/>
        </w:rPr>
      </w:pPr>
      <w:r w:rsidRPr="00B6310E">
        <w:rPr>
          <w:rFonts w:cs="Arial"/>
          <w:bCs/>
          <w:sz w:val="22"/>
          <w:szCs w:val="22"/>
        </w:rPr>
        <w:t xml:space="preserve">Historic Environment </w:t>
      </w:r>
      <w:r w:rsidRPr="005C27FD">
        <w:rPr>
          <w:rFonts w:cs="Arial"/>
          <w:bCs/>
          <w:i/>
          <w:iCs/>
          <w:sz w:val="22"/>
          <w:szCs w:val="22"/>
        </w:rPr>
        <w:t>Good Practice Planning Advice Note 2 – Managing Significance in Decision-Taking in the Historic Environment</w:t>
      </w:r>
      <w:r w:rsidRPr="00B6310E">
        <w:rPr>
          <w:rFonts w:cs="Arial"/>
          <w:bCs/>
          <w:sz w:val="22"/>
          <w:szCs w:val="22"/>
        </w:rPr>
        <w:t xml:space="preserve"> (2015)</w:t>
      </w:r>
    </w:p>
    <w:p w14:paraId="7181F590" w14:textId="77777777" w:rsidR="005C27FD" w:rsidRDefault="005C27FD" w:rsidP="008253FE">
      <w:pPr>
        <w:pStyle w:val="Letterbody"/>
        <w:numPr>
          <w:ilvl w:val="0"/>
          <w:numId w:val="24"/>
        </w:numPr>
        <w:spacing w:line="276" w:lineRule="auto"/>
        <w:rPr>
          <w:rFonts w:cs="Arial"/>
          <w:bCs/>
          <w:sz w:val="22"/>
          <w:szCs w:val="22"/>
        </w:rPr>
      </w:pPr>
      <w:r w:rsidRPr="00B6310E">
        <w:rPr>
          <w:rFonts w:cs="Arial"/>
          <w:bCs/>
          <w:sz w:val="22"/>
          <w:szCs w:val="22"/>
        </w:rPr>
        <w:t xml:space="preserve">Historic Environment </w:t>
      </w:r>
      <w:r w:rsidRPr="005C27FD">
        <w:rPr>
          <w:rFonts w:cs="Arial"/>
          <w:bCs/>
          <w:i/>
          <w:iCs/>
          <w:sz w:val="22"/>
          <w:szCs w:val="22"/>
        </w:rPr>
        <w:t>Good Practice Planning Advice Note 3 – The Setting of Heritage Assets 2nd edition</w:t>
      </w:r>
      <w:r>
        <w:rPr>
          <w:rFonts w:cs="Arial"/>
          <w:bCs/>
          <w:sz w:val="22"/>
          <w:szCs w:val="22"/>
        </w:rPr>
        <w:t xml:space="preserve"> (2017)</w:t>
      </w:r>
      <w:r w:rsidRPr="00B6310E">
        <w:rPr>
          <w:rFonts w:cs="Arial"/>
          <w:bCs/>
          <w:sz w:val="22"/>
          <w:szCs w:val="22"/>
        </w:rPr>
        <w:t> </w:t>
      </w:r>
    </w:p>
    <w:p w14:paraId="21B68376" w14:textId="77777777" w:rsidR="005C27FD" w:rsidRPr="00B6310E" w:rsidRDefault="005C27FD" w:rsidP="008253FE">
      <w:pPr>
        <w:pStyle w:val="Letterbody"/>
        <w:numPr>
          <w:ilvl w:val="0"/>
          <w:numId w:val="24"/>
        </w:numPr>
        <w:spacing w:line="276" w:lineRule="auto"/>
        <w:rPr>
          <w:rFonts w:cs="Arial"/>
          <w:b/>
          <w:sz w:val="22"/>
          <w:szCs w:val="22"/>
        </w:rPr>
      </w:pPr>
      <w:r w:rsidRPr="00B6310E">
        <w:rPr>
          <w:rFonts w:cs="Arial"/>
          <w:sz w:val="22"/>
          <w:szCs w:val="22"/>
        </w:rPr>
        <w:t xml:space="preserve">Historic England </w:t>
      </w:r>
      <w:r w:rsidRPr="005C27FD">
        <w:rPr>
          <w:rFonts w:cs="Arial"/>
          <w:i/>
          <w:iCs/>
          <w:sz w:val="22"/>
          <w:szCs w:val="22"/>
        </w:rPr>
        <w:t>Advice Note 2 – Making changes to Heritage Assets</w:t>
      </w:r>
      <w:r w:rsidRPr="00B6310E">
        <w:rPr>
          <w:rFonts w:cs="Arial"/>
          <w:sz w:val="22"/>
          <w:szCs w:val="22"/>
        </w:rPr>
        <w:t xml:space="preserve"> </w:t>
      </w:r>
      <w:r>
        <w:rPr>
          <w:rFonts w:cs="Arial"/>
          <w:sz w:val="22"/>
          <w:szCs w:val="22"/>
        </w:rPr>
        <w:t>(2025)</w:t>
      </w:r>
    </w:p>
    <w:p w14:paraId="71DDF9F1" w14:textId="77777777" w:rsidR="005C27FD" w:rsidRPr="008A2646" w:rsidRDefault="005C27FD" w:rsidP="008253FE">
      <w:pPr>
        <w:pStyle w:val="Letterbody"/>
        <w:numPr>
          <w:ilvl w:val="0"/>
          <w:numId w:val="24"/>
        </w:numPr>
        <w:spacing w:line="276" w:lineRule="auto"/>
        <w:rPr>
          <w:rFonts w:cs="Arial"/>
          <w:b/>
          <w:sz w:val="22"/>
          <w:szCs w:val="22"/>
        </w:rPr>
      </w:pPr>
      <w:r w:rsidRPr="00B128F9">
        <w:rPr>
          <w:rFonts w:cs="Arial"/>
          <w:sz w:val="22"/>
          <w:szCs w:val="22"/>
        </w:rPr>
        <w:t xml:space="preserve">Historic England Advice Note </w:t>
      </w:r>
      <w:r>
        <w:rPr>
          <w:rFonts w:cs="Arial"/>
          <w:sz w:val="22"/>
          <w:szCs w:val="22"/>
        </w:rPr>
        <w:t xml:space="preserve">18 – </w:t>
      </w:r>
      <w:r w:rsidRPr="005C27FD">
        <w:rPr>
          <w:rFonts w:cs="Arial"/>
          <w:i/>
          <w:iCs/>
          <w:sz w:val="22"/>
          <w:szCs w:val="22"/>
        </w:rPr>
        <w:t>Adapting Historic Buildings for Energy and Carbon Efficiency</w:t>
      </w:r>
      <w:r>
        <w:rPr>
          <w:rFonts w:cs="Arial"/>
          <w:sz w:val="22"/>
          <w:szCs w:val="22"/>
        </w:rPr>
        <w:t xml:space="preserve"> (2026)</w:t>
      </w:r>
    </w:p>
    <w:p w14:paraId="6BCA759B" w14:textId="77777777" w:rsidR="005C27FD" w:rsidRPr="00B128F9" w:rsidRDefault="005C27FD" w:rsidP="008253FE">
      <w:pPr>
        <w:pStyle w:val="Letterbody"/>
        <w:numPr>
          <w:ilvl w:val="0"/>
          <w:numId w:val="24"/>
        </w:numPr>
        <w:spacing w:line="276" w:lineRule="auto"/>
        <w:rPr>
          <w:rFonts w:cs="Arial"/>
          <w:b/>
          <w:sz w:val="22"/>
          <w:szCs w:val="22"/>
        </w:rPr>
      </w:pPr>
      <w:r w:rsidRPr="005C27FD">
        <w:rPr>
          <w:rFonts w:cs="Arial"/>
          <w:i/>
          <w:iCs/>
          <w:sz w:val="22"/>
          <w:szCs w:val="22"/>
        </w:rPr>
        <w:t>Traditional Windows: their care, repair and upgrading</w:t>
      </w:r>
      <w:r>
        <w:rPr>
          <w:rFonts w:cs="Arial"/>
          <w:sz w:val="22"/>
          <w:szCs w:val="22"/>
        </w:rPr>
        <w:t xml:space="preserve"> (2017)</w:t>
      </w:r>
    </w:p>
    <w:p w14:paraId="510E9A3E" w14:textId="77777777" w:rsidR="005C27FD" w:rsidRDefault="005C27FD" w:rsidP="008253FE">
      <w:pPr>
        <w:autoSpaceDE w:val="0"/>
        <w:autoSpaceDN w:val="0"/>
        <w:adjustRightInd w:val="0"/>
        <w:spacing w:after="0" w:line="276" w:lineRule="auto"/>
        <w:jc w:val="both"/>
        <w:rPr>
          <w:rFonts w:cs="Arial"/>
          <w:sz w:val="22"/>
          <w:szCs w:val="22"/>
        </w:rPr>
      </w:pPr>
    </w:p>
    <w:p w14:paraId="38401BC2" w14:textId="25EAAE00" w:rsidR="00507FCF" w:rsidRDefault="00507FCF" w:rsidP="008253FE">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 xml:space="preserve">Historic England’s publication ‘Traditional Windows – Their Care, Repair and Upgrading (2017)’ </w:t>
      </w:r>
      <w:r w:rsidRPr="00507FCF">
        <w:rPr>
          <w:rFonts w:ascii="Arial" w:hAnsi="Arial" w:cs="Arial"/>
          <w:sz w:val="22"/>
          <w:szCs w:val="22"/>
          <w:lang w:eastAsia="en-GB"/>
        </w:rPr>
        <w:t>encourages the retention of windows that contribute to the significance of listed buildings but sets also out their approach to the alteration/replacement of windows where this is acceptable in principle:</w:t>
      </w:r>
    </w:p>
    <w:p w14:paraId="0E75B626" w14:textId="77777777" w:rsidR="00CB7792" w:rsidRPr="00507FCF" w:rsidRDefault="00CB7792" w:rsidP="00507FCF">
      <w:pPr>
        <w:spacing w:after="0" w:line="276" w:lineRule="auto"/>
        <w:jc w:val="both"/>
        <w:rPr>
          <w:rFonts w:ascii="Arial" w:hAnsi="Arial" w:cs="Arial"/>
          <w:sz w:val="22"/>
          <w:szCs w:val="22"/>
          <w:lang w:eastAsia="en-GB"/>
        </w:rPr>
      </w:pPr>
    </w:p>
    <w:p w14:paraId="54D98D05"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whether original or later insertions, make a positive contribution to the significance of a listed building they should be retained and repaired where possible. If beyond repair they should be replaced with accurate copies.</w:t>
      </w:r>
    </w:p>
    <w:p w14:paraId="3903E204"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have already been replaced with windows whose design follows historic patterns, these usually make a positive contribution to the significance of listed buildings. When they do, they should therefore be retained and repaired where possible. If beyond repair they should be replaced with accurate copies.</w:t>
      </w:r>
    </w:p>
    <w:p w14:paraId="65028E30"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lastRenderedPageBreak/>
        <w:t>Where historic windows or replacement windows of historic pattern survive without historic glass it may be possible to introduce slim-profile double-glazing without harming the significance of the listed building. There are compatibility issues to consider as the introduction of double-glazing can require the renewal of the window frame to accommodate thicker glazing, thereby harming significance. These issues are covered in Section 4 of this guidance.</w:t>
      </w:r>
    </w:p>
    <w:p w14:paraId="2E15C65E"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have been replaced with ones whose design does not follow historic patterns, these are unlikely to contribute to the significance of listed buildings. Replacing such windows with new windows of a sympathetic historic pattern, whether single-glazed or incorporating slim-profile double-glazing, may cause no additional harm. It also provides an opportunity to enhance the significance of the building, which is the desired outcome under national policy.</w:t>
      </w:r>
    </w:p>
    <w:p w14:paraId="1467D274"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a new window or re-glazing is agreed, the reflective properties of secondary and</w:t>
      </w:r>
      <w:r w:rsidR="00CB7792">
        <w:rPr>
          <w:rFonts w:ascii="Arial" w:hAnsi="Arial" w:cs="Arial"/>
          <w:sz w:val="22"/>
          <w:szCs w:val="22"/>
          <w:lang w:eastAsia="en-GB"/>
        </w:rPr>
        <w:t xml:space="preserve"> </w:t>
      </w:r>
      <w:r w:rsidRPr="00CB7792">
        <w:rPr>
          <w:rFonts w:ascii="Arial" w:hAnsi="Arial" w:cs="Arial"/>
          <w:sz w:val="22"/>
          <w:szCs w:val="22"/>
          <w:lang w:eastAsia="en-GB"/>
        </w:rPr>
        <w:t>double-glazing as compared to modern, polished single-glazing, do not usually harm the significance of the building. But when new multi-paned windows are proposed, the desirability of reproducing broken reflections by individually glazing each pane should be considered. Where the aesthetic value of the building is high, then the impact on the whole of the relevant elevation should be considered, including the desirability of accurately matching other windows.</w:t>
      </w:r>
    </w:p>
    <w:p w14:paraId="6E01587F" w14:textId="77777777" w:rsidR="00507FCF" w:rsidRPr="00507FCF" w:rsidRDefault="00507FCF" w:rsidP="00507FCF">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44ACEE5B"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3940FA64"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0CD2A64C" w14:textId="77777777" w:rsidR="00384CE5" w:rsidRPr="00C84F43" w:rsidRDefault="00384CE5" w:rsidP="00465B83">
      <w:pPr>
        <w:spacing w:after="0" w:line="276" w:lineRule="auto"/>
        <w:jc w:val="both"/>
        <w:rPr>
          <w:rFonts w:ascii="Arial" w:hAnsi="Arial" w:cs="Arial"/>
          <w:iCs/>
          <w:sz w:val="22"/>
          <w:szCs w:val="22"/>
        </w:rPr>
      </w:pPr>
    </w:p>
    <w:p w14:paraId="08426E88" w14:textId="30238534"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w:t>
      </w:r>
      <w:r w:rsidR="00B4678A" w:rsidRPr="00FC44D1">
        <w:rPr>
          <w:rFonts w:ascii="Arial" w:hAnsi="Arial" w:cs="Arial"/>
          <w:bCs/>
          <w:iCs/>
          <w:sz w:val="22"/>
          <w:szCs w:val="22"/>
        </w:rPr>
        <w:t>high-quality</w:t>
      </w:r>
      <w:r w:rsidR="00465B83" w:rsidRPr="00FC44D1">
        <w:rPr>
          <w:rFonts w:ascii="Arial" w:hAnsi="Arial" w:cs="Arial"/>
          <w:bCs/>
          <w:iCs/>
          <w:sz w:val="22"/>
          <w:szCs w:val="22"/>
        </w:rPr>
        <w:t xml:space="preserve">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7796FE5E" w14:textId="77777777" w:rsidR="00465B83" w:rsidRPr="00465B83" w:rsidRDefault="00465B83" w:rsidP="00FC44D1">
      <w:pPr>
        <w:spacing w:after="0" w:line="276" w:lineRule="auto"/>
        <w:jc w:val="both"/>
        <w:rPr>
          <w:rFonts w:ascii="Arial" w:hAnsi="Arial" w:cs="Arial"/>
          <w:iCs/>
          <w:sz w:val="22"/>
          <w:szCs w:val="22"/>
        </w:rPr>
      </w:pPr>
    </w:p>
    <w:p w14:paraId="76A9475E"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5723DEA7"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20A1EA59" w14:textId="5B0167BB" w:rsidR="0062089F" w:rsidRPr="006F1BDD" w:rsidRDefault="00F7609E" w:rsidP="00CD3444">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7EA814F2"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11388619"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1AAA6762" w14:textId="09B5A425"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164CDEB7" w14:textId="616E5905" w:rsidR="00D902FA" w:rsidRPr="003859AE" w:rsidRDefault="0084774B" w:rsidP="00D902FA">
      <w:pPr>
        <w:spacing w:after="0" w:line="276" w:lineRule="auto"/>
        <w:jc w:val="both"/>
        <w:rPr>
          <w:rFonts w:ascii="Arial" w:eastAsia="Times New Roman" w:hAnsi="Arial" w:cs="Arial"/>
          <w:color w:val="000000" w:themeColor="text1"/>
          <w:kern w:val="0"/>
          <w:sz w:val="22"/>
          <w:szCs w:val="22"/>
          <w:lang w:eastAsia="en-GB"/>
          <w14:ligatures w14:val="none"/>
        </w:rPr>
      </w:pPr>
      <w:r w:rsidRPr="003859AE">
        <w:rPr>
          <w:rFonts w:ascii="Arial" w:eastAsia="Times New Roman" w:hAnsi="Arial" w:cs="Arial"/>
          <w:color w:val="000000" w:themeColor="text1"/>
          <w:kern w:val="0"/>
          <w:sz w:val="22"/>
          <w:szCs w:val="22"/>
          <w:lang w:eastAsia="en-GB"/>
          <w14:ligatures w14:val="none"/>
        </w:rPr>
        <w:t xml:space="preserve">Corsham Town Council: no objection, subject to approval of Wiltshire Council’s Conservation Officer. </w:t>
      </w:r>
    </w:p>
    <w:p w14:paraId="3E683401" w14:textId="77777777" w:rsidR="0084774B" w:rsidRPr="003859AE" w:rsidRDefault="0084774B" w:rsidP="00D902FA">
      <w:pPr>
        <w:spacing w:after="0" w:line="276" w:lineRule="auto"/>
        <w:jc w:val="both"/>
        <w:rPr>
          <w:rFonts w:ascii="Arial" w:eastAsia="Times New Roman" w:hAnsi="Arial" w:cs="Arial"/>
          <w:color w:val="000000" w:themeColor="text1"/>
          <w:kern w:val="0"/>
          <w:sz w:val="22"/>
          <w:szCs w:val="22"/>
          <w:lang w:eastAsia="en-GB"/>
          <w14:ligatures w14:val="none"/>
        </w:rPr>
      </w:pPr>
    </w:p>
    <w:p w14:paraId="183322DB" w14:textId="152C8A6A" w:rsidR="0084774B" w:rsidRDefault="0084774B" w:rsidP="00D902FA">
      <w:pPr>
        <w:spacing w:after="0" w:line="276" w:lineRule="auto"/>
        <w:jc w:val="both"/>
        <w:rPr>
          <w:rFonts w:ascii="Arial" w:eastAsia="Times New Roman" w:hAnsi="Arial" w:cs="Arial"/>
          <w:color w:val="000000" w:themeColor="text1"/>
          <w:kern w:val="0"/>
          <w:sz w:val="22"/>
          <w:szCs w:val="22"/>
          <w:lang w:eastAsia="en-GB"/>
          <w14:ligatures w14:val="none"/>
        </w:rPr>
      </w:pPr>
      <w:r w:rsidRPr="003859AE">
        <w:rPr>
          <w:rFonts w:ascii="Arial" w:eastAsia="Times New Roman" w:hAnsi="Arial" w:cs="Arial"/>
          <w:color w:val="000000" w:themeColor="text1"/>
          <w:kern w:val="0"/>
          <w:sz w:val="22"/>
          <w:szCs w:val="22"/>
          <w:lang w:eastAsia="en-GB"/>
          <w14:ligatures w14:val="none"/>
        </w:rPr>
        <w:t xml:space="preserve">It should be noted that whilst the Conservation Officer did not consult, he </w:t>
      </w:r>
      <w:r w:rsidR="003859AE" w:rsidRPr="003859AE">
        <w:rPr>
          <w:rFonts w:ascii="Arial" w:eastAsia="Times New Roman" w:hAnsi="Arial" w:cs="Arial"/>
          <w:color w:val="000000" w:themeColor="text1"/>
          <w:kern w:val="0"/>
          <w:sz w:val="22"/>
          <w:szCs w:val="22"/>
          <w:lang w:eastAsia="en-GB"/>
          <w14:ligatures w14:val="none"/>
        </w:rPr>
        <w:t xml:space="preserve">authorised this report and decision. </w:t>
      </w:r>
    </w:p>
    <w:p w14:paraId="1E08CA3B" w14:textId="77777777" w:rsidR="00D902FA" w:rsidRDefault="00D902FA" w:rsidP="00D902FA">
      <w:pPr>
        <w:spacing w:after="0" w:line="276" w:lineRule="auto"/>
        <w:jc w:val="both"/>
        <w:rPr>
          <w:rFonts w:ascii="Arial" w:eastAsia="Times New Roman" w:hAnsi="Arial" w:cs="Arial"/>
          <w:color w:val="000000" w:themeColor="text1"/>
          <w:kern w:val="0"/>
          <w:sz w:val="22"/>
          <w:szCs w:val="22"/>
          <w:lang w:eastAsia="en-GB"/>
          <w14:ligatures w14:val="none"/>
        </w:rPr>
      </w:pPr>
    </w:p>
    <w:p w14:paraId="72D25707" w14:textId="77777777" w:rsidR="00F15C75" w:rsidRDefault="00F15C75" w:rsidP="00D902FA">
      <w:pPr>
        <w:spacing w:after="0" w:line="276" w:lineRule="auto"/>
        <w:jc w:val="both"/>
        <w:rPr>
          <w:rFonts w:ascii="Arial" w:eastAsia="Times New Roman" w:hAnsi="Arial" w:cs="Arial"/>
          <w:color w:val="000000" w:themeColor="text1"/>
          <w:kern w:val="0"/>
          <w:sz w:val="22"/>
          <w:szCs w:val="22"/>
          <w:lang w:eastAsia="en-GB"/>
          <w14:ligatures w14:val="none"/>
        </w:rPr>
      </w:pPr>
    </w:p>
    <w:p w14:paraId="5F675C64" w14:textId="77777777" w:rsidR="00F15C75" w:rsidRDefault="00F15C75" w:rsidP="00D902FA">
      <w:pPr>
        <w:spacing w:after="0" w:line="276" w:lineRule="auto"/>
        <w:jc w:val="both"/>
        <w:rPr>
          <w:rFonts w:ascii="Arial" w:eastAsia="Times New Roman" w:hAnsi="Arial" w:cs="Arial"/>
          <w:color w:val="000000" w:themeColor="text1"/>
          <w:kern w:val="0"/>
          <w:sz w:val="22"/>
          <w:szCs w:val="22"/>
          <w:lang w:eastAsia="en-GB"/>
          <w14:ligatures w14:val="none"/>
        </w:rPr>
      </w:pPr>
    </w:p>
    <w:p w14:paraId="733D83D0" w14:textId="77777777" w:rsidR="00F15C75" w:rsidRDefault="00F15C75" w:rsidP="00D902FA">
      <w:pPr>
        <w:spacing w:after="0" w:line="276" w:lineRule="auto"/>
        <w:jc w:val="both"/>
        <w:rPr>
          <w:rFonts w:ascii="Arial" w:eastAsia="Times New Roman" w:hAnsi="Arial" w:cs="Arial"/>
          <w:color w:val="000000" w:themeColor="text1"/>
          <w:kern w:val="0"/>
          <w:sz w:val="22"/>
          <w:szCs w:val="22"/>
          <w:lang w:eastAsia="en-GB"/>
          <w14:ligatures w14:val="none"/>
        </w:rPr>
      </w:pPr>
    </w:p>
    <w:p w14:paraId="299AD689" w14:textId="77777777" w:rsidR="00F15C75" w:rsidRDefault="00F15C75" w:rsidP="00D902FA">
      <w:pPr>
        <w:spacing w:after="0" w:line="276" w:lineRule="auto"/>
        <w:jc w:val="both"/>
        <w:rPr>
          <w:rFonts w:ascii="Arial" w:eastAsia="Times New Roman" w:hAnsi="Arial" w:cs="Arial"/>
          <w:b/>
          <w:bCs/>
          <w:color w:val="FF0000"/>
          <w:kern w:val="0"/>
          <w:sz w:val="22"/>
          <w:szCs w:val="22"/>
          <w:lang w:eastAsia="en-GB"/>
          <w14:ligatures w14:val="none"/>
        </w:rPr>
      </w:pPr>
    </w:p>
    <w:p w14:paraId="7708D665" w14:textId="6E53ED47" w:rsidR="00B030C6" w:rsidRPr="00475AA8" w:rsidRDefault="00F7609E" w:rsidP="00E03DF5">
      <w:pPr>
        <w:spacing w:after="0" w:line="276" w:lineRule="auto"/>
        <w:jc w:val="both"/>
        <w:rPr>
          <w:rFonts w:ascii="Arial" w:eastAsia="Arial" w:hAnsi="Arial" w:cs="Arial"/>
          <w:color w:val="ED0000"/>
          <w:sz w:val="22"/>
          <w:szCs w:val="22"/>
        </w:rPr>
      </w:pPr>
      <w:r w:rsidRPr="00F7609E">
        <w:rPr>
          <w:rFonts w:ascii="Arial" w:eastAsia="Times New Roman" w:hAnsi="Arial" w:cs="Arial"/>
          <w:b/>
          <w:bCs/>
          <w:kern w:val="0"/>
          <w:sz w:val="22"/>
          <w:szCs w:val="22"/>
          <w:lang w:eastAsia="en-GB"/>
          <w14:ligatures w14:val="none"/>
        </w:rPr>
        <w:lastRenderedPageBreak/>
        <w:t>REPRESENTATIONS</w:t>
      </w:r>
    </w:p>
    <w:p w14:paraId="2915DD39"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46D4A95A" w14:textId="77777777" w:rsidR="00E03DF5" w:rsidRPr="00E03DF5" w:rsidRDefault="00E03DF5" w:rsidP="00E03DF5">
      <w:pPr>
        <w:spacing w:after="0" w:line="276" w:lineRule="auto"/>
        <w:jc w:val="both"/>
        <w:rPr>
          <w:rFonts w:ascii="Arial" w:eastAsia="Arial" w:hAnsi="Arial" w:cs="Arial"/>
          <w:sz w:val="22"/>
          <w:szCs w:val="22"/>
        </w:rPr>
      </w:pPr>
    </w:p>
    <w:p w14:paraId="6771ACC5"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0EFE01EC"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419C73FB" w14:textId="77777777" w:rsidR="00E03DF5" w:rsidRDefault="00E03DF5" w:rsidP="00E03DF5">
      <w:pPr>
        <w:spacing w:after="0" w:line="276" w:lineRule="auto"/>
        <w:jc w:val="both"/>
        <w:rPr>
          <w:rFonts w:ascii="Arial" w:eastAsia="Arial" w:hAnsi="Arial" w:cs="Arial"/>
          <w:sz w:val="22"/>
          <w:szCs w:val="22"/>
        </w:rPr>
      </w:pPr>
    </w:p>
    <w:p w14:paraId="2A1A3555"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4A7CCCDA" w14:textId="77777777" w:rsidR="00D902FA" w:rsidRDefault="00D902FA" w:rsidP="77C81A16">
      <w:pPr>
        <w:spacing w:after="0" w:line="276" w:lineRule="auto"/>
        <w:jc w:val="both"/>
      </w:pPr>
    </w:p>
    <w:p w14:paraId="30CBB245" w14:textId="77777777" w:rsidR="00475AA8" w:rsidRDefault="00513E22" w:rsidP="00D902FA">
      <w:pPr>
        <w:spacing w:after="0" w:line="276" w:lineRule="auto"/>
        <w:jc w:val="both"/>
        <w:rPr>
          <w:rFonts w:ascii="Arial" w:eastAsia="Arial" w:hAnsi="Arial" w:cs="Arial"/>
          <w:sz w:val="22"/>
          <w:szCs w:val="22"/>
        </w:rPr>
      </w:pPr>
      <w:r w:rsidRPr="00513E22">
        <w:rPr>
          <w:rFonts w:ascii="Arial" w:eastAsia="Arial" w:hAnsi="Arial" w:cs="Arial"/>
          <w:sz w:val="22"/>
          <w:szCs w:val="22"/>
        </w:rPr>
        <w:t xml:space="preserve">Below is a summary of the representations received during the consultation period. In accordance with the provisions of the </w:t>
      </w:r>
      <w:r w:rsidRPr="00513E22">
        <w:rPr>
          <w:rFonts w:ascii="Arial" w:eastAsia="Arial" w:hAnsi="Arial" w:cs="Arial"/>
          <w:i/>
          <w:iCs/>
          <w:sz w:val="22"/>
          <w:szCs w:val="22"/>
        </w:rPr>
        <w:t>Planning (Listed Buildings and Conservation Areas) Act 1990</w:t>
      </w:r>
      <w:r w:rsidRPr="00513E22">
        <w:rPr>
          <w:rFonts w:ascii="Arial" w:eastAsia="Arial" w:hAnsi="Arial" w:cs="Arial"/>
          <w:sz w:val="22"/>
          <w:szCs w:val="22"/>
        </w:rPr>
        <w:t>, only matters relevant to the consideration of the building’s special architectural or historic interest have been taken into account in the assessment of this Listed Building Consent application.</w:t>
      </w:r>
    </w:p>
    <w:p w14:paraId="1182CA33"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6193C4CB"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7CF17769" w14:textId="77777777" w:rsidR="0007377C"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ASSESSMENT</w:t>
      </w:r>
    </w:p>
    <w:p w14:paraId="567EE4EA" w14:textId="77777777" w:rsidR="00044293" w:rsidRPr="008253FE" w:rsidRDefault="00044293"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w:t>
      </w:r>
      <w:r w:rsidR="005C27FD" w:rsidRPr="008253FE">
        <w:rPr>
          <w:rFonts w:ascii="Arial" w:eastAsia="Times New Roman" w:hAnsi="Arial" w:cs="Arial"/>
          <w:color w:val="000000" w:themeColor="text1"/>
          <w:kern w:val="0"/>
          <w:sz w:val="22"/>
          <w:szCs w:val="22"/>
          <w:lang w:eastAsia="en-GB"/>
          <w14:ligatures w14:val="none"/>
        </w:rPr>
        <w:t>20</w:t>
      </w:r>
      <w:r w:rsidRPr="008253FE">
        <w:rPr>
          <w:rFonts w:ascii="Arial" w:eastAsia="Times New Roman" w:hAnsi="Arial" w:cs="Arial"/>
          <w:color w:val="000000" w:themeColor="text1"/>
          <w:kern w:val="0"/>
          <w:sz w:val="22"/>
          <w:szCs w:val="22"/>
          <w:lang w:eastAsia="en-GB"/>
          <w14:ligatures w14:val="none"/>
        </w:rPr>
        <w:t xml:space="preserve">: </w:t>
      </w:r>
      <w:r w:rsidRPr="008253FE">
        <w:rPr>
          <w:rFonts w:ascii="Arial" w:eastAsia="Times New Roman" w:hAnsi="Arial" w:cs="Arial"/>
          <w:i/>
          <w:iCs/>
          <w:color w:val="000000" w:themeColor="text1"/>
          <w:kern w:val="0"/>
          <w:sz w:val="22"/>
          <w:szCs w:val="22"/>
          <w:lang w:eastAsia="en-GB"/>
          <w14:ligatures w14:val="none"/>
        </w:rPr>
        <w:t>Conserving and Enhancing the Historic Environment</w:t>
      </w:r>
      <w:r w:rsidRPr="008253FE">
        <w:rPr>
          <w:rFonts w:ascii="Arial" w:eastAsia="Times New Roman" w:hAnsi="Arial" w:cs="Arial"/>
          <w:color w:val="000000" w:themeColor="text1"/>
          <w:kern w:val="0"/>
          <w:sz w:val="22"/>
          <w:szCs w:val="22"/>
          <w:lang w:eastAsia="en-GB"/>
          <w14:ligatures w14:val="none"/>
        </w:rPr>
        <w:t>, have also been taken into account. These policies require that any harm to the significance of a designated heritage asset must be clearly justified and weighed against the public benefits of the proposal.</w:t>
      </w:r>
    </w:p>
    <w:p w14:paraId="5D20C2E4" w14:textId="77777777" w:rsidR="0007377C" w:rsidRPr="008253FE" w:rsidRDefault="0007377C" w:rsidP="008253FE">
      <w:pPr>
        <w:spacing w:after="0" w:line="276" w:lineRule="auto"/>
        <w:jc w:val="both"/>
        <w:rPr>
          <w:rFonts w:ascii="Arial" w:eastAsia="Times New Roman" w:hAnsi="Arial" w:cs="Arial"/>
          <w:b/>
          <w:bCs/>
          <w:color w:val="FF0000"/>
          <w:kern w:val="0"/>
          <w:sz w:val="22"/>
          <w:szCs w:val="22"/>
          <w:lang w:eastAsia="en-GB"/>
          <w14:ligatures w14:val="none"/>
        </w:rPr>
      </w:pPr>
    </w:p>
    <w:p w14:paraId="4CE19585" w14:textId="77777777" w:rsidR="00A96182" w:rsidRPr="008253FE" w:rsidRDefault="00A96182" w:rsidP="008253FE">
      <w:pPr>
        <w:spacing w:after="0" w:line="276" w:lineRule="auto"/>
        <w:jc w:val="both"/>
        <w:rPr>
          <w:rFonts w:ascii="Arial" w:eastAsia="Times New Roman" w:hAnsi="Arial" w:cs="Arial"/>
          <w:kern w:val="0"/>
          <w:sz w:val="22"/>
          <w:szCs w:val="22"/>
          <w:lang w:eastAsia="en-GB"/>
          <w14:ligatures w14:val="none"/>
        </w:rPr>
      </w:pPr>
      <w:r w:rsidRPr="008253FE">
        <w:rPr>
          <w:rFonts w:ascii="Arial" w:eastAsia="Times New Roman" w:hAnsi="Arial" w:cs="Arial"/>
          <w:color w:val="000000"/>
          <w:kern w:val="0"/>
          <w:sz w:val="22"/>
          <w:szCs w:val="22"/>
          <w:lang w:eastAsia="en-GB"/>
          <w14:ligatures w14:val="none"/>
        </w:rPr>
        <w:t>In order to be acceptable, the application needs to be assessed against the following criteria:</w:t>
      </w:r>
    </w:p>
    <w:p w14:paraId="0531F05A" w14:textId="77777777" w:rsidR="00E25A94" w:rsidRPr="008253FE" w:rsidRDefault="00E25A94"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67DE68C9" w14:textId="77777777" w:rsidR="00E25A94" w:rsidRPr="008253FE" w:rsidRDefault="00E25A94" w:rsidP="008253FE">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Information considered/submitted</w:t>
      </w:r>
    </w:p>
    <w:p w14:paraId="5A66DAC8" w14:textId="77777777" w:rsidR="00E25A94" w:rsidRDefault="009C0005" w:rsidP="008253FE">
      <w:pPr>
        <w:autoSpaceDE w:val="0"/>
        <w:autoSpaceDN w:val="0"/>
        <w:adjustRightInd w:val="0"/>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Policy HE5 of the NPPF requires applicants to assess the significance of any heritage assets affected by a proposal, including the contribution made by their setting, and to identify the likely effects of the development on that significance. Sufficient information should be provided to enable a clear understanding of the significance of the heritage asset and its setting, and the impact of the proposal upon it.</w:t>
      </w:r>
    </w:p>
    <w:p w14:paraId="2E3CF570" w14:textId="77777777" w:rsidR="00837533" w:rsidRPr="008253FE" w:rsidRDefault="00837533" w:rsidP="008253FE">
      <w:pPr>
        <w:autoSpaceDE w:val="0"/>
        <w:autoSpaceDN w:val="0"/>
        <w:adjustRightInd w:val="0"/>
        <w:spacing w:after="0" w:line="276" w:lineRule="auto"/>
        <w:jc w:val="both"/>
        <w:rPr>
          <w:rFonts w:ascii="Arial" w:eastAsia="Times New Roman" w:hAnsi="Arial" w:cs="Arial"/>
          <w:b/>
          <w:bCs/>
          <w:color w:val="FF0000"/>
          <w:kern w:val="0"/>
          <w:sz w:val="22"/>
          <w:szCs w:val="22"/>
          <w:lang w:eastAsia="en-GB"/>
          <w14:ligatures w14:val="none"/>
        </w:rPr>
      </w:pPr>
    </w:p>
    <w:p w14:paraId="418A1EFB" w14:textId="42297E88" w:rsidR="003A549D" w:rsidRPr="00E179B8" w:rsidRDefault="00870CF4" w:rsidP="003A549D">
      <w:pPr>
        <w:spacing w:after="0" w:line="276" w:lineRule="auto"/>
        <w:ind w:right="-23"/>
        <w:jc w:val="both"/>
        <w:rPr>
          <w:rFonts w:ascii="Arial" w:eastAsia="Times New Roman" w:hAnsi="Arial" w:cs="Arial"/>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Decision-makers must be satisfied that assessments accurately reflect the effects on heritage assets caused by development proposals.</w:t>
      </w:r>
      <w:r w:rsidR="00F43E0B" w:rsidRPr="008253FE">
        <w:rPr>
          <w:rFonts w:ascii="Arial" w:eastAsia="Times New Roman" w:hAnsi="Arial" w:cs="Arial"/>
          <w:color w:val="000000" w:themeColor="text1"/>
          <w:kern w:val="0"/>
          <w:sz w:val="22"/>
          <w:szCs w:val="22"/>
          <w:lang w:eastAsia="en-GB"/>
          <w14:ligatures w14:val="none"/>
        </w:rPr>
        <w:t xml:space="preserve"> In this case</w:t>
      </w:r>
      <w:r w:rsidR="003A549D">
        <w:rPr>
          <w:rFonts w:ascii="Arial" w:eastAsia="Times New Roman" w:hAnsi="Arial" w:cs="Arial"/>
          <w:color w:val="000000" w:themeColor="text1"/>
          <w:kern w:val="0"/>
          <w:sz w:val="22"/>
          <w:szCs w:val="22"/>
          <w:lang w:eastAsia="en-GB"/>
          <w14:ligatures w14:val="none"/>
        </w:rPr>
        <w:t>, t</w:t>
      </w:r>
      <w:r w:rsidR="003A549D" w:rsidRPr="00E179B8">
        <w:rPr>
          <w:rFonts w:ascii="Arial" w:eastAsia="Times New Roman" w:hAnsi="Arial" w:cs="Arial"/>
          <w:kern w:val="0"/>
          <w:sz w:val="22"/>
          <w:szCs w:val="22"/>
          <w:lang w:eastAsia="en-GB"/>
          <w14:ligatures w14:val="none"/>
        </w:rPr>
        <w:t>he application is supported by a RIBA Stage 3 Planning Statement, which details the significance of t</w:t>
      </w:r>
      <w:r w:rsidR="003A549D">
        <w:rPr>
          <w:rFonts w:ascii="Arial" w:eastAsia="Times New Roman" w:hAnsi="Arial" w:cs="Arial"/>
          <w:kern w:val="0"/>
          <w:sz w:val="22"/>
          <w:szCs w:val="22"/>
          <w:lang w:eastAsia="en-GB"/>
          <w14:ligatures w14:val="none"/>
        </w:rPr>
        <w:t>he</w:t>
      </w:r>
      <w:r w:rsidR="003A549D" w:rsidRPr="00E179B8">
        <w:rPr>
          <w:rFonts w:ascii="Arial" w:eastAsia="Times New Roman" w:hAnsi="Arial" w:cs="Arial"/>
          <w:kern w:val="0"/>
          <w:sz w:val="22"/>
          <w:szCs w:val="22"/>
          <w:lang w:eastAsia="en-GB"/>
          <w14:ligatures w14:val="none"/>
        </w:rPr>
        <w:t xml:space="preserve"> dwelling, condition of the existing windows and reasons for replacement. </w:t>
      </w:r>
    </w:p>
    <w:p w14:paraId="3F18D000" w14:textId="77777777" w:rsidR="003A549D" w:rsidRPr="008253FE" w:rsidRDefault="003A549D" w:rsidP="008253FE">
      <w:pPr>
        <w:pStyle w:val="Letterbody"/>
        <w:spacing w:line="276" w:lineRule="auto"/>
        <w:rPr>
          <w:rFonts w:cs="Arial"/>
          <w:sz w:val="22"/>
          <w:szCs w:val="22"/>
        </w:rPr>
      </w:pPr>
    </w:p>
    <w:p w14:paraId="64B35BFA" w14:textId="77777777" w:rsidR="00F82572" w:rsidRPr="008253FE" w:rsidRDefault="00F82572" w:rsidP="008253FE">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Assessment of significance</w:t>
      </w:r>
      <w:r w:rsidRPr="008253FE">
        <w:rPr>
          <w:rFonts w:ascii="Arial" w:eastAsia="Times New Roman" w:hAnsi="Arial" w:cs="Arial"/>
          <w:color w:val="000000" w:themeColor="text1"/>
          <w:kern w:val="0"/>
          <w:sz w:val="22"/>
          <w:szCs w:val="22"/>
          <w:lang w:eastAsia="en-GB"/>
          <w14:ligatures w14:val="none"/>
        </w:rPr>
        <w:t>:</w:t>
      </w:r>
      <w:r w:rsidRPr="008253FE">
        <w:rPr>
          <w:rFonts w:ascii="Arial" w:eastAsia="Times New Roman" w:hAnsi="Arial" w:cs="Arial"/>
          <w:color w:val="000000" w:themeColor="text1"/>
          <w:kern w:val="0"/>
          <w:sz w:val="22"/>
          <w:szCs w:val="22"/>
          <w:u w:val="single"/>
          <w:lang w:eastAsia="en-GB"/>
          <w14:ligatures w14:val="none"/>
        </w:rPr>
        <w:t xml:space="preserve"> </w:t>
      </w:r>
    </w:p>
    <w:p w14:paraId="4FDC7E4E" w14:textId="77777777" w:rsidR="00047400" w:rsidRPr="008253FE" w:rsidRDefault="00047400" w:rsidP="008253FE">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8253FE">
        <w:rPr>
          <w:rFonts w:ascii="Arial" w:eastAsia="Times New Roman" w:hAnsi="Arial" w:cs="Arial"/>
          <w:i/>
          <w:iCs/>
          <w:color w:val="000000" w:themeColor="text1"/>
          <w:kern w:val="0"/>
          <w:sz w:val="22"/>
          <w:szCs w:val="22"/>
          <w:lang w:eastAsia="en-GB"/>
          <w14:ligatures w14:val="none"/>
        </w:rPr>
        <w:t xml:space="preserve"> </w:t>
      </w:r>
    </w:p>
    <w:p w14:paraId="58E6532C" w14:textId="77777777" w:rsidR="00047400" w:rsidRPr="008253FE" w:rsidRDefault="00047400" w:rsidP="008253FE">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17119AD9" w14:textId="77777777" w:rsidR="00047400" w:rsidRPr="008253FE" w:rsidRDefault="00F82572" w:rsidP="008253FE">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w:t>
      </w:r>
      <w:r w:rsidR="00047400" w:rsidRPr="008253FE">
        <w:rPr>
          <w:rFonts w:ascii="Arial" w:eastAsia="Times New Roman" w:hAnsi="Arial" w:cs="Arial"/>
          <w:i/>
          <w:iCs/>
          <w:color w:val="000000" w:themeColor="text1"/>
          <w:kern w:val="0"/>
          <w:sz w:val="22"/>
          <w:szCs w:val="22"/>
          <w:lang w:eastAsia="en-GB"/>
          <w14:ligatures w14:val="none"/>
        </w:rPr>
        <w:t xml:space="preserve">The </w:t>
      </w:r>
      <w:r w:rsidRPr="008253FE">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8253FE">
        <w:rPr>
          <w:rFonts w:ascii="Arial" w:eastAsia="Times New Roman" w:hAnsi="Arial" w:cs="Arial"/>
          <w:color w:val="000000" w:themeColor="text1"/>
          <w:kern w:val="0"/>
          <w:sz w:val="22"/>
          <w:szCs w:val="22"/>
          <w:lang w:eastAsia="en-GB"/>
          <w14:ligatures w14:val="none"/>
        </w:rPr>
        <w:t xml:space="preserve"> </w:t>
      </w:r>
    </w:p>
    <w:p w14:paraId="196E44D6" w14:textId="77777777" w:rsidR="00047400" w:rsidRPr="008253FE" w:rsidRDefault="000474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36537C97" w14:textId="77777777" w:rsidR="005E1B00" w:rsidRPr="008253FE" w:rsidRDefault="005E1B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lastRenderedPageBreak/>
        <w:t>Historic England further categorises significance into four key values:</w:t>
      </w:r>
    </w:p>
    <w:p w14:paraId="3BDF8532" w14:textId="77777777" w:rsidR="00047400" w:rsidRPr="008253FE" w:rsidRDefault="000474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905AEED"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 xml:space="preserve">Evidential </w:t>
      </w:r>
      <w:r w:rsidRPr="008253FE">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3A1472D2"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Historic</w:t>
      </w:r>
      <w:r w:rsidRPr="008253FE">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3D85A906"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Aesthetic</w:t>
      </w:r>
      <w:r w:rsidRPr="008253FE">
        <w:rPr>
          <w:rFonts w:ascii="Arial" w:eastAsia="Times New Roman" w:hAnsi="Arial" w:cs="Arial"/>
          <w:color w:val="000000" w:themeColor="text1"/>
          <w:kern w:val="0"/>
          <w:sz w:val="22"/>
          <w:szCs w:val="22"/>
          <w:lang w:eastAsia="en-GB"/>
          <w14:ligatures w14:val="none"/>
        </w:rPr>
        <w:t xml:space="preserve"> – the sensory and design qualities of the asset.</w:t>
      </w:r>
    </w:p>
    <w:p w14:paraId="4BB210A3"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Communal</w:t>
      </w:r>
      <w:r w:rsidRPr="008253FE">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093525AB" w14:textId="77777777" w:rsidR="00F82572" w:rsidRPr="008253FE" w:rsidRDefault="00F82572"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4AC21316" w14:textId="4F3112D9" w:rsidR="00B85E02" w:rsidRDefault="00E339FC" w:rsidP="00261437">
      <w:pPr>
        <w:spacing w:after="0" w:line="276" w:lineRule="auto"/>
        <w:ind w:right="-23"/>
        <w:jc w:val="both"/>
        <w:rPr>
          <w:rFonts w:ascii="Arial" w:hAnsi="Arial" w:cs="Arial"/>
          <w:sz w:val="22"/>
          <w:szCs w:val="22"/>
        </w:rPr>
      </w:pPr>
      <w:r w:rsidRPr="00261437">
        <w:rPr>
          <w:rFonts w:ascii="Arial" w:eastAsia="Times New Roman" w:hAnsi="Arial" w:cs="Arial"/>
          <w:color w:val="000000" w:themeColor="text1"/>
          <w:kern w:val="0"/>
          <w:sz w:val="22"/>
          <w:szCs w:val="22"/>
          <w:lang w:eastAsia="en-GB"/>
          <w14:ligatures w14:val="none"/>
        </w:rPr>
        <w:t>In this case the significance of the building lies largely wit</w:t>
      </w:r>
      <w:r w:rsidR="00B85E02" w:rsidRPr="00261437">
        <w:rPr>
          <w:rFonts w:ascii="Arial" w:eastAsia="Times New Roman" w:hAnsi="Arial" w:cs="Arial"/>
          <w:color w:val="000000" w:themeColor="text1"/>
          <w:kern w:val="0"/>
          <w:sz w:val="22"/>
          <w:szCs w:val="22"/>
          <w:lang w:eastAsia="en-GB"/>
          <w14:ligatures w14:val="none"/>
        </w:rPr>
        <w:t xml:space="preserve">h its </w:t>
      </w:r>
      <w:r w:rsidR="00261437" w:rsidRPr="00261437">
        <w:rPr>
          <w:rFonts w:ascii="Arial" w:eastAsia="Times New Roman" w:hAnsi="Arial" w:cs="Arial"/>
          <w:color w:val="000000" w:themeColor="text1"/>
          <w:kern w:val="0"/>
          <w:sz w:val="22"/>
          <w:szCs w:val="22"/>
          <w:lang w:eastAsia="en-GB"/>
          <w14:ligatures w14:val="none"/>
        </w:rPr>
        <w:t>age,</w:t>
      </w:r>
      <w:r w:rsidR="00261437" w:rsidRPr="00261437">
        <w:rPr>
          <w:rFonts w:ascii="Arial" w:hAnsi="Arial" w:cs="Arial"/>
          <w:sz w:val="22"/>
          <w:szCs w:val="22"/>
        </w:rPr>
        <w:t xml:space="preserve"> its</w:t>
      </w:r>
      <w:r w:rsidR="00B85E02" w:rsidRPr="00261437">
        <w:rPr>
          <w:rFonts w:ascii="Arial" w:hAnsi="Arial" w:cs="Arial"/>
          <w:sz w:val="22"/>
          <w:szCs w:val="22"/>
        </w:rPr>
        <w:t xml:space="preserve"> historic fabric and architecture - its form, layout and architectural expression/detailing and use of high-quality design materials which have significant aesthetic and architectural interest, and which contribute to the character of the </w:t>
      </w:r>
      <w:r w:rsidR="00015E10">
        <w:rPr>
          <w:rFonts w:ascii="Arial" w:hAnsi="Arial" w:cs="Arial"/>
          <w:sz w:val="22"/>
          <w:szCs w:val="22"/>
        </w:rPr>
        <w:t>C</w:t>
      </w:r>
      <w:r w:rsidR="00B85E02" w:rsidRPr="00261437">
        <w:rPr>
          <w:rFonts w:ascii="Arial" w:hAnsi="Arial" w:cs="Arial"/>
          <w:sz w:val="22"/>
          <w:szCs w:val="22"/>
        </w:rPr>
        <w:t xml:space="preserve">onservation </w:t>
      </w:r>
      <w:r w:rsidR="00015E10">
        <w:rPr>
          <w:rFonts w:ascii="Arial" w:hAnsi="Arial" w:cs="Arial"/>
          <w:sz w:val="22"/>
          <w:szCs w:val="22"/>
        </w:rPr>
        <w:t>A</w:t>
      </w:r>
      <w:r w:rsidR="00B85E02" w:rsidRPr="00261437">
        <w:rPr>
          <w:rFonts w:ascii="Arial" w:hAnsi="Arial" w:cs="Arial"/>
          <w:sz w:val="22"/>
          <w:szCs w:val="22"/>
        </w:rPr>
        <w:t>rea</w:t>
      </w:r>
      <w:r w:rsidR="00015E10">
        <w:rPr>
          <w:rFonts w:ascii="Arial" w:hAnsi="Arial" w:cs="Arial"/>
          <w:sz w:val="22"/>
          <w:szCs w:val="22"/>
        </w:rPr>
        <w:t>.</w:t>
      </w:r>
    </w:p>
    <w:p w14:paraId="14008308" w14:textId="77777777" w:rsidR="00015E10" w:rsidRDefault="00015E10" w:rsidP="00261437">
      <w:pPr>
        <w:spacing w:after="0" w:line="276" w:lineRule="auto"/>
        <w:ind w:right="-23"/>
        <w:jc w:val="both"/>
        <w:rPr>
          <w:rFonts w:ascii="Arial" w:hAnsi="Arial" w:cs="Arial"/>
          <w:sz w:val="22"/>
          <w:szCs w:val="22"/>
        </w:rPr>
      </w:pPr>
    </w:p>
    <w:p w14:paraId="70CFCD49" w14:textId="77777777" w:rsidR="00015E10" w:rsidRPr="00015E10" w:rsidRDefault="00015E10" w:rsidP="00015E10">
      <w:pPr>
        <w:spacing w:after="0" w:line="276" w:lineRule="auto"/>
        <w:jc w:val="both"/>
        <w:rPr>
          <w:rFonts w:ascii="Arial" w:eastAsia="Times New Roman" w:hAnsi="Arial" w:cs="Arial"/>
          <w:color w:val="000000" w:themeColor="text1"/>
          <w:kern w:val="0"/>
          <w:sz w:val="22"/>
          <w:szCs w:val="22"/>
          <w:lang w:eastAsia="en-GB"/>
          <w14:ligatures w14:val="none"/>
        </w:rPr>
      </w:pPr>
      <w:r w:rsidRPr="00015E10">
        <w:rPr>
          <w:rFonts w:ascii="Arial" w:eastAsia="Times New Roman" w:hAnsi="Arial" w:cs="Arial"/>
          <w:color w:val="000000" w:themeColor="text1"/>
          <w:kern w:val="0"/>
          <w:sz w:val="22"/>
          <w:szCs w:val="22"/>
          <w:lang w:eastAsia="en-GB"/>
          <w14:ligatures w14:val="none"/>
        </w:rPr>
        <w:t xml:space="preserve">The building, and this proposal has 9 mullioned windows, which are features of special architectural interest that contribute to its heritage significance. The  Historic England listing highlights 4 cyma-moulded windows with drip stones, two (GF and FF) on the SW elevation, and two on the SE (GF and FF) elevation, and the other 3-light and 2-light windows. </w:t>
      </w:r>
    </w:p>
    <w:p w14:paraId="794BDC38" w14:textId="77777777" w:rsidR="00A36A79" w:rsidRDefault="00A36A79"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7ECC5A2A" w14:textId="4AFA5FED" w:rsidR="008F48A5" w:rsidRPr="00015E10" w:rsidRDefault="008F48A5" w:rsidP="00A36A79">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In total, the windows to be replaced are:</w:t>
      </w:r>
    </w:p>
    <w:p w14:paraId="766BEFF2" w14:textId="54852134" w:rsidR="00A36A79" w:rsidRPr="003106F4" w:rsidRDefault="00A36A79" w:rsidP="00A36A79">
      <w:pPr>
        <w:spacing w:after="0" w:line="276" w:lineRule="auto"/>
        <w:jc w:val="both"/>
        <w:rPr>
          <w:rFonts w:ascii="Arial" w:eastAsia="Times New Roman" w:hAnsi="Arial" w:cs="Arial"/>
          <w:color w:val="000000" w:themeColor="text1"/>
          <w:kern w:val="0"/>
          <w:sz w:val="22"/>
          <w:szCs w:val="22"/>
          <w:lang w:eastAsia="en-GB"/>
          <w14:ligatures w14:val="none"/>
        </w:rPr>
      </w:pPr>
      <w:r w:rsidRPr="003106F4">
        <w:rPr>
          <w:rFonts w:ascii="Arial" w:eastAsia="Times New Roman" w:hAnsi="Arial" w:cs="Arial"/>
          <w:color w:val="000000" w:themeColor="text1"/>
          <w:kern w:val="0"/>
          <w:sz w:val="22"/>
          <w:szCs w:val="22"/>
          <w:lang w:eastAsia="en-GB"/>
          <w14:ligatures w14:val="none"/>
        </w:rPr>
        <w:t>6x SE</w:t>
      </w:r>
      <w:r w:rsidR="002B62AE" w:rsidRPr="003106F4">
        <w:rPr>
          <w:rFonts w:ascii="Arial" w:eastAsia="Times New Roman" w:hAnsi="Arial" w:cs="Arial"/>
          <w:color w:val="000000" w:themeColor="text1"/>
          <w:kern w:val="0"/>
          <w:sz w:val="22"/>
          <w:szCs w:val="22"/>
          <w:lang w:eastAsia="en-GB"/>
          <w14:ligatures w14:val="none"/>
        </w:rPr>
        <w:t xml:space="preserve"> elevation </w:t>
      </w:r>
      <w:r w:rsidR="003106F4" w:rsidRPr="003106F4">
        <w:rPr>
          <w:rFonts w:ascii="Arial" w:eastAsia="Times New Roman" w:hAnsi="Arial" w:cs="Arial"/>
          <w:color w:val="000000" w:themeColor="text1"/>
          <w:kern w:val="0"/>
          <w:sz w:val="22"/>
          <w:szCs w:val="22"/>
          <w:lang w:eastAsia="en-GB"/>
          <w14:ligatures w14:val="none"/>
        </w:rPr>
        <w:t>– various sizes</w:t>
      </w:r>
    </w:p>
    <w:p w14:paraId="25E10908" w14:textId="43ECD37D" w:rsidR="00A36A79" w:rsidRPr="003106F4" w:rsidRDefault="00A36A79" w:rsidP="00A36A79">
      <w:pPr>
        <w:spacing w:after="0" w:line="276" w:lineRule="auto"/>
        <w:jc w:val="both"/>
        <w:rPr>
          <w:rFonts w:ascii="Arial" w:eastAsia="Times New Roman" w:hAnsi="Arial" w:cs="Arial"/>
          <w:color w:val="000000" w:themeColor="text1"/>
          <w:kern w:val="0"/>
          <w:sz w:val="22"/>
          <w:szCs w:val="22"/>
          <w:lang w:eastAsia="en-GB"/>
          <w14:ligatures w14:val="none"/>
        </w:rPr>
      </w:pPr>
      <w:r w:rsidRPr="003106F4">
        <w:rPr>
          <w:rFonts w:ascii="Arial" w:eastAsia="Times New Roman" w:hAnsi="Arial" w:cs="Arial"/>
          <w:color w:val="000000" w:themeColor="text1"/>
          <w:kern w:val="0"/>
          <w:sz w:val="22"/>
          <w:szCs w:val="22"/>
          <w:lang w:eastAsia="en-GB"/>
          <w14:ligatures w14:val="none"/>
        </w:rPr>
        <w:t xml:space="preserve">2x SW – </w:t>
      </w:r>
      <w:r w:rsidR="003106F4" w:rsidRPr="003106F4">
        <w:rPr>
          <w:rFonts w:ascii="Arial" w:eastAsia="Times New Roman" w:hAnsi="Arial" w:cs="Arial"/>
          <w:color w:val="000000" w:themeColor="text1"/>
          <w:kern w:val="0"/>
          <w:sz w:val="22"/>
          <w:szCs w:val="22"/>
          <w:lang w:eastAsia="en-GB"/>
          <w14:ligatures w14:val="none"/>
        </w:rPr>
        <w:t xml:space="preserve">one on </w:t>
      </w:r>
      <w:r w:rsidRPr="003106F4">
        <w:rPr>
          <w:rFonts w:ascii="Arial" w:eastAsia="Times New Roman" w:hAnsi="Arial" w:cs="Arial"/>
          <w:color w:val="000000" w:themeColor="text1"/>
          <w:kern w:val="0"/>
          <w:sz w:val="22"/>
          <w:szCs w:val="22"/>
          <w:lang w:eastAsia="en-GB"/>
          <w14:ligatures w14:val="none"/>
        </w:rPr>
        <w:t xml:space="preserve">GF and FF </w:t>
      </w:r>
    </w:p>
    <w:p w14:paraId="452443F5" w14:textId="6BD8A9CD" w:rsidR="00A36A79" w:rsidRDefault="00A36A79" w:rsidP="00A36A79">
      <w:pPr>
        <w:spacing w:after="0" w:line="276" w:lineRule="auto"/>
        <w:jc w:val="both"/>
        <w:rPr>
          <w:rFonts w:ascii="Arial" w:eastAsia="Times New Roman" w:hAnsi="Arial" w:cs="Arial"/>
          <w:color w:val="000000" w:themeColor="text1"/>
          <w:kern w:val="0"/>
          <w:sz w:val="22"/>
          <w:szCs w:val="22"/>
          <w:lang w:eastAsia="en-GB"/>
          <w14:ligatures w14:val="none"/>
        </w:rPr>
      </w:pPr>
      <w:r w:rsidRPr="003106F4">
        <w:rPr>
          <w:rFonts w:ascii="Arial" w:eastAsia="Times New Roman" w:hAnsi="Arial" w:cs="Arial"/>
          <w:color w:val="000000" w:themeColor="text1"/>
          <w:kern w:val="0"/>
          <w:sz w:val="22"/>
          <w:szCs w:val="22"/>
          <w:lang w:eastAsia="en-GB"/>
          <w14:ligatures w14:val="none"/>
        </w:rPr>
        <w:t xml:space="preserve">1x NE </w:t>
      </w:r>
      <w:r w:rsidR="002B62AE" w:rsidRPr="003106F4">
        <w:rPr>
          <w:rFonts w:ascii="Arial" w:eastAsia="Times New Roman" w:hAnsi="Arial" w:cs="Arial"/>
          <w:color w:val="000000" w:themeColor="text1"/>
          <w:kern w:val="0"/>
          <w:sz w:val="22"/>
          <w:szCs w:val="22"/>
          <w:lang w:eastAsia="en-GB"/>
          <w14:ligatures w14:val="none"/>
        </w:rPr>
        <w:t>–</w:t>
      </w:r>
      <w:r w:rsidRPr="003106F4">
        <w:rPr>
          <w:rFonts w:ascii="Arial" w:eastAsia="Times New Roman" w:hAnsi="Arial" w:cs="Arial"/>
          <w:color w:val="000000" w:themeColor="text1"/>
          <w:kern w:val="0"/>
          <w:sz w:val="22"/>
          <w:szCs w:val="22"/>
          <w:lang w:eastAsia="en-GB"/>
          <w14:ligatures w14:val="none"/>
        </w:rPr>
        <w:t xml:space="preserve"> FF</w:t>
      </w:r>
      <w:r w:rsidR="002B62AE" w:rsidRPr="003106F4">
        <w:rPr>
          <w:rFonts w:ascii="Arial" w:eastAsia="Times New Roman" w:hAnsi="Arial" w:cs="Arial"/>
          <w:color w:val="000000" w:themeColor="text1"/>
          <w:kern w:val="0"/>
          <w:sz w:val="22"/>
          <w:szCs w:val="22"/>
          <w:lang w:eastAsia="en-GB"/>
          <w14:ligatures w14:val="none"/>
        </w:rPr>
        <w:t xml:space="preserve">, above new extension </w:t>
      </w:r>
    </w:p>
    <w:p w14:paraId="72FE5019" w14:textId="77777777" w:rsidR="00015E10" w:rsidRDefault="00015E10" w:rsidP="00A36A79">
      <w:pPr>
        <w:spacing w:after="0" w:line="276" w:lineRule="auto"/>
        <w:jc w:val="both"/>
        <w:rPr>
          <w:rFonts w:ascii="Arial" w:eastAsia="Times New Roman" w:hAnsi="Arial" w:cs="Arial"/>
          <w:color w:val="000000" w:themeColor="text1"/>
          <w:kern w:val="0"/>
          <w:sz w:val="22"/>
          <w:szCs w:val="22"/>
          <w:lang w:eastAsia="en-GB"/>
          <w14:ligatures w14:val="none"/>
        </w:rPr>
      </w:pPr>
    </w:p>
    <w:p w14:paraId="29CDE62B" w14:textId="1EA6E9B5" w:rsidR="00B402EF" w:rsidRPr="00015E10" w:rsidRDefault="00015E10" w:rsidP="00015E10">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proposal seeks to replace the later modern casements, without alteration to the stone mullions. </w:t>
      </w:r>
    </w:p>
    <w:p w14:paraId="3D8C579C" w14:textId="77777777" w:rsidR="00B402EF" w:rsidRPr="008253FE" w:rsidRDefault="00B402EF" w:rsidP="008253FE">
      <w:pPr>
        <w:tabs>
          <w:tab w:val="left" w:pos="1035"/>
        </w:tabs>
        <w:spacing w:after="0" w:line="276" w:lineRule="auto"/>
        <w:ind w:right="-23"/>
        <w:jc w:val="both"/>
        <w:rPr>
          <w:rFonts w:ascii="Arial" w:eastAsia="Times New Roman" w:hAnsi="Arial" w:cs="Arial"/>
          <w:i/>
          <w:iCs/>
          <w:color w:val="FF0000"/>
          <w:kern w:val="0"/>
          <w:sz w:val="22"/>
          <w:szCs w:val="22"/>
          <w:lang w:eastAsia="en-GB"/>
          <w14:ligatures w14:val="none"/>
        </w:rPr>
      </w:pPr>
    </w:p>
    <w:p w14:paraId="148F3851" w14:textId="77777777" w:rsidR="00B57A45" w:rsidRPr="008253FE" w:rsidRDefault="00B57A45" w:rsidP="008253FE">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5570290E" w14:textId="77777777" w:rsidR="00FA1351" w:rsidRPr="008253FE" w:rsidRDefault="00FA1351"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4AE3EFAD"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256EA7C6"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21272E4C" w14:textId="77777777" w:rsidR="000B5BFA" w:rsidRPr="005D69B9"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w:t>
      </w:r>
      <w:r w:rsidRPr="005D69B9">
        <w:rPr>
          <w:rFonts w:ascii="Arial" w:eastAsia="Times New Roman" w:hAnsi="Arial" w:cs="Arial"/>
          <w:color w:val="000000" w:themeColor="text1"/>
          <w:kern w:val="0"/>
          <w:sz w:val="22"/>
          <w:szCs w:val="22"/>
          <w:lang w:eastAsia="en-GB"/>
          <w14:ligatures w14:val="none"/>
        </w:rPr>
        <w:t>communal values, and by how these are experienced in context. Therefore, any intervention must be considered in light of the asset’s identified significance, with attention given to both potential harm and benefits. Benefits may include repairs that support the long-term conservation of the building, improved energy performance, or enhanced public access and understanding.</w:t>
      </w:r>
    </w:p>
    <w:p w14:paraId="7727EB81" w14:textId="77777777" w:rsidR="008A78F9" w:rsidRPr="005D69B9" w:rsidRDefault="008A78F9"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5182A228" w14:textId="77777777" w:rsidR="008A78F9" w:rsidRPr="003B2CA3" w:rsidRDefault="008A78F9"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3B2CA3">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w:t>
      </w:r>
      <w:r w:rsidR="00A77475" w:rsidRPr="003B2CA3">
        <w:rPr>
          <w:rFonts w:ascii="Arial" w:eastAsia="Times New Roman" w:hAnsi="Arial" w:cs="Arial"/>
          <w:color w:val="000000" w:themeColor="text1"/>
          <w:kern w:val="0"/>
          <w:sz w:val="22"/>
          <w:szCs w:val="22"/>
          <w:lang w:eastAsia="en-GB"/>
          <w14:ligatures w14:val="none"/>
        </w:rPr>
        <w:t>policies HE4-9</w:t>
      </w:r>
      <w:r w:rsidRPr="003B2CA3">
        <w:rPr>
          <w:rFonts w:ascii="Arial" w:eastAsia="Times New Roman" w:hAnsi="Arial" w:cs="Arial"/>
          <w:color w:val="000000" w:themeColor="text1"/>
          <w:kern w:val="0"/>
          <w:sz w:val="22"/>
          <w:szCs w:val="22"/>
          <w:lang w:eastAsia="en-GB"/>
          <w14:ligatures w14:val="none"/>
        </w:rPr>
        <w:t xml:space="preserve"> of the National Planning Policy Framework (NPPF), and relevant local heritage policies and guidance.</w:t>
      </w:r>
    </w:p>
    <w:p w14:paraId="79475599" w14:textId="77777777" w:rsidR="00071D89" w:rsidRPr="003B2CA3" w:rsidRDefault="00071D89"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17693D1C" w14:textId="77777777" w:rsidR="00071D89" w:rsidRPr="003B2CA3" w:rsidRDefault="00071D89" w:rsidP="00071D89">
      <w:pPr>
        <w:rPr>
          <w:rFonts w:ascii="Arial" w:hAnsi="Arial" w:cs="Arial"/>
          <w:sz w:val="22"/>
          <w:szCs w:val="22"/>
        </w:rPr>
      </w:pPr>
      <w:r w:rsidRPr="003B2CA3">
        <w:rPr>
          <w:rFonts w:ascii="Arial" w:hAnsi="Arial" w:cs="Arial"/>
          <w:sz w:val="22"/>
          <w:szCs w:val="22"/>
        </w:rPr>
        <w:t xml:space="preserve">Cyma moulded stone or timber mullion windows are characteristic of particular periods from C18. </w:t>
      </w:r>
    </w:p>
    <w:p w14:paraId="3C736257" w14:textId="7C95D6D7" w:rsidR="001854D2" w:rsidRPr="003B2CA3" w:rsidRDefault="001854D2" w:rsidP="001854D2">
      <w:pPr>
        <w:rPr>
          <w:rFonts w:ascii="Arial" w:hAnsi="Arial" w:cs="Arial"/>
          <w:sz w:val="22"/>
          <w:szCs w:val="22"/>
        </w:rPr>
      </w:pPr>
      <w:r w:rsidRPr="003B2CA3">
        <w:rPr>
          <w:rFonts w:ascii="Arial" w:hAnsi="Arial" w:cs="Arial"/>
          <w:sz w:val="22"/>
          <w:szCs w:val="22"/>
        </w:rPr>
        <w:lastRenderedPageBreak/>
        <w:t xml:space="preserve">The stone mullions </w:t>
      </w:r>
      <w:r w:rsidRPr="003B2CA3">
        <w:rPr>
          <w:rFonts w:ascii="Arial" w:hAnsi="Arial" w:cs="Arial"/>
          <w:sz w:val="22"/>
          <w:szCs w:val="22"/>
        </w:rPr>
        <w:t>are proposed to be</w:t>
      </w:r>
      <w:r w:rsidRPr="003B2CA3">
        <w:rPr>
          <w:rFonts w:ascii="Arial" w:hAnsi="Arial" w:cs="Arial"/>
          <w:sz w:val="22"/>
          <w:szCs w:val="22"/>
        </w:rPr>
        <w:t xml:space="preserve"> retained with the </w:t>
      </w:r>
      <w:r w:rsidRPr="003B2CA3">
        <w:rPr>
          <w:rFonts w:ascii="Arial" w:hAnsi="Arial" w:cs="Arial"/>
          <w:sz w:val="22"/>
          <w:szCs w:val="22"/>
        </w:rPr>
        <w:t xml:space="preserve">existing </w:t>
      </w:r>
      <w:r w:rsidRPr="003B2CA3">
        <w:rPr>
          <w:rFonts w:ascii="Arial" w:hAnsi="Arial" w:cs="Arial"/>
          <w:sz w:val="22"/>
          <w:szCs w:val="22"/>
        </w:rPr>
        <w:t xml:space="preserve">modern windows likely replicating historic simple casement designs. </w:t>
      </w:r>
    </w:p>
    <w:p w14:paraId="19D295A3" w14:textId="77777777" w:rsidR="005B5D44" w:rsidRDefault="001854D2" w:rsidP="001854D2">
      <w:pPr>
        <w:rPr>
          <w:rFonts w:ascii="Arial" w:hAnsi="Arial" w:cs="Arial"/>
          <w:sz w:val="22"/>
          <w:szCs w:val="22"/>
        </w:rPr>
      </w:pPr>
      <w:r w:rsidRPr="003B2CA3">
        <w:rPr>
          <w:rFonts w:ascii="Arial" w:hAnsi="Arial" w:cs="Arial"/>
          <w:sz w:val="22"/>
          <w:szCs w:val="22"/>
        </w:rPr>
        <w:t>So whilst still making a positive contribution to the significance of the building, the poor state of repair and advanced rot</w:t>
      </w:r>
      <w:r w:rsidR="005B5D44" w:rsidRPr="003B2CA3">
        <w:rPr>
          <w:rFonts w:ascii="Arial" w:hAnsi="Arial" w:cs="Arial"/>
          <w:sz w:val="22"/>
          <w:szCs w:val="22"/>
        </w:rPr>
        <w:t xml:space="preserve"> of the existing modern casements</w:t>
      </w:r>
      <w:r w:rsidRPr="003B2CA3">
        <w:rPr>
          <w:rFonts w:ascii="Arial" w:hAnsi="Arial" w:cs="Arial"/>
          <w:sz w:val="22"/>
          <w:szCs w:val="22"/>
        </w:rPr>
        <w:t xml:space="preserve">, justifies replacement. </w:t>
      </w:r>
    </w:p>
    <w:p w14:paraId="6485ECD2" w14:textId="5C15459B" w:rsidR="003B2CA3" w:rsidRPr="003B2CA3" w:rsidRDefault="003B2CA3" w:rsidP="001854D2">
      <w:pPr>
        <w:rPr>
          <w:rFonts w:ascii="Arial" w:hAnsi="Arial" w:cs="Arial"/>
          <w:sz w:val="22"/>
          <w:szCs w:val="22"/>
        </w:rPr>
      </w:pPr>
      <w:r w:rsidRPr="003B2CA3">
        <w:rPr>
          <w:rFonts w:ascii="Arial" w:hAnsi="Arial" w:cs="Arial"/>
          <w:sz w:val="22"/>
          <w:szCs w:val="22"/>
        </w:rPr>
        <w:t>Slimline DG units replicate the shallow profile and single reflection appearance of traditional single glazing. Their use often requires alterations to the window frame</w:t>
      </w:r>
      <w:r w:rsidR="001A3618">
        <w:rPr>
          <w:rFonts w:ascii="Arial" w:hAnsi="Arial" w:cs="Arial"/>
          <w:sz w:val="22"/>
          <w:szCs w:val="22"/>
        </w:rPr>
        <w:t>.</w:t>
      </w:r>
      <w:r w:rsidRPr="003B2CA3">
        <w:rPr>
          <w:rFonts w:ascii="Arial" w:hAnsi="Arial" w:cs="Arial"/>
          <w:sz w:val="22"/>
          <w:szCs w:val="22"/>
        </w:rPr>
        <w:t xml:space="preserve"> </w:t>
      </w:r>
    </w:p>
    <w:p w14:paraId="09C4D693" w14:textId="5A3D1888" w:rsidR="00CE5B0A" w:rsidRPr="003B2CA3" w:rsidRDefault="00E33572" w:rsidP="00E33572">
      <w:pPr>
        <w:rPr>
          <w:rFonts w:ascii="Arial" w:hAnsi="Arial" w:cs="Arial"/>
          <w:sz w:val="22"/>
          <w:szCs w:val="22"/>
        </w:rPr>
      </w:pPr>
      <w:r w:rsidRPr="003B2CA3">
        <w:rPr>
          <w:rFonts w:ascii="Arial" w:hAnsi="Arial" w:cs="Arial"/>
          <w:sz w:val="22"/>
          <w:szCs w:val="22"/>
        </w:rPr>
        <w:t xml:space="preserve">The proposed works, by removing modern casements, and replacing with improved spec modern casements of almost identical design with improved detailing of glazing bars, would have a neutral impact on the significance of the building, not harming historic fabric (dependent on window details), retaining architectural detailing and exiting materiality. </w:t>
      </w:r>
      <w:r w:rsidR="00CE5B0A" w:rsidRPr="003B2CA3">
        <w:rPr>
          <w:rFonts w:ascii="Arial" w:hAnsi="Arial" w:cs="Arial"/>
          <w:sz w:val="22"/>
          <w:szCs w:val="22"/>
        </w:rPr>
        <w:t xml:space="preserve">A </w:t>
      </w:r>
      <w:r w:rsidR="00D60394" w:rsidRPr="003B2CA3">
        <w:rPr>
          <w:rFonts w:ascii="Arial" w:hAnsi="Arial" w:cs="Arial"/>
          <w:sz w:val="22"/>
          <w:szCs w:val="22"/>
        </w:rPr>
        <w:t>condition</w:t>
      </w:r>
      <w:r w:rsidR="00CE5B0A" w:rsidRPr="003B2CA3">
        <w:rPr>
          <w:rFonts w:ascii="Arial" w:hAnsi="Arial" w:cs="Arial"/>
          <w:sz w:val="22"/>
          <w:szCs w:val="22"/>
        </w:rPr>
        <w:t xml:space="preserve"> is required necessary for </w:t>
      </w:r>
      <w:r w:rsidR="003B2CA3" w:rsidRPr="003B2CA3">
        <w:rPr>
          <w:rFonts w:ascii="Arial" w:hAnsi="Arial" w:cs="Arial"/>
          <w:sz w:val="22"/>
          <w:szCs w:val="22"/>
        </w:rPr>
        <w:t>further</w:t>
      </w:r>
      <w:r w:rsidR="00D60394" w:rsidRPr="003B2CA3">
        <w:rPr>
          <w:rFonts w:ascii="Arial" w:hAnsi="Arial" w:cs="Arial"/>
          <w:sz w:val="22"/>
          <w:szCs w:val="22"/>
        </w:rPr>
        <w:t xml:space="preserve"> details of proposed joinery details</w:t>
      </w:r>
      <w:r w:rsidR="003B2CA3" w:rsidRPr="003B2CA3">
        <w:rPr>
          <w:rFonts w:ascii="Arial" w:hAnsi="Arial" w:cs="Arial"/>
          <w:sz w:val="22"/>
          <w:szCs w:val="22"/>
        </w:rPr>
        <w:t xml:space="preserve">. </w:t>
      </w:r>
    </w:p>
    <w:p w14:paraId="2DCC6B84" w14:textId="5845D337" w:rsidR="00E33572" w:rsidRPr="003B2CA3" w:rsidRDefault="00E33572" w:rsidP="00E33572">
      <w:pPr>
        <w:rPr>
          <w:rFonts w:ascii="Arial" w:hAnsi="Arial" w:cs="Arial"/>
          <w:sz w:val="22"/>
          <w:szCs w:val="22"/>
        </w:rPr>
      </w:pPr>
      <w:r w:rsidRPr="003B2CA3">
        <w:rPr>
          <w:rFonts w:ascii="Arial" w:hAnsi="Arial" w:cs="Arial"/>
          <w:sz w:val="22"/>
          <w:szCs w:val="22"/>
        </w:rPr>
        <w:t xml:space="preserve">Benefits would be improved energy efficiency and therefore viability of the building. </w:t>
      </w:r>
    </w:p>
    <w:p w14:paraId="67DAE582" w14:textId="5C55789F" w:rsidR="005B5D44" w:rsidRPr="003B2CA3" w:rsidRDefault="005D69B9" w:rsidP="001854D2">
      <w:pPr>
        <w:rPr>
          <w:rFonts w:ascii="Arial" w:hAnsi="Arial" w:cs="Arial"/>
          <w:sz w:val="22"/>
          <w:szCs w:val="22"/>
        </w:rPr>
      </w:pPr>
      <w:r w:rsidRPr="003B2CA3">
        <w:rPr>
          <w:rFonts w:ascii="Arial" w:hAnsi="Arial" w:cs="Arial"/>
          <w:sz w:val="22"/>
          <w:szCs w:val="22"/>
        </w:rPr>
        <w:t xml:space="preserve">It is noted the NE window is currently opaque glazed but given its line of sight over the side garden/driveway, and not towards neighbours, there is no concern with replacement of clear glazing. </w:t>
      </w:r>
    </w:p>
    <w:p w14:paraId="52D9EC40" w14:textId="46C1F4A1" w:rsidR="001854D2" w:rsidRPr="003B2CA3" w:rsidRDefault="001854D2" w:rsidP="001854D2">
      <w:pPr>
        <w:rPr>
          <w:rFonts w:ascii="Arial" w:hAnsi="Arial" w:cs="Arial"/>
          <w:sz w:val="22"/>
          <w:szCs w:val="22"/>
        </w:rPr>
      </w:pPr>
      <w:r w:rsidRPr="003B2CA3">
        <w:rPr>
          <w:rFonts w:ascii="Arial" w:hAnsi="Arial" w:cs="Arial"/>
          <w:sz w:val="22"/>
          <w:szCs w:val="22"/>
        </w:rPr>
        <w:t xml:space="preserve">Proposed replacements, of improved thermal and acoustic performance, retaining simple casement scale, design, improved glazing bar details, will also conserve the architectural details and therefore significance of the listed building. </w:t>
      </w:r>
    </w:p>
    <w:p w14:paraId="488DF239" w14:textId="77777777" w:rsidR="00A92438" w:rsidRPr="008253FE" w:rsidRDefault="00A92438" w:rsidP="008253FE">
      <w:pPr>
        <w:spacing w:after="0" w:line="276" w:lineRule="auto"/>
        <w:jc w:val="both"/>
        <w:rPr>
          <w:rFonts w:ascii="Arial" w:eastAsia="Times New Roman" w:hAnsi="Arial" w:cs="Arial"/>
          <w:color w:val="FF0000"/>
          <w:kern w:val="0"/>
          <w:sz w:val="22"/>
          <w:szCs w:val="22"/>
          <w:lang w:eastAsia="en-GB"/>
          <w14:ligatures w14:val="none"/>
        </w:rPr>
      </w:pPr>
    </w:p>
    <w:p w14:paraId="089249C1" w14:textId="77777777" w:rsidR="00F7609E"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CONCLUSION</w:t>
      </w:r>
    </w:p>
    <w:p w14:paraId="025B2C7F" w14:textId="77777777" w:rsidR="00A77475" w:rsidRPr="005B0173" w:rsidRDefault="00A77475" w:rsidP="008253FE">
      <w:pPr>
        <w:pStyle w:val="Letterbody"/>
        <w:spacing w:line="276" w:lineRule="auto"/>
        <w:rPr>
          <w:rFonts w:cs="Arial"/>
          <w:color w:val="000000" w:themeColor="text1"/>
          <w:sz w:val="22"/>
          <w:szCs w:val="22"/>
        </w:rPr>
      </w:pPr>
      <w:r w:rsidRPr="005B0173">
        <w:rPr>
          <w:rFonts w:cs="Arial"/>
          <w:color w:val="000000" w:themeColor="text1"/>
          <w:sz w:val="22"/>
          <w:szCs w:val="22"/>
        </w:rPr>
        <w:t xml:space="preserve">The NPPF confirms that when considering the potential impact of a development proposal on the significance of a designated heritage asset, substantial weight should be given to the asset’s conservation (and the more important the asset, the greater the weight should be). It makes clear that any harm to a designated heritage asset will be a matter of considerable importance and weight which requires clear and convincing justification. </w:t>
      </w:r>
    </w:p>
    <w:p w14:paraId="7EC6BA3B" w14:textId="77777777" w:rsidR="00D951CA" w:rsidRPr="005B0173" w:rsidRDefault="00D951CA"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82D3152" w14:textId="2BB7D952" w:rsidR="00D951CA" w:rsidRPr="005B0173" w:rsidRDefault="00D951CA"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5B0173">
        <w:rPr>
          <w:rFonts w:ascii="Arial" w:eastAsia="Times New Roman" w:hAnsi="Arial" w:cs="Arial"/>
          <w:color w:val="000000" w:themeColor="text1"/>
          <w:kern w:val="0"/>
          <w:sz w:val="22"/>
          <w:szCs w:val="22"/>
          <w:lang w:eastAsia="en-GB"/>
          <w14:ligatures w14:val="none"/>
        </w:rPr>
        <w:t>In this case, the impact of the proposals on heritage assets will be largely positiv</w:t>
      </w:r>
      <w:r w:rsidR="00990CC0" w:rsidRPr="005B0173">
        <w:rPr>
          <w:rFonts w:ascii="Arial" w:eastAsia="Times New Roman" w:hAnsi="Arial" w:cs="Arial"/>
          <w:color w:val="000000" w:themeColor="text1"/>
          <w:kern w:val="0"/>
          <w:sz w:val="22"/>
          <w:szCs w:val="22"/>
          <w:lang w:eastAsia="en-GB"/>
          <w14:ligatures w14:val="none"/>
        </w:rPr>
        <w:t xml:space="preserve">e, replacing modern fabric and replacing with improved spec modern casement. </w:t>
      </w:r>
    </w:p>
    <w:p w14:paraId="2E609154" w14:textId="77777777" w:rsidR="00D951CA" w:rsidRPr="005B0173" w:rsidRDefault="00D951CA"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49B41244" w14:textId="6912DC4B" w:rsidR="00D951CA" w:rsidRPr="005B0173" w:rsidRDefault="00A77475"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5B0173">
        <w:rPr>
          <w:rFonts w:ascii="Arial" w:eastAsia="Times New Roman" w:hAnsi="Arial" w:cs="Arial"/>
          <w:color w:val="000000" w:themeColor="text1"/>
          <w:kern w:val="0"/>
          <w:sz w:val="22"/>
          <w:szCs w:val="22"/>
          <w:lang w:eastAsia="en-GB"/>
          <w14:ligatures w14:val="none"/>
        </w:rPr>
        <w:t>In this case the proposals will have no effect on the significance of the heritage asset</w:t>
      </w:r>
      <w:r w:rsidR="00084A00" w:rsidRPr="005B0173">
        <w:rPr>
          <w:rFonts w:ascii="Arial" w:hAnsi="Arial" w:cs="Arial"/>
          <w:color w:val="000000" w:themeColor="text1"/>
          <w:sz w:val="22"/>
          <w:szCs w:val="22"/>
        </w:rPr>
        <w:t>.</w:t>
      </w:r>
      <w:r w:rsidR="00D951CA" w:rsidRPr="005B0173">
        <w:rPr>
          <w:rFonts w:ascii="Arial" w:eastAsia="Times New Roman" w:hAnsi="Arial" w:cs="Arial"/>
          <w:color w:val="000000" w:themeColor="text1"/>
          <w:kern w:val="0"/>
          <w:sz w:val="22"/>
          <w:szCs w:val="22"/>
          <w:lang w:eastAsia="en-GB"/>
          <w14:ligatures w14:val="none"/>
        </w:rPr>
        <w:t xml:space="preserve"> On this basis no specific justification is required however it is considered the works will assist in securing the future use of a heritage asset in support of its long-term conservation. </w:t>
      </w:r>
    </w:p>
    <w:p w14:paraId="1C2D90E0" w14:textId="77777777" w:rsidR="00FA23C3" w:rsidRPr="005B0173" w:rsidRDefault="00FA23C3"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1B1B9082" w14:textId="77777777" w:rsidR="00FA23C3" w:rsidRPr="005B0173" w:rsidRDefault="00FA23C3"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5B0173">
        <w:rPr>
          <w:rFonts w:ascii="Arial" w:eastAsia="Times New Roman" w:hAnsi="Arial" w:cs="Arial"/>
          <w:color w:val="000000" w:themeColor="text1"/>
          <w:kern w:val="0"/>
          <w:sz w:val="22"/>
          <w:szCs w:val="22"/>
          <w:lang w:eastAsia="en-GB"/>
          <w14:ligatures w14:val="none"/>
        </w:rPr>
        <w:t xml:space="preserve">The requirements of current conservation legislation, policy or guidance are considered to be met and the application is recommended for approval. </w:t>
      </w:r>
    </w:p>
    <w:p w14:paraId="0B83885F" w14:textId="77777777" w:rsidR="00FA23C3" w:rsidRPr="008253FE" w:rsidRDefault="00FA23C3" w:rsidP="008253FE">
      <w:pPr>
        <w:spacing w:after="0" w:line="276" w:lineRule="auto"/>
        <w:jc w:val="both"/>
        <w:rPr>
          <w:rFonts w:ascii="Arial" w:eastAsia="Times New Roman" w:hAnsi="Arial" w:cs="Arial"/>
          <w:color w:val="EE0000"/>
          <w:kern w:val="0"/>
          <w:sz w:val="22"/>
          <w:szCs w:val="22"/>
          <w:lang w:eastAsia="en-GB"/>
          <w14:ligatures w14:val="none"/>
        </w:rPr>
      </w:pPr>
    </w:p>
    <w:p w14:paraId="3E091F9F" w14:textId="77777777" w:rsidR="00080B8E" w:rsidRPr="008253FE" w:rsidRDefault="00080B8E" w:rsidP="008253FE">
      <w:pPr>
        <w:spacing w:after="0" w:line="276" w:lineRule="auto"/>
        <w:jc w:val="both"/>
        <w:rPr>
          <w:rFonts w:ascii="Arial" w:eastAsia="Times New Roman" w:hAnsi="Arial" w:cs="Arial"/>
          <w:b/>
          <w:bCs/>
          <w:kern w:val="0"/>
          <w:sz w:val="22"/>
          <w:szCs w:val="22"/>
          <w:lang w:eastAsia="en-GB"/>
          <w14:ligatures w14:val="none"/>
        </w:rPr>
      </w:pPr>
    </w:p>
    <w:p w14:paraId="7F0EFBC3" w14:textId="77777777" w:rsidR="00D3708F"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RECOMMENDATION:</w:t>
      </w:r>
    </w:p>
    <w:p w14:paraId="7CDD6258" w14:textId="77777777" w:rsidR="00EA5C93" w:rsidRPr="008253FE" w:rsidRDefault="00EA5C93"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That Listed Building Consent be GRANTED, subject to the following conditions:</w:t>
      </w:r>
    </w:p>
    <w:p w14:paraId="7852E736" w14:textId="77777777" w:rsidR="003B2CA3" w:rsidRDefault="003B2CA3" w:rsidP="008253FE">
      <w:pPr>
        <w:spacing w:after="0" w:line="276" w:lineRule="auto"/>
        <w:jc w:val="both"/>
        <w:rPr>
          <w:rFonts w:ascii="Arial" w:eastAsia="Times New Roman" w:hAnsi="Arial" w:cs="Arial"/>
          <w:i/>
          <w:iCs/>
          <w:color w:val="ED0000"/>
          <w:kern w:val="0"/>
          <w:sz w:val="22"/>
          <w:szCs w:val="22"/>
          <w:lang w:eastAsia="en-GB"/>
          <w14:ligatures w14:val="none"/>
        </w:rPr>
      </w:pPr>
    </w:p>
    <w:p w14:paraId="7F1D48EC" w14:textId="77777777" w:rsidR="003D5C1C" w:rsidRDefault="003D5C1C" w:rsidP="003B2CA3">
      <w:pPr>
        <w:spacing w:after="0" w:line="240" w:lineRule="auto"/>
        <w:rPr>
          <w:rFonts w:ascii="Arial" w:eastAsia="Times New Roman" w:hAnsi="Arial" w:cs="Arial"/>
          <w:color w:val="000000" w:themeColor="text1"/>
          <w:sz w:val="22"/>
          <w:szCs w:val="22"/>
          <w:lang w:eastAsia="en-GB"/>
        </w:rPr>
      </w:pPr>
    </w:p>
    <w:p w14:paraId="1A04827D" w14:textId="77777777" w:rsidR="003B2CA3" w:rsidRPr="008253FE" w:rsidRDefault="003B2CA3" w:rsidP="008253FE">
      <w:pPr>
        <w:spacing w:after="0" w:line="276" w:lineRule="auto"/>
        <w:jc w:val="both"/>
        <w:rPr>
          <w:rFonts w:ascii="Arial" w:eastAsia="Times New Roman" w:hAnsi="Arial" w:cs="Arial"/>
          <w:i/>
          <w:iCs/>
          <w:color w:val="ED0000"/>
          <w:kern w:val="0"/>
          <w:sz w:val="22"/>
          <w:szCs w:val="22"/>
          <w:lang w:eastAsia="en-GB"/>
          <w14:ligatures w14:val="none"/>
        </w:rPr>
      </w:pPr>
    </w:p>
    <w:sectPr w:rsidR="003B2CA3" w:rsidRPr="008253FE"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A63DB8"/>
    <w:multiLevelType w:val="multilevel"/>
    <w:tmpl w:val="138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9"/>
  </w:num>
  <w:num w:numId="4" w16cid:durableId="1650787556">
    <w:abstractNumId w:val="12"/>
  </w:num>
  <w:num w:numId="5" w16cid:durableId="466094426">
    <w:abstractNumId w:val="21"/>
  </w:num>
  <w:num w:numId="6" w16cid:durableId="1542328013">
    <w:abstractNumId w:val="22"/>
  </w:num>
  <w:num w:numId="7" w16cid:durableId="1793137108">
    <w:abstractNumId w:val="11"/>
  </w:num>
  <w:num w:numId="8" w16cid:durableId="894196061">
    <w:abstractNumId w:val="23"/>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7"/>
  </w:num>
  <w:num w:numId="16" w16cid:durableId="1087536106">
    <w:abstractNumId w:val="0"/>
  </w:num>
  <w:num w:numId="17" w16cid:durableId="2005745548">
    <w:abstractNumId w:val="1"/>
  </w:num>
  <w:num w:numId="18" w16cid:durableId="650603492">
    <w:abstractNumId w:val="18"/>
  </w:num>
  <w:num w:numId="19" w16cid:durableId="654184100">
    <w:abstractNumId w:val="20"/>
  </w:num>
  <w:num w:numId="20" w16cid:durableId="591665408">
    <w:abstractNumId w:val="14"/>
  </w:num>
  <w:num w:numId="21" w16cid:durableId="1739472710">
    <w:abstractNumId w:val="6"/>
  </w:num>
  <w:num w:numId="22" w16cid:durableId="534393309">
    <w:abstractNumId w:val="15"/>
  </w:num>
  <w:num w:numId="23" w16cid:durableId="641421234">
    <w:abstractNumId w:val="3"/>
  </w:num>
  <w:num w:numId="24" w16cid:durableId="14480852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6745"/>
    <w:rsid w:val="000075CD"/>
    <w:rsid w:val="00011D98"/>
    <w:rsid w:val="00015E10"/>
    <w:rsid w:val="0001669C"/>
    <w:rsid w:val="00020780"/>
    <w:rsid w:val="0004188C"/>
    <w:rsid w:val="00041F5B"/>
    <w:rsid w:val="00044293"/>
    <w:rsid w:val="00047400"/>
    <w:rsid w:val="00071D89"/>
    <w:rsid w:val="0007377C"/>
    <w:rsid w:val="00080B8E"/>
    <w:rsid w:val="00084A00"/>
    <w:rsid w:val="000904C8"/>
    <w:rsid w:val="0009569C"/>
    <w:rsid w:val="00097010"/>
    <w:rsid w:val="000B05B0"/>
    <w:rsid w:val="000B5BFA"/>
    <w:rsid w:val="000C0E31"/>
    <w:rsid w:val="000C7F3E"/>
    <w:rsid w:val="000D0858"/>
    <w:rsid w:val="000E6B9B"/>
    <w:rsid w:val="000E7C90"/>
    <w:rsid w:val="000F02E9"/>
    <w:rsid w:val="000F45A8"/>
    <w:rsid w:val="001018D6"/>
    <w:rsid w:val="0010484B"/>
    <w:rsid w:val="00104865"/>
    <w:rsid w:val="001070DA"/>
    <w:rsid w:val="00114781"/>
    <w:rsid w:val="00125EF6"/>
    <w:rsid w:val="00135DBF"/>
    <w:rsid w:val="00150B21"/>
    <w:rsid w:val="00173C5D"/>
    <w:rsid w:val="0017436B"/>
    <w:rsid w:val="00174771"/>
    <w:rsid w:val="00176847"/>
    <w:rsid w:val="001854D2"/>
    <w:rsid w:val="00187E8E"/>
    <w:rsid w:val="001975A7"/>
    <w:rsid w:val="001A3618"/>
    <w:rsid w:val="001B627B"/>
    <w:rsid w:val="001C6BB1"/>
    <w:rsid w:val="001C7ED3"/>
    <w:rsid w:val="001D1B59"/>
    <w:rsid w:val="001D2B00"/>
    <w:rsid w:val="001E3936"/>
    <w:rsid w:val="001E3C8D"/>
    <w:rsid w:val="001E5B92"/>
    <w:rsid w:val="001F0E86"/>
    <w:rsid w:val="001F793E"/>
    <w:rsid w:val="00202DE0"/>
    <w:rsid w:val="002073DA"/>
    <w:rsid w:val="00210121"/>
    <w:rsid w:val="0021435E"/>
    <w:rsid w:val="00232D93"/>
    <w:rsid w:val="00261437"/>
    <w:rsid w:val="00281C16"/>
    <w:rsid w:val="00283A5E"/>
    <w:rsid w:val="002860A6"/>
    <w:rsid w:val="00290898"/>
    <w:rsid w:val="0029205E"/>
    <w:rsid w:val="002941BD"/>
    <w:rsid w:val="00294834"/>
    <w:rsid w:val="002B5AD0"/>
    <w:rsid w:val="002B62AE"/>
    <w:rsid w:val="002B6649"/>
    <w:rsid w:val="002C0E01"/>
    <w:rsid w:val="002E16E5"/>
    <w:rsid w:val="002E4EC5"/>
    <w:rsid w:val="002E6035"/>
    <w:rsid w:val="002F7C6B"/>
    <w:rsid w:val="003106F4"/>
    <w:rsid w:val="00312C7F"/>
    <w:rsid w:val="0034607F"/>
    <w:rsid w:val="00354D90"/>
    <w:rsid w:val="00377F87"/>
    <w:rsid w:val="00384CE5"/>
    <w:rsid w:val="0038563A"/>
    <w:rsid w:val="003859AE"/>
    <w:rsid w:val="00387A45"/>
    <w:rsid w:val="003A549D"/>
    <w:rsid w:val="003B2CA3"/>
    <w:rsid w:val="003B32DD"/>
    <w:rsid w:val="003D5C1C"/>
    <w:rsid w:val="003E2176"/>
    <w:rsid w:val="003E3806"/>
    <w:rsid w:val="003F0EB1"/>
    <w:rsid w:val="004036FE"/>
    <w:rsid w:val="00405341"/>
    <w:rsid w:val="00414164"/>
    <w:rsid w:val="00424DA4"/>
    <w:rsid w:val="004268CE"/>
    <w:rsid w:val="004402DE"/>
    <w:rsid w:val="0045539F"/>
    <w:rsid w:val="00465B83"/>
    <w:rsid w:val="004674E5"/>
    <w:rsid w:val="004732D0"/>
    <w:rsid w:val="00475AA8"/>
    <w:rsid w:val="00496BFD"/>
    <w:rsid w:val="004B46ED"/>
    <w:rsid w:val="004C35D8"/>
    <w:rsid w:val="004C5D5C"/>
    <w:rsid w:val="004D23ED"/>
    <w:rsid w:val="004D4BE2"/>
    <w:rsid w:val="004E6EDB"/>
    <w:rsid w:val="004F6C1C"/>
    <w:rsid w:val="00501911"/>
    <w:rsid w:val="0050216E"/>
    <w:rsid w:val="00503DC1"/>
    <w:rsid w:val="00506262"/>
    <w:rsid w:val="00506A64"/>
    <w:rsid w:val="00507FCF"/>
    <w:rsid w:val="005100B4"/>
    <w:rsid w:val="00513E22"/>
    <w:rsid w:val="005148F6"/>
    <w:rsid w:val="00516993"/>
    <w:rsid w:val="0052282C"/>
    <w:rsid w:val="0054068B"/>
    <w:rsid w:val="005421C8"/>
    <w:rsid w:val="00554987"/>
    <w:rsid w:val="005607D8"/>
    <w:rsid w:val="0059577B"/>
    <w:rsid w:val="005A13E7"/>
    <w:rsid w:val="005A287E"/>
    <w:rsid w:val="005A3DC4"/>
    <w:rsid w:val="005B0173"/>
    <w:rsid w:val="005B5D44"/>
    <w:rsid w:val="005B6E94"/>
    <w:rsid w:val="005C27FD"/>
    <w:rsid w:val="005C288A"/>
    <w:rsid w:val="005C2DD5"/>
    <w:rsid w:val="005D148E"/>
    <w:rsid w:val="005D69B9"/>
    <w:rsid w:val="005E1B00"/>
    <w:rsid w:val="005F4DDB"/>
    <w:rsid w:val="006030C2"/>
    <w:rsid w:val="006057D1"/>
    <w:rsid w:val="0062089F"/>
    <w:rsid w:val="00624E9E"/>
    <w:rsid w:val="00630588"/>
    <w:rsid w:val="00643C57"/>
    <w:rsid w:val="00646DA3"/>
    <w:rsid w:val="00652C05"/>
    <w:rsid w:val="006540DB"/>
    <w:rsid w:val="00680DA9"/>
    <w:rsid w:val="00683266"/>
    <w:rsid w:val="00683C17"/>
    <w:rsid w:val="00686A50"/>
    <w:rsid w:val="0069695D"/>
    <w:rsid w:val="006B23D0"/>
    <w:rsid w:val="006B438E"/>
    <w:rsid w:val="006C4BFD"/>
    <w:rsid w:val="006C73D7"/>
    <w:rsid w:val="006F1BDD"/>
    <w:rsid w:val="006F6395"/>
    <w:rsid w:val="007000A0"/>
    <w:rsid w:val="00705E25"/>
    <w:rsid w:val="00707756"/>
    <w:rsid w:val="00732F3A"/>
    <w:rsid w:val="00782A59"/>
    <w:rsid w:val="007858DD"/>
    <w:rsid w:val="00793F8E"/>
    <w:rsid w:val="007A5F42"/>
    <w:rsid w:val="007D328F"/>
    <w:rsid w:val="007E180E"/>
    <w:rsid w:val="007E2693"/>
    <w:rsid w:val="007E32BF"/>
    <w:rsid w:val="007F46D6"/>
    <w:rsid w:val="00800BC9"/>
    <w:rsid w:val="00802AEC"/>
    <w:rsid w:val="00803C95"/>
    <w:rsid w:val="0080787A"/>
    <w:rsid w:val="008253FE"/>
    <w:rsid w:val="00832A35"/>
    <w:rsid w:val="00837533"/>
    <w:rsid w:val="0083780B"/>
    <w:rsid w:val="00840A49"/>
    <w:rsid w:val="0084774B"/>
    <w:rsid w:val="0086069A"/>
    <w:rsid w:val="00870CF4"/>
    <w:rsid w:val="00880C64"/>
    <w:rsid w:val="00887AC7"/>
    <w:rsid w:val="008914EE"/>
    <w:rsid w:val="008A78F9"/>
    <w:rsid w:val="008B44B6"/>
    <w:rsid w:val="008C234A"/>
    <w:rsid w:val="008D0226"/>
    <w:rsid w:val="008D5A8D"/>
    <w:rsid w:val="008E400E"/>
    <w:rsid w:val="008E5134"/>
    <w:rsid w:val="008E7079"/>
    <w:rsid w:val="008F48A5"/>
    <w:rsid w:val="00903D58"/>
    <w:rsid w:val="00907CF6"/>
    <w:rsid w:val="00920F0F"/>
    <w:rsid w:val="0092586B"/>
    <w:rsid w:val="009316BB"/>
    <w:rsid w:val="00946613"/>
    <w:rsid w:val="009468C7"/>
    <w:rsid w:val="00950835"/>
    <w:rsid w:val="009637ED"/>
    <w:rsid w:val="00970A8A"/>
    <w:rsid w:val="00970D26"/>
    <w:rsid w:val="00970F6B"/>
    <w:rsid w:val="00987651"/>
    <w:rsid w:val="00987830"/>
    <w:rsid w:val="00990CC0"/>
    <w:rsid w:val="0099688C"/>
    <w:rsid w:val="009A1467"/>
    <w:rsid w:val="009A5EEC"/>
    <w:rsid w:val="009A5F00"/>
    <w:rsid w:val="009C0005"/>
    <w:rsid w:val="009C3071"/>
    <w:rsid w:val="009C3A14"/>
    <w:rsid w:val="009C3CE7"/>
    <w:rsid w:val="009D1ACE"/>
    <w:rsid w:val="009D2C79"/>
    <w:rsid w:val="009D4867"/>
    <w:rsid w:val="009E1642"/>
    <w:rsid w:val="00A03FD0"/>
    <w:rsid w:val="00A06E8B"/>
    <w:rsid w:val="00A147C7"/>
    <w:rsid w:val="00A178FF"/>
    <w:rsid w:val="00A247B5"/>
    <w:rsid w:val="00A36A79"/>
    <w:rsid w:val="00A3747E"/>
    <w:rsid w:val="00A43311"/>
    <w:rsid w:val="00A47462"/>
    <w:rsid w:val="00A6406E"/>
    <w:rsid w:val="00A77475"/>
    <w:rsid w:val="00A91DB8"/>
    <w:rsid w:val="00A92438"/>
    <w:rsid w:val="00A96182"/>
    <w:rsid w:val="00AA7925"/>
    <w:rsid w:val="00AB535C"/>
    <w:rsid w:val="00AB6CA9"/>
    <w:rsid w:val="00AE1C41"/>
    <w:rsid w:val="00B001EA"/>
    <w:rsid w:val="00B030C6"/>
    <w:rsid w:val="00B034C2"/>
    <w:rsid w:val="00B04EAD"/>
    <w:rsid w:val="00B06969"/>
    <w:rsid w:val="00B107C5"/>
    <w:rsid w:val="00B24270"/>
    <w:rsid w:val="00B402EF"/>
    <w:rsid w:val="00B4036B"/>
    <w:rsid w:val="00B4678A"/>
    <w:rsid w:val="00B57A45"/>
    <w:rsid w:val="00B64C6E"/>
    <w:rsid w:val="00B725C9"/>
    <w:rsid w:val="00B85E02"/>
    <w:rsid w:val="00B967BC"/>
    <w:rsid w:val="00BA1681"/>
    <w:rsid w:val="00BB1A61"/>
    <w:rsid w:val="00BB3A49"/>
    <w:rsid w:val="00BC7658"/>
    <w:rsid w:val="00BD555F"/>
    <w:rsid w:val="00BE01DD"/>
    <w:rsid w:val="00BE0D93"/>
    <w:rsid w:val="00BF6DBD"/>
    <w:rsid w:val="00C03935"/>
    <w:rsid w:val="00C07673"/>
    <w:rsid w:val="00C165E8"/>
    <w:rsid w:val="00C517C2"/>
    <w:rsid w:val="00C5188C"/>
    <w:rsid w:val="00C57E26"/>
    <w:rsid w:val="00C735FD"/>
    <w:rsid w:val="00C760C4"/>
    <w:rsid w:val="00C84F43"/>
    <w:rsid w:val="00C8605E"/>
    <w:rsid w:val="00C87AF0"/>
    <w:rsid w:val="00C95D87"/>
    <w:rsid w:val="00CA0A0F"/>
    <w:rsid w:val="00CA5343"/>
    <w:rsid w:val="00CB4C68"/>
    <w:rsid w:val="00CB7792"/>
    <w:rsid w:val="00CC5F81"/>
    <w:rsid w:val="00CC6A63"/>
    <w:rsid w:val="00CD1751"/>
    <w:rsid w:val="00CD3444"/>
    <w:rsid w:val="00CD6A4E"/>
    <w:rsid w:val="00CE04E4"/>
    <w:rsid w:val="00CE5B0A"/>
    <w:rsid w:val="00CF161D"/>
    <w:rsid w:val="00D00071"/>
    <w:rsid w:val="00D05A60"/>
    <w:rsid w:val="00D14841"/>
    <w:rsid w:val="00D31C28"/>
    <w:rsid w:val="00D3708F"/>
    <w:rsid w:val="00D56315"/>
    <w:rsid w:val="00D60394"/>
    <w:rsid w:val="00D64502"/>
    <w:rsid w:val="00D767DF"/>
    <w:rsid w:val="00D82D3F"/>
    <w:rsid w:val="00D87765"/>
    <w:rsid w:val="00D902FA"/>
    <w:rsid w:val="00D951CA"/>
    <w:rsid w:val="00DC00C1"/>
    <w:rsid w:val="00DC365D"/>
    <w:rsid w:val="00DE6E92"/>
    <w:rsid w:val="00DF3F20"/>
    <w:rsid w:val="00E03DF5"/>
    <w:rsid w:val="00E179B8"/>
    <w:rsid w:val="00E25A94"/>
    <w:rsid w:val="00E26776"/>
    <w:rsid w:val="00E2785E"/>
    <w:rsid w:val="00E33572"/>
    <w:rsid w:val="00E339FC"/>
    <w:rsid w:val="00E47FC6"/>
    <w:rsid w:val="00E60E81"/>
    <w:rsid w:val="00E638F1"/>
    <w:rsid w:val="00E70D98"/>
    <w:rsid w:val="00E73E89"/>
    <w:rsid w:val="00E74E27"/>
    <w:rsid w:val="00E77C72"/>
    <w:rsid w:val="00E800AE"/>
    <w:rsid w:val="00E85545"/>
    <w:rsid w:val="00E92EE6"/>
    <w:rsid w:val="00E933AC"/>
    <w:rsid w:val="00E9769D"/>
    <w:rsid w:val="00EA5C93"/>
    <w:rsid w:val="00EB1FD9"/>
    <w:rsid w:val="00EB722F"/>
    <w:rsid w:val="00EC156A"/>
    <w:rsid w:val="00EC1FE1"/>
    <w:rsid w:val="00EC2E4E"/>
    <w:rsid w:val="00ED781A"/>
    <w:rsid w:val="00EE21A2"/>
    <w:rsid w:val="00EE2BCE"/>
    <w:rsid w:val="00EE5C03"/>
    <w:rsid w:val="00EF14E3"/>
    <w:rsid w:val="00EF6260"/>
    <w:rsid w:val="00F00562"/>
    <w:rsid w:val="00F005A4"/>
    <w:rsid w:val="00F063A0"/>
    <w:rsid w:val="00F124A7"/>
    <w:rsid w:val="00F1263F"/>
    <w:rsid w:val="00F15C75"/>
    <w:rsid w:val="00F22BBB"/>
    <w:rsid w:val="00F2452B"/>
    <w:rsid w:val="00F2477F"/>
    <w:rsid w:val="00F43E0B"/>
    <w:rsid w:val="00F51A63"/>
    <w:rsid w:val="00F64398"/>
    <w:rsid w:val="00F7017C"/>
    <w:rsid w:val="00F7609E"/>
    <w:rsid w:val="00F82572"/>
    <w:rsid w:val="00F86303"/>
    <w:rsid w:val="00F87A22"/>
    <w:rsid w:val="00F900B9"/>
    <w:rsid w:val="00F9161E"/>
    <w:rsid w:val="00F922E1"/>
    <w:rsid w:val="00FA1351"/>
    <w:rsid w:val="00FA23C3"/>
    <w:rsid w:val="00FA4285"/>
    <w:rsid w:val="00FC0D4D"/>
    <w:rsid w:val="00FC44D1"/>
    <w:rsid w:val="00FE2F84"/>
    <w:rsid w:val="00FF5E88"/>
    <w:rsid w:val="00FF6A54"/>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38531"/>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paragraph" w:customStyle="1" w:styleId="Letterbody">
    <w:name w:val="Letter body"/>
    <w:basedOn w:val="Normal"/>
    <w:rsid w:val="005C27FD"/>
    <w:pPr>
      <w:tabs>
        <w:tab w:val="left" w:pos="1701"/>
      </w:tabs>
      <w:spacing w:after="0" w:line="240" w:lineRule="auto"/>
      <w:jc w:val="both"/>
    </w:pPr>
    <w:rPr>
      <w:rFonts w:ascii="Arial" w:eastAsia="Times New Roman" w:hAnsi="Arial" w:cs="Times New Roman"/>
      <w:kern w:val="0"/>
      <w:szCs w:val="20"/>
      <w:lang w:eastAsia="en-GB"/>
      <w14:ligatures w14:val="none"/>
    </w:rPr>
  </w:style>
  <w:style w:type="paragraph" w:customStyle="1" w:styleId="Default">
    <w:name w:val="Default"/>
    <w:rsid w:val="00FA23C3"/>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paragraph" w:styleId="NoSpacing">
    <w:name w:val="No Spacing"/>
    <w:uiPriority w:val="1"/>
    <w:qFormat/>
    <w:rsid w:val="00B85E02"/>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2.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8C91C849-38AB-49CB-B859-D14A6BC18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1010</TotalTime>
  <Pages>7</Pages>
  <Words>2592</Words>
  <Characters>14780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salesforceId:011b71e9-7a8d-4441-8190-0bf3d3eb0dda</dc:subject>
  <dc:creator>O'Donoghue, Ruaridh</dc:creator>
  <cp:keywords/>
  <dc:description/>
  <cp:lastModifiedBy>Ellis, Angela</cp:lastModifiedBy>
  <cp:revision>116</cp:revision>
  <dcterms:created xsi:type="dcterms:W3CDTF">2026-08-19T15:58:00Z</dcterms:created>
  <dcterms:modified xsi:type="dcterms:W3CDTF">2026-08-20T12:40:00Z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069Q300000SnWBaIAN</vt:lpwstr>
  </property>
</Properties>
</file>