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08B67" w14:textId="77777777" w:rsidR="00DD02E4" w:rsidRPr="00097010" w:rsidRDefault="00DD02E4" w:rsidP="00DD02E4">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034E78">
        <w:rPr>
          <w:rFonts w:ascii="Arial" w:hAnsi="Arial" w:cs="Arial"/>
          <w:b/>
          <w:bCs/>
          <w:sz w:val="28"/>
          <w:szCs w:val="28"/>
        </w:rPr>
        <w:t>HOUSEHOLDER PLANNING PERMISSION</w:t>
      </w:r>
    </w:p>
    <w:p w14:paraId="51C0EBD9" w14:textId="77777777" w:rsidR="00DD02E4" w:rsidRDefault="00DD02E4" w:rsidP="00DD02E4">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124C05E" w14:textId="77777777" w:rsidR="00DD02E4" w:rsidRPr="00F7609E" w:rsidRDefault="00DD02E4" w:rsidP="00DD02E4">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DD02E4" w14:paraId="1B985701" w14:textId="77777777" w:rsidTr="00290291">
        <w:tc>
          <w:tcPr>
            <w:tcW w:w="3681" w:type="dxa"/>
          </w:tcPr>
          <w:p w14:paraId="29F4BC81" w14:textId="77777777" w:rsidR="00DD02E4" w:rsidRDefault="00DD02E4" w:rsidP="00290291">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CF05923" w14:textId="77777777" w:rsidR="00DD02E4" w:rsidRPr="00F45D2D" w:rsidRDefault="00DD02E4" w:rsidP="00290291">
            <w:pPr>
              <w:spacing w:before="100" w:beforeAutospacing="1" w:after="100" w:afterAutospacing="1" w:line="276" w:lineRule="auto"/>
              <w:rPr>
                <w:rFonts w:ascii="Arial" w:hAnsi="Arial" w:cs="Arial"/>
                <w:sz w:val="22"/>
                <w:szCs w:val="22"/>
                <w:lang w:eastAsia="en-GB"/>
              </w:rPr>
            </w:pPr>
            <w:r w:rsidRPr="00F45D2D">
              <w:rPr>
                <w:rFonts w:ascii="Arial" w:hAnsi="Arial" w:cs="Arial"/>
                <w:sz w:val="22"/>
                <w:szCs w:val="22"/>
                <w:lang w:val="en-GB" w:eastAsia="en-GB"/>
              </w:rPr>
              <w:t>PL/2026/03914</w:t>
            </w:r>
          </w:p>
        </w:tc>
      </w:tr>
      <w:tr w:rsidR="00DD02E4" w14:paraId="090E0258" w14:textId="77777777" w:rsidTr="00290291">
        <w:tc>
          <w:tcPr>
            <w:tcW w:w="3681" w:type="dxa"/>
          </w:tcPr>
          <w:p w14:paraId="3E4E792F" w14:textId="77777777" w:rsidR="00DD02E4" w:rsidRDefault="00DD02E4" w:rsidP="00290291">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638BE646" w14:textId="77777777" w:rsidR="00DD02E4" w:rsidRPr="00F45D2D" w:rsidRDefault="00DD02E4" w:rsidP="00290291">
            <w:pPr>
              <w:spacing w:before="100" w:beforeAutospacing="1" w:after="100" w:afterAutospacing="1" w:line="276" w:lineRule="auto"/>
              <w:rPr>
                <w:rFonts w:ascii="Arial" w:hAnsi="Arial" w:cs="Arial"/>
                <w:b/>
                <w:bCs/>
                <w:sz w:val="22"/>
                <w:szCs w:val="22"/>
                <w:lang w:eastAsia="en-GB"/>
              </w:rPr>
            </w:pPr>
            <w:r w:rsidRPr="00F45D2D">
              <w:rPr>
                <w:rFonts w:ascii="Arial" w:hAnsi="Arial" w:cs="Arial"/>
                <w:sz w:val="22"/>
                <w:szCs w:val="22"/>
                <w:lang w:eastAsia="en-GB"/>
              </w:rPr>
              <w:t>Householder Planning Permission</w:t>
            </w:r>
          </w:p>
        </w:tc>
      </w:tr>
      <w:tr w:rsidR="00DD02E4" w14:paraId="12192CB3" w14:textId="77777777" w:rsidTr="00290291">
        <w:tc>
          <w:tcPr>
            <w:tcW w:w="3681" w:type="dxa"/>
          </w:tcPr>
          <w:p w14:paraId="797CA78E" w14:textId="77777777" w:rsidR="00DD02E4" w:rsidRDefault="00DD02E4" w:rsidP="00290291">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3E34FEA1" w14:textId="77777777" w:rsidR="00DD02E4" w:rsidRPr="00F45D2D" w:rsidRDefault="00DD02E4" w:rsidP="00290291">
            <w:pPr>
              <w:spacing w:before="100" w:beforeAutospacing="1" w:after="100" w:afterAutospacing="1" w:line="276" w:lineRule="auto"/>
              <w:rPr>
                <w:rFonts w:ascii="Arial" w:hAnsi="Arial" w:cs="Arial"/>
                <w:b/>
                <w:bCs/>
                <w:sz w:val="22"/>
                <w:szCs w:val="22"/>
                <w:lang w:eastAsia="en-GB"/>
              </w:rPr>
            </w:pPr>
            <w:r w:rsidRPr="00F45D2D">
              <w:rPr>
                <w:rFonts w:ascii="Arial" w:hAnsi="Arial" w:cs="Arial"/>
                <w:sz w:val="22"/>
                <w:szCs w:val="22"/>
                <w:lang w:val="en-GB" w:eastAsia="en-GB"/>
              </w:rPr>
              <w:t>10 Balmoral Road, Trowbridge, BA14 0JS</w:t>
            </w:r>
          </w:p>
        </w:tc>
      </w:tr>
      <w:tr w:rsidR="00DD02E4" w14:paraId="000F0832" w14:textId="77777777" w:rsidTr="00290291">
        <w:tc>
          <w:tcPr>
            <w:tcW w:w="3681" w:type="dxa"/>
          </w:tcPr>
          <w:p w14:paraId="6AD48A12" w14:textId="77777777" w:rsidR="00DD02E4" w:rsidRDefault="00DD02E4" w:rsidP="00290291">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76C1B378" w14:textId="77777777" w:rsidR="00DD02E4" w:rsidRPr="00F45D2D" w:rsidRDefault="00DD02E4" w:rsidP="00290291">
            <w:pPr>
              <w:spacing w:before="100" w:beforeAutospacing="1" w:after="100" w:afterAutospacing="1" w:line="276" w:lineRule="auto"/>
              <w:rPr>
                <w:rFonts w:ascii="Arial" w:hAnsi="Arial" w:cs="Arial"/>
                <w:b/>
                <w:bCs/>
                <w:sz w:val="22"/>
                <w:szCs w:val="22"/>
                <w:lang w:eastAsia="en-GB"/>
              </w:rPr>
            </w:pPr>
            <w:r w:rsidRPr="00F45D2D">
              <w:rPr>
                <w:rFonts w:ascii="Arial" w:hAnsi="Arial" w:cs="Arial"/>
                <w:sz w:val="22"/>
                <w:szCs w:val="22"/>
                <w:lang w:val="en-GB" w:eastAsia="en-GB"/>
              </w:rPr>
              <w:t>Single storey rear extension and first floor side extension to a dwelling</w:t>
            </w:r>
          </w:p>
        </w:tc>
      </w:tr>
      <w:tr w:rsidR="00DD02E4" w14:paraId="4A88AFB6" w14:textId="77777777" w:rsidTr="00290291">
        <w:tc>
          <w:tcPr>
            <w:tcW w:w="3681" w:type="dxa"/>
          </w:tcPr>
          <w:p w14:paraId="5BBA148B" w14:textId="77777777" w:rsidR="00DD02E4" w:rsidRDefault="00DD02E4" w:rsidP="00290291">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0CB3030D" w14:textId="77777777" w:rsidR="00DD02E4" w:rsidRDefault="00DD02E4" w:rsidP="00290291">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78C9B67A" w14:textId="77777777" w:rsidR="00DD02E4" w:rsidRDefault="00DD02E4" w:rsidP="00DD02E4">
      <w:pPr>
        <w:tabs>
          <w:tab w:val="left" w:pos="2520"/>
        </w:tabs>
        <w:rPr>
          <w:rFonts w:ascii="Arial" w:hAnsi="Arial" w:cs="Arial"/>
          <w:b/>
          <w:color w:val="FF0000"/>
          <w:sz w:val="22"/>
          <w:szCs w:val="22"/>
        </w:rPr>
      </w:pPr>
    </w:p>
    <w:p w14:paraId="5A9DC3B5" w14:textId="6BDFC167" w:rsidR="000E38BA" w:rsidRPr="005A66C3" w:rsidRDefault="00DD02E4" w:rsidP="00182E05">
      <w:pPr>
        <w:tabs>
          <w:tab w:val="left" w:pos="2520"/>
        </w:tabs>
        <w:jc w:val="center"/>
        <w:rPr>
          <w:rFonts w:ascii="Arial" w:hAnsi="Arial" w:cs="Arial"/>
          <w:bCs/>
          <w:sz w:val="22"/>
          <w:szCs w:val="22"/>
        </w:rPr>
      </w:pPr>
      <w:r w:rsidRPr="003754B3">
        <w:rPr>
          <w:rFonts w:ascii="Arial" w:hAnsi="Arial" w:cs="Arial"/>
          <w:b/>
          <w:noProof/>
          <w:color w:val="FF0000"/>
          <w:sz w:val="22"/>
          <w:szCs w:val="22"/>
          <w:bdr w:val="single" w:sz="12" w:space="0" w:color="auto"/>
        </w:rPr>
        <w:drawing>
          <wp:inline distT="0" distB="0" distL="0" distR="0" wp14:anchorId="2209612D" wp14:editId="4A2538E9">
            <wp:extent cx="2313829" cy="2180191"/>
            <wp:effectExtent l="0" t="0" r="0" b="0"/>
            <wp:docPr id="2100354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54830" name=""/>
                    <pic:cNvPicPr/>
                  </pic:nvPicPr>
                  <pic:blipFill>
                    <a:blip r:embed="rId5"/>
                    <a:stretch>
                      <a:fillRect/>
                    </a:stretch>
                  </pic:blipFill>
                  <pic:spPr>
                    <a:xfrm>
                      <a:off x="0" y="0"/>
                      <a:ext cx="2326981" cy="2192583"/>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5ACC9284" w14:textId="0A03DAF9" w:rsidR="00B82822" w:rsidRPr="002449EB" w:rsidRDefault="00B82822" w:rsidP="00B82822">
      <w:pPr>
        <w:spacing w:line="276" w:lineRule="auto"/>
        <w:jc w:val="both"/>
        <w:rPr>
          <w:rFonts w:ascii="Arial" w:hAnsi="Arial" w:cs="Arial"/>
          <w:sz w:val="22"/>
          <w:szCs w:val="22"/>
        </w:rPr>
      </w:pPr>
      <w:r w:rsidRPr="00B82822">
        <w:rPr>
          <w:rFonts w:ascii="Arial" w:hAnsi="Arial" w:cs="Arial"/>
          <w:sz w:val="22"/>
          <w:szCs w:val="22"/>
        </w:rPr>
        <w:t>The application seeks planning permission for a two-storey side extension and a single-storey rear extension to an existing detached dwelling. The two-storey side extension would be constructed above and</w:t>
      </w:r>
      <w:r w:rsidR="00D17D11">
        <w:rPr>
          <w:rFonts w:ascii="Arial" w:hAnsi="Arial" w:cs="Arial"/>
          <w:sz w:val="22"/>
          <w:szCs w:val="22"/>
        </w:rPr>
        <w:t xml:space="preserve"> would extend </w:t>
      </w:r>
      <w:r w:rsidRPr="00B82822">
        <w:rPr>
          <w:rFonts w:ascii="Arial" w:hAnsi="Arial" w:cs="Arial"/>
          <w:sz w:val="22"/>
          <w:szCs w:val="22"/>
        </w:rPr>
        <w:t xml:space="preserve">the existing attached </w:t>
      </w:r>
      <w:r w:rsidR="00D17D11">
        <w:rPr>
          <w:rFonts w:ascii="Arial" w:hAnsi="Arial" w:cs="Arial"/>
          <w:sz w:val="22"/>
          <w:szCs w:val="22"/>
        </w:rPr>
        <w:t xml:space="preserve">single-storey </w:t>
      </w:r>
      <w:r w:rsidRPr="00B82822">
        <w:rPr>
          <w:rFonts w:ascii="Arial" w:hAnsi="Arial" w:cs="Arial"/>
          <w:sz w:val="22"/>
          <w:szCs w:val="22"/>
        </w:rPr>
        <w:t>garage, extending the built form to align with the garage footprint and incorporating a two-storey front gable projection above the garage. The proposal also includes a single-storey rear extension spanning the full width of the dwelling, including the extended side element, to provide enlarged kitchen/dining accommodation and a</w:t>
      </w:r>
      <w:r w:rsidR="00D17D11">
        <w:rPr>
          <w:rFonts w:ascii="Arial" w:hAnsi="Arial" w:cs="Arial"/>
          <w:sz w:val="22"/>
          <w:szCs w:val="22"/>
        </w:rPr>
        <w:t>n</w:t>
      </w:r>
      <w:r w:rsidRPr="00B82822">
        <w:rPr>
          <w:rFonts w:ascii="Arial" w:hAnsi="Arial" w:cs="Arial"/>
          <w:sz w:val="22"/>
          <w:szCs w:val="22"/>
        </w:rPr>
        <w:t xml:space="preserve"> office. The development would increase the property from a three-bedroom dwelling to a four-bedroom dwelling through the creation of an additional principal bedroom with associated en-suite accommodation above the garage. External materials comprise light grey composite cladding and through-colour render, with white uPVC windows and concrete roof tiles to match the existing dwelling.</w:t>
      </w:r>
    </w:p>
    <w:p w14:paraId="28AE561C" w14:textId="77777777" w:rsidR="008C2CBB" w:rsidRPr="005A66C3" w:rsidRDefault="008C2CBB"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4B1BA5FB" w14:textId="77777777" w:rsidR="00912249" w:rsidRDefault="00912249" w:rsidP="005A66C3">
      <w:pPr>
        <w:spacing w:line="276" w:lineRule="auto"/>
        <w:rPr>
          <w:rFonts w:ascii="Arial" w:hAnsi="Arial" w:cs="Arial"/>
          <w:sz w:val="22"/>
          <w:szCs w:val="22"/>
        </w:rPr>
      </w:pPr>
    </w:p>
    <w:p w14:paraId="4CB3A777" w14:textId="617EDEB2" w:rsidR="00182E05" w:rsidRDefault="00182E05" w:rsidP="00182E05">
      <w:pPr>
        <w:spacing w:line="276" w:lineRule="auto"/>
        <w:jc w:val="both"/>
        <w:rPr>
          <w:rFonts w:ascii="Arial" w:hAnsi="Arial" w:cs="Arial"/>
          <w:sz w:val="22"/>
          <w:szCs w:val="22"/>
        </w:rPr>
      </w:pPr>
      <w:r w:rsidRPr="00182E05">
        <w:rPr>
          <w:rFonts w:ascii="Arial" w:hAnsi="Arial" w:cs="Arial"/>
          <w:sz w:val="22"/>
          <w:szCs w:val="22"/>
        </w:rPr>
        <w:t xml:space="preserve">The site comprises a detached </w:t>
      </w:r>
      <w:r w:rsidR="00D17D11">
        <w:rPr>
          <w:rFonts w:ascii="Arial" w:hAnsi="Arial" w:cs="Arial"/>
          <w:sz w:val="22"/>
          <w:szCs w:val="22"/>
        </w:rPr>
        <w:t xml:space="preserve">two-storey </w:t>
      </w:r>
      <w:r w:rsidRPr="00182E05">
        <w:rPr>
          <w:rFonts w:ascii="Arial" w:hAnsi="Arial" w:cs="Arial"/>
          <w:sz w:val="22"/>
          <w:szCs w:val="22"/>
        </w:rPr>
        <w:t>dwelling located within a modern residential estate on the south-western edge of Trowbridge. The surrounding area is predominantly residential in character and consists of detached and semi-detached dwellings of broadly similar scale and appearance set within medium to low density suburban development. Properties in the locality commonly feature cream render, buff brickwork</w:t>
      </w:r>
      <w:r w:rsidR="00E5313E">
        <w:rPr>
          <w:rFonts w:ascii="Arial" w:hAnsi="Arial" w:cs="Arial"/>
          <w:sz w:val="22"/>
          <w:szCs w:val="22"/>
        </w:rPr>
        <w:t xml:space="preserve"> or red brick</w:t>
      </w:r>
      <w:r w:rsidRPr="00182E05">
        <w:rPr>
          <w:rFonts w:ascii="Arial" w:hAnsi="Arial" w:cs="Arial"/>
          <w:sz w:val="22"/>
          <w:szCs w:val="22"/>
        </w:rPr>
        <w:t>, white uPVC fenestration and concrete tiled roofs. The site lies within the Trowbridge Settlement Boundary, identified as a Principal Settlement within the Wiltshire Core Strategy. It is located within the Trowbridge and Westbury Bat Mitigation Strategy Grey Zone and falls within Flood Zone 1, with SFRA mapping indicating negligible risk from groundwater or surface water flooding. No other significant site-specific constraints are identified.</w:t>
      </w:r>
    </w:p>
    <w:p w14:paraId="648A4F18" w14:textId="77777777" w:rsidR="00B82C4D" w:rsidRPr="005A66C3" w:rsidRDefault="00B82C4D"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6BCAF986" w14:textId="77777777" w:rsidR="00C848E4" w:rsidRPr="005A66C3" w:rsidRDefault="00C848E4" w:rsidP="005A66C3">
      <w:pPr>
        <w:spacing w:line="276" w:lineRule="auto"/>
        <w:rPr>
          <w:rFonts w:ascii="Arial" w:hAnsi="Arial" w:cs="Arial"/>
          <w:sz w:val="22"/>
          <w:szCs w:val="22"/>
        </w:rPr>
      </w:pPr>
    </w:p>
    <w:p w14:paraId="09A6C555" w14:textId="718AB8A9" w:rsidR="00C25413" w:rsidRPr="00B72371" w:rsidRDefault="00BD3BD3" w:rsidP="005A66C3">
      <w:pPr>
        <w:spacing w:line="276" w:lineRule="auto"/>
        <w:rPr>
          <w:rFonts w:ascii="Arial" w:hAnsi="Arial" w:cs="Arial"/>
          <w:sz w:val="22"/>
          <w:szCs w:val="22"/>
        </w:rPr>
      </w:pPr>
      <w:r w:rsidRPr="00B72371">
        <w:rPr>
          <w:rFonts w:ascii="Arial" w:hAnsi="Arial" w:cs="Arial"/>
          <w:sz w:val="22"/>
          <w:szCs w:val="22"/>
        </w:rPr>
        <w:t>No relevant planning history has been identified for the site subject of this application.</w:t>
      </w:r>
    </w:p>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E5313E"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E5313E">
        <w:rPr>
          <w:rFonts w:ascii="Arial" w:hAnsi="Arial" w:cs="Arial"/>
          <w:sz w:val="22"/>
          <w:szCs w:val="22"/>
        </w:rPr>
        <w:t>:</w:t>
      </w:r>
    </w:p>
    <w:p w14:paraId="11F00393" w14:textId="77777777" w:rsidR="00C53B6A" w:rsidRPr="00433EF7" w:rsidRDefault="00C53B6A" w:rsidP="005A66C3">
      <w:pPr>
        <w:spacing w:line="276" w:lineRule="auto"/>
        <w:rPr>
          <w:rFonts w:ascii="Arial" w:hAnsi="Arial" w:cs="Arial"/>
          <w:sz w:val="22"/>
          <w:szCs w:val="22"/>
        </w:rPr>
      </w:pPr>
    </w:p>
    <w:p w14:paraId="10B576DA" w14:textId="1112F6FD" w:rsidR="00C53B6A"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1</w:t>
      </w:r>
      <w:r w:rsidR="00601AAD" w:rsidRPr="00433EF7">
        <w:rPr>
          <w:rFonts w:ascii="Arial" w:hAnsi="Arial" w:cs="Arial"/>
          <w:sz w:val="22"/>
          <w:szCs w:val="22"/>
        </w:rPr>
        <w:tab/>
      </w:r>
      <w:r w:rsidR="00601AAD" w:rsidRPr="00433EF7">
        <w:rPr>
          <w:rFonts w:ascii="Arial" w:hAnsi="Arial" w:cs="Arial"/>
          <w:sz w:val="22"/>
          <w:szCs w:val="22"/>
        </w:rPr>
        <w:tab/>
      </w:r>
      <w:r w:rsidRPr="00433EF7">
        <w:rPr>
          <w:rFonts w:ascii="Arial" w:hAnsi="Arial" w:cs="Arial"/>
          <w:sz w:val="22"/>
          <w:szCs w:val="22"/>
        </w:rPr>
        <w:t xml:space="preserve">Settlement </w:t>
      </w:r>
      <w:r w:rsidR="007A61A7" w:rsidRPr="00433EF7">
        <w:rPr>
          <w:rFonts w:ascii="Arial" w:hAnsi="Arial" w:cs="Arial"/>
          <w:sz w:val="22"/>
          <w:szCs w:val="22"/>
        </w:rPr>
        <w:t>S</w:t>
      </w:r>
      <w:r w:rsidRPr="00433EF7">
        <w:rPr>
          <w:rFonts w:ascii="Arial" w:hAnsi="Arial" w:cs="Arial"/>
          <w:sz w:val="22"/>
          <w:szCs w:val="22"/>
        </w:rPr>
        <w:t xml:space="preserve">trategy; </w:t>
      </w:r>
    </w:p>
    <w:p w14:paraId="476E7C45" w14:textId="745033F9" w:rsidR="00DC64E7"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2</w:t>
      </w:r>
      <w:r w:rsidR="00601AAD" w:rsidRPr="00433EF7">
        <w:rPr>
          <w:rFonts w:ascii="Arial" w:hAnsi="Arial" w:cs="Arial"/>
          <w:sz w:val="22"/>
          <w:szCs w:val="22"/>
        </w:rPr>
        <w:t xml:space="preserve"> </w:t>
      </w:r>
      <w:r w:rsidR="00601AAD" w:rsidRPr="00433EF7">
        <w:rPr>
          <w:rFonts w:ascii="Arial" w:hAnsi="Arial" w:cs="Arial"/>
          <w:sz w:val="22"/>
          <w:szCs w:val="22"/>
        </w:rPr>
        <w:tab/>
      </w:r>
      <w:r w:rsidR="00601AAD" w:rsidRPr="00433EF7">
        <w:rPr>
          <w:rFonts w:ascii="Arial" w:hAnsi="Arial" w:cs="Arial"/>
          <w:sz w:val="22"/>
          <w:szCs w:val="22"/>
        </w:rPr>
        <w:tab/>
      </w:r>
      <w:r w:rsidRPr="00433EF7">
        <w:rPr>
          <w:rFonts w:ascii="Arial" w:hAnsi="Arial" w:cs="Arial"/>
          <w:sz w:val="22"/>
          <w:szCs w:val="22"/>
        </w:rPr>
        <w:t xml:space="preserve">Delivery </w:t>
      </w:r>
      <w:r w:rsidR="007A61A7" w:rsidRPr="00433EF7">
        <w:rPr>
          <w:rFonts w:ascii="Arial" w:hAnsi="Arial" w:cs="Arial"/>
          <w:sz w:val="22"/>
          <w:szCs w:val="22"/>
        </w:rPr>
        <w:t>S</w:t>
      </w:r>
      <w:r w:rsidRPr="00433EF7">
        <w:rPr>
          <w:rFonts w:ascii="Arial" w:hAnsi="Arial" w:cs="Arial"/>
          <w:sz w:val="22"/>
          <w:szCs w:val="22"/>
        </w:rPr>
        <w:t>trategy;</w:t>
      </w:r>
    </w:p>
    <w:p w14:paraId="7D8BECCC" w14:textId="56BDCC84" w:rsidR="0076074E" w:rsidRPr="00433EF7" w:rsidRDefault="0076074E"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 xml:space="preserve">Core Policy </w:t>
      </w:r>
      <w:r w:rsidR="00594C14" w:rsidRPr="00433EF7">
        <w:rPr>
          <w:rFonts w:ascii="Arial" w:hAnsi="Arial" w:cs="Arial"/>
          <w:sz w:val="22"/>
          <w:szCs w:val="22"/>
        </w:rPr>
        <w:t>29</w:t>
      </w:r>
      <w:r w:rsidRPr="00433EF7">
        <w:rPr>
          <w:rFonts w:ascii="Arial" w:hAnsi="Arial" w:cs="Arial"/>
          <w:sz w:val="22"/>
          <w:szCs w:val="22"/>
        </w:rPr>
        <w:t xml:space="preserve"> </w:t>
      </w:r>
      <w:r w:rsidRPr="00433EF7">
        <w:rPr>
          <w:rFonts w:ascii="Arial" w:hAnsi="Arial" w:cs="Arial"/>
          <w:sz w:val="22"/>
          <w:szCs w:val="22"/>
        </w:rPr>
        <w:tab/>
        <w:t>Spatial Strategy:</w:t>
      </w:r>
      <w:r w:rsidR="00594C14" w:rsidRPr="00433EF7">
        <w:rPr>
          <w:rFonts w:ascii="Arial" w:hAnsi="Arial" w:cs="Arial"/>
          <w:sz w:val="22"/>
          <w:szCs w:val="22"/>
        </w:rPr>
        <w:t xml:space="preserve"> Trowbridge Community Area;</w:t>
      </w:r>
    </w:p>
    <w:p w14:paraId="72359717" w14:textId="5D2923D3" w:rsidR="007336B3" w:rsidRPr="00433EF7" w:rsidRDefault="007336B3"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50</w:t>
      </w:r>
      <w:r w:rsidRPr="00433EF7">
        <w:rPr>
          <w:rFonts w:ascii="Arial" w:hAnsi="Arial" w:cs="Arial"/>
          <w:sz w:val="22"/>
          <w:szCs w:val="22"/>
        </w:rPr>
        <w:tab/>
      </w:r>
      <w:r w:rsidRPr="00433EF7">
        <w:rPr>
          <w:rFonts w:ascii="Arial" w:hAnsi="Arial" w:cs="Arial"/>
          <w:sz w:val="22"/>
          <w:szCs w:val="22"/>
        </w:rPr>
        <w:tab/>
        <w:t>Biodiversity and Geodiversity;</w:t>
      </w:r>
    </w:p>
    <w:p w14:paraId="2C9A8F56" w14:textId="6C82D516" w:rsidR="00C53B6A"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51</w:t>
      </w:r>
      <w:r w:rsidR="00601AAD" w:rsidRPr="00433EF7">
        <w:rPr>
          <w:rFonts w:ascii="Arial" w:hAnsi="Arial" w:cs="Arial"/>
          <w:sz w:val="22"/>
          <w:szCs w:val="22"/>
        </w:rPr>
        <w:t xml:space="preserve"> </w:t>
      </w:r>
      <w:r w:rsidR="00601AAD" w:rsidRPr="00433EF7">
        <w:rPr>
          <w:rFonts w:ascii="Arial" w:hAnsi="Arial" w:cs="Arial"/>
          <w:sz w:val="22"/>
          <w:szCs w:val="22"/>
        </w:rPr>
        <w:tab/>
      </w:r>
      <w:r w:rsidRPr="00433EF7">
        <w:rPr>
          <w:rFonts w:ascii="Arial" w:hAnsi="Arial" w:cs="Arial"/>
          <w:sz w:val="22"/>
          <w:szCs w:val="22"/>
        </w:rPr>
        <w:t xml:space="preserve">Landscape; </w:t>
      </w:r>
    </w:p>
    <w:p w14:paraId="40D32787" w14:textId="78D7E7D9" w:rsidR="00A938B9"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57</w:t>
      </w:r>
      <w:r w:rsidR="00601AAD" w:rsidRPr="00433EF7">
        <w:rPr>
          <w:rFonts w:ascii="Arial" w:hAnsi="Arial" w:cs="Arial"/>
          <w:sz w:val="22"/>
          <w:szCs w:val="22"/>
        </w:rPr>
        <w:t xml:space="preserve"> </w:t>
      </w:r>
      <w:r w:rsidR="00601AAD" w:rsidRPr="00433EF7">
        <w:rPr>
          <w:rFonts w:ascii="Arial" w:hAnsi="Arial" w:cs="Arial"/>
          <w:sz w:val="22"/>
          <w:szCs w:val="22"/>
        </w:rPr>
        <w:tab/>
      </w:r>
      <w:r w:rsidRPr="00433EF7">
        <w:rPr>
          <w:rFonts w:ascii="Arial" w:hAnsi="Arial" w:cs="Arial"/>
          <w:sz w:val="22"/>
          <w:szCs w:val="22"/>
        </w:rPr>
        <w:t xml:space="preserve">Ensuring </w:t>
      </w:r>
      <w:r w:rsidR="007A61A7" w:rsidRPr="00433EF7">
        <w:rPr>
          <w:rFonts w:ascii="Arial" w:hAnsi="Arial" w:cs="Arial"/>
          <w:sz w:val="22"/>
          <w:szCs w:val="22"/>
        </w:rPr>
        <w:t>H</w:t>
      </w:r>
      <w:r w:rsidRPr="00433EF7">
        <w:rPr>
          <w:rFonts w:ascii="Arial" w:hAnsi="Arial" w:cs="Arial"/>
          <w:sz w:val="22"/>
          <w:szCs w:val="22"/>
        </w:rPr>
        <w:t>igh-</w:t>
      </w:r>
      <w:r w:rsidR="007A61A7" w:rsidRPr="00433EF7">
        <w:rPr>
          <w:rFonts w:ascii="Arial" w:hAnsi="Arial" w:cs="Arial"/>
          <w:sz w:val="22"/>
          <w:szCs w:val="22"/>
        </w:rPr>
        <w:t>Q</w:t>
      </w:r>
      <w:r w:rsidRPr="00433EF7">
        <w:rPr>
          <w:rFonts w:ascii="Arial" w:hAnsi="Arial" w:cs="Arial"/>
          <w:sz w:val="22"/>
          <w:szCs w:val="22"/>
        </w:rPr>
        <w:t xml:space="preserve">uality </w:t>
      </w:r>
      <w:r w:rsidR="007A61A7" w:rsidRPr="00433EF7">
        <w:rPr>
          <w:rFonts w:ascii="Arial" w:hAnsi="Arial" w:cs="Arial"/>
          <w:sz w:val="22"/>
          <w:szCs w:val="22"/>
        </w:rPr>
        <w:t>D</w:t>
      </w:r>
      <w:r w:rsidRPr="00433EF7">
        <w:rPr>
          <w:rFonts w:ascii="Arial" w:hAnsi="Arial" w:cs="Arial"/>
          <w:sz w:val="22"/>
          <w:szCs w:val="22"/>
        </w:rPr>
        <w:t xml:space="preserve">esign and </w:t>
      </w:r>
      <w:r w:rsidR="007A61A7" w:rsidRPr="00433EF7">
        <w:rPr>
          <w:rFonts w:ascii="Arial" w:hAnsi="Arial" w:cs="Arial"/>
          <w:sz w:val="22"/>
          <w:szCs w:val="22"/>
        </w:rPr>
        <w:t>P</w:t>
      </w:r>
      <w:r w:rsidRPr="00433EF7">
        <w:rPr>
          <w:rFonts w:ascii="Arial" w:hAnsi="Arial" w:cs="Arial"/>
          <w:sz w:val="22"/>
          <w:szCs w:val="22"/>
        </w:rPr>
        <w:t xml:space="preserve">lace </w:t>
      </w:r>
      <w:r w:rsidR="007A61A7" w:rsidRPr="00433EF7">
        <w:rPr>
          <w:rFonts w:ascii="Arial" w:hAnsi="Arial" w:cs="Arial"/>
          <w:sz w:val="22"/>
          <w:szCs w:val="22"/>
        </w:rPr>
        <w:t>S</w:t>
      </w:r>
      <w:r w:rsidRPr="00433EF7">
        <w:rPr>
          <w:rFonts w:ascii="Arial" w:hAnsi="Arial" w:cs="Arial"/>
          <w:sz w:val="22"/>
          <w:szCs w:val="22"/>
        </w:rPr>
        <w:t xml:space="preserve">haping; </w:t>
      </w:r>
    </w:p>
    <w:p w14:paraId="11ED6A25" w14:textId="7AF5F23B" w:rsidR="00EB3DCC" w:rsidRPr="00433EF7" w:rsidRDefault="00EB3DCC"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60</w:t>
      </w:r>
      <w:r w:rsidRPr="00433EF7">
        <w:rPr>
          <w:rFonts w:ascii="Arial" w:hAnsi="Arial" w:cs="Arial"/>
          <w:sz w:val="22"/>
          <w:szCs w:val="22"/>
        </w:rPr>
        <w:tab/>
      </w:r>
      <w:r w:rsidRPr="00433EF7">
        <w:rPr>
          <w:rFonts w:ascii="Arial" w:hAnsi="Arial" w:cs="Arial"/>
          <w:sz w:val="22"/>
          <w:szCs w:val="22"/>
        </w:rPr>
        <w:tab/>
        <w:t>Sustainable Transport;</w:t>
      </w:r>
    </w:p>
    <w:p w14:paraId="77A925A7" w14:textId="333FBA5F" w:rsidR="00C53B6A"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61</w:t>
      </w:r>
      <w:r w:rsidR="00601AAD" w:rsidRPr="00433EF7">
        <w:rPr>
          <w:rFonts w:ascii="Arial" w:hAnsi="Arial" w:cs="Arial"/>
          <w:sz w:val="22"/>
          <w:szCs w:val="22"/>
        </w:rPr>
        <w:t xml:space="preserve"> </w:t>
      </w:r>
      <w:r w:rsidR="00601AAD" w:rsidRPr="00433EF7">
        <w:rPr>
          <w:rFonts w:ascii="Arial" w:hAnsi="Arial" w:cs="Arial"/>
          <w:sz w:val="22"/>
          <w:szCs w:val="22"/>
        </w:rPr>
        <w:tab/>
      </w:r>
      <w:r w:rsidRPr="00433EF7">
        <w:rPr>
          <w:rFonts w:ascii="Arial" w:hAnsi="Arial" w:cs="Arial"/>
          <w:sz w:val="22"/>
          <w:szCs w:val="22"/>
        </w:rPr>
        <w:t xml:space="preserve">Transport and Development; </w:t>
      </w:r>
    </w:p>
    <w:p w14:paraId="2F1672C7" w14:textId="2EDD9E9D" w:rsidR="00C53B6A" w:rsidRPr="00433EF7" w:rsidRDefault="00C53B6A"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64</w:t>
      </w:r>
      <w:r w:rsidR="00601AAD" w:rsidRPr="00433EF7">
        <w:rPr>
          <w:rFonts w:ascii="Arial" w:hAnsi="Arial" w:cs="Arial"/>
          <w:sz w:val="22"/>
          <w:szCs w:val="22"/>
        </w:rPr>
        <w:t xml:space="preserve"> </w:t>
      </w:r>
      <w:r w:rsidR="00601AAD" w:rsidRPr="00433EF7">
        <w:rPr>
          <w:rFonts w:ascii="Arial" w:hAnsi="Arial" w:cs="Arial"/>
          <w:sz w:val="22"/>
          <w:szCs w:val="22"/>
        </w:rPr>
        <w:tab/>
      </w:r>
      <w:r w:rsidRPr="00433EF7">
        <w:rPr>
          <w:rFonts w:ascii="Arial" w:hAnsi="Arial" w:cs="Arial"/>
          <w:sz w:val="22"/>
          <w:szCs w:val="22"/>
        </w:rPr>
        <w:t xml:space="preserve">Demand Management; </w:t>
      </w:r>
    </w:p>
    <w:p w14:paraId="2911E291" w14:textId="49AA6B9B" w:rsidR="0023524B" w:rsidRPr="00433EF7" w:rsidRDefault="0023524B" w:rsidP="005A66C3">
      <w:pPr>
        <w:autoSpaceDE w:val="0"/>
        <w:autoSpaceDN w:val="0"/>
        <w:adjustRightInd w:val="0"/>
        <w:spacing w:line="276" w:lineRule="auto"/>
        <w:rPr>
          <w:rFonts w:ascii="Arial" w:hAnsi="Arial" w:cs="Arial"/>
          <w:sz w:val="22"/>
          <w:szCs w:val="22"/>
        </w:rPr>
      </w:pPr>
      <w:r w:rsidRPr="00433EF7">
        <w:rPr>
          <w:rFonts w:ascii="Arial" w:hAnsi="Arial" w:cs="Arial"/>
          <w:sz w:val="22"/>
          <w:szCs w:val="22"/>
        </w:rPr>
        <w:t>Core Policy 67</w:t>
      </w:r>
      <w:r w:rsidRPr="00433EF7">
        <w:rPr>
          <w:rFonts w:ascii="Arial" w:hAnsi="Arial" w:cs="Arial"/>
          <w:sz w:val="22"/>
          <w:szCs w:val="22"/>
        </w:rPr>
        <w:tab/>
      </w:r>
      <w:r w:rsidRPr="00433EF7">
        <w:rPr>
          <w:rFonts w:ascii="Arial" w:hAnsi="Arial" w:cs="Arial"/>
          <w:sz w:val="22"/>
          <w:szCs w:val="22"/>
        </w:rPr>
        <w:tab/>
        <w:t>Flood Risk;</w:t>
      </w:r>
    </w:p>
    <w:p w14:paraId="64F53B99" w14:textId="77777777" w:rsidR="00DC4F3E" w:rsidRPr="00433EF7" w:rsidRDefault="00DC4F3E" w:rsidP="005A66C3">
      <w:pPr>
        <w:spacing w:line="276" w:lineRule="auto"/>
        <w:rPr>
          <w:rFonts w:ascii="Arial" w:hAnsi="Arial" w:cs="Arial"/>
          <w:sz w:val="22"/>
          <w:szCs w:val="22"/>
          <w:u w:val="single"/>
        </w:rPr>
      </w:pPr>
    </w:p>
    <w:p w14:paraId="1C924897" w14:textId="3F6E72F1" w:rsidR="00DC4F3E" w:rsidRPr="00433EF7" w:rsidRDefault="00DC4F3E" w:rsidP="005A66C3">
      <w:pPr>
        <w:spacing w:line="276" w:lineRule="auto"/>
        <w:rPr>
          <w:rFonts w:ascii="Arial" w:hAnsi="Arial" w:cs="Arial"/>
          <w:sz w:val="22"/>
          <w:szCs w:val="22"/>
          <w:u w:val="single"/>
        </w:rPr>
      </w:pPr>
      <w:bookmarkStart w:id="0" w:name="_Hlk212452795"/>
      <w:bookmarkStart w:id="1" w:name="_Hlk212461860"/>
      <w:r w:rsidRPr="00433EF7">
        <w:rPr>
          <w:rFonts w:ascii="Arial" w:hAnsi="Arial" w:cs="Arial"/>
          <w:sz w:val="22"/>
          <w:szCs w:val="22"/>
          <w:u w:val="single"/>
        </w:rPr>
        <w:t>The National Planning Policy Framework (NPPF)</w:t>
      </w:r>
      <w:r w:rsidR="00E5313E">
        <w:rPr>
          <w:rFonts w:ascii="Arial" w:hAnsi="Arial" w:cs="Arial"/>
          <w:sz w:val="22"/>
          <w:szCs w:val="22"/>
          <w:u w:val="single"/>
        </w:rPr>
        <w:t xml:space="preserve"> August 2026</w:t>
      </w:r>
      <w:r w:rsidR="00433EF7" w:rsidRPr="00433EF7">
        <w:rPr>
          <w:rFonts w:ascii="Arial" w:hAnsi="Arial" w:cs="Arial"/>
          <w:sz w:val="22"/>
          <w:szCs w:val="22"/>
        </w:rPr>
        <w:t xml:space="preserve"> and </w:t>
      </w:r>
      <w:r w:rsidR="00E5313E">
        <w:rPr>
          <w:rFonts w:ascii="Arial" w:hAnsi="Arial" w:cs="Arial"/>
          <w:sz w:val="22"/>
          <w:szCs w:val="22"/>
          <w:u w:val="single"/>
        </w:rPr>
        <w:t>t</w:t>
      </w:r>
      <w:r w:rsidRPr="00433EF7">
        <w:rPr>
          <w:rFonts w:ascii="Arial" w:hAnsi="Arial" w:cs="Arial"/>
          <w:sz w:val="22"/>
          <w:szCs w:val="22"/>
          <w:u w:val="single"/>
        </w:rPr>
        <w:t>he Planning Practice Guidance (PPG)</w:t>
      </w:r>
    </w:p>
    <w:p w14:paraId="4930FB06" w14:textId="77777777" w:rsidR="008D6C52" w:rsidRPr="00433EF7" w:rsidRDefault="008D6C52" w:rsidP="005A66C3">
      <w:pPr>
        <w:spacing w:line="276" w:lineRule="auto"/>
        <w:rPr>
          <w:rFonts w:ascii="Arial" w:hAnsi="Arial" w:cs="Arial"/>
          <w:sz w:val="22"/>
          <w:szCs w:val="22"/>
          <w:u w:val="single"/>
        </w:rPr>
      </w:pPr>
    </w:p>
    <w:p w14:paraId="08D91513" w14:textId="2BED8373" w:rsidR="00561AE7" w:rsidRPr="00433EF7" w:rsidRDefault="008D6C52" w:rsidP="005A66C3">
      <w:pPr>
        <w:spacing w:line="276" w:lineRule="auto"/>
        <w:rPr>
          <w:rFonts w:ascii="Arial" w:hAnsi="Arial" w:cs="Arial"/>
          <w:sz w:val="22"/>
          <w:szCs w:val="22"/>
          <w:u w:val="single"/>
        </w:rPr>
      </w:pPr>
      <w:r w:rsidRPr="00433EF7">
        <w:rPr>
          <w:rFonts w:ascii="Arial" w:hAnsi="Arial" w:cs="Arial"/>
          <w:sz w:val="22"/>
          <w:szCs w:val="22"/>
          <w:u w:val="single"/>
        </w:rPr>
        <w:t xml:space="preserve">Wiltshire Design Guide </w:t>
      </w:r>
      <w:r w:rsidR="00DC4F3E" w:rsidRPr="00433EF7">
        <w:rPr>
          <w:rFonts w:ascii="Arial" w:hAnsi="Arial" w:cs="Arial"/>
          <w:sz w:val="22"/>
          <w:szCs w:val="22"/>
          <w:u w:val="single"/>
        </w:rPr>
        <w:t>- Appendix D – Design Guidance for Householder extensions</w:t>
      </w:r>
    </w:p>
    <w:bookmarkEnd w:id="0"/>
    <w:p w14:paraId="19CD89F3" w14:textId="77777777" w:rsidR="00DC4F3E" w:rsidRPr="00433EF7" w:rsidRDefault="00DC4F3E" w:rsidP="005A66C3">
      <w:pPr>
        <w:spacing w:line="276" w:lineRule="auto"/>
        <w:rPr>
          <w:rFonts w:ascii="Arial" w:hAnsi="Arial" w:cs="Arial"/>
          <w:sz w:val="22"/>
          <w:szCs w:val="22"/>
          <w:u w:val="single"/>
        </w:rPr>
      </w:pPr>
    </w:p>
    <w:p w14:paraId="791E8FB4" w14:textId="79324D54" w:rsidR="00561AE7" w:rsidRPr="00433EF7" w:rsidRDefault="008D6C52" w:rsidP="005A66C3">
      <w:pPr>
        <w:spacing w:line="276" w:lineRule="auto"/>
        <w:rPr>
          <w:rFonts w:ascii="Arial" w:hAnsi="Arial" w:cs="Arial"/>
          <w:sz w:val="22"/>
          <w:szCs w:val="22"/>
          <w:u w:val="single"/>
        </w:rPr>
      </w:pPr>
      <w:r w:rsidRPr="00433EF7">
        <w:rPr>
          <w:rFonts w:ascii="Arial" w:hAnsi="Arial" w:cs="Arial"/>
          <w:sz w:val="22"/>
          <w:szCs w:val="22"/>
          <w:u w:val="single"/>
        </w:rPr>
        <w:t>The Wiltshire Local Transport Plan 201</w:t>
      </w:r>
      <w:r w:rsidR="008D5791" w:rsidRPr="00433EF7">
        <w:rPr>
          <w:rFonts w:ascii="Arial" w:hAnsi="Arial" w:cs="Arial"/>
          <w:sz w:val="22"/>
          <w:szCs w:val="22"/>
          <w:u w:val="single"/>
        </w:rPr>
        <w:t>1</w:t>
      </w:r>
      <w:r w:rsidRPr="00433EF7">
        <w:rPr>
          <w:rFonts w:ascii="Arial" w:hAnsi="Arial" w:cs="Arial"/>
          <w:sz w:val="22"/>
          <w:szCs w:val="22"/>
          <w:u w:val="single"/>
        </w:rPr>
        <w:t xml:space="preserve"> – 2026: Car Parking Strategy (March 2015).</w:t>
      </w:r>
    </w:p>
    <w:p w14:paraId="68198CF8" w14:textId="77777777" w:rsidR="00DC4F3E" w:rsidRPr="00433EF7" w:rsidRDefault="00DC4F3E" w:rsidP="005A66C3">
      <w:pPr>
        <w:spacing w:line="276" w:lineRule="auto"/>
        <w:rPr>
          <w:rFonts w:ascii="Arial" w:hAnsi="Arial" w:cs="Arial"/>
          <w:sz w:val="22"/>
          <w:szCs w:val="22"/>
        </w:rPr>
      </w:pPr>
    </w:p>
    <w:p w14:paraId="7E5B5138" w14:textId="30DA2106" w:rsidR="00CD6B35" w:rsidRPr="00433EF7" w:rsidRDefault="00CD6B35" w:rsidP="005A66C3">
      <w:pPr>
        <w:spacing w:line="276" w:lineRule="auto"/>
        <w:rPr>
          <w:rFonts w:ascii="Arial" w:hAnsi="Arial" w:cs="Arial"/>
          <w:sz w:val="22"/>
          <w:szCs w:val="22"/>
          <w:u w:val="single"/>
        </w:rPr>
      </w:pPr>
      <w:r w:rsidRPr="00433EF7">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75D1A4E7" w14:textId="5FB5FEA5" w:rsidR="00F25EA7" w:rsidRPr="00E5313E" w:rsidRDefault="00F25EA7" w:rsidP="00E5313E">
      <w:pPr>
        <w:pStyle w:val="NormalWeb"/>
        <w:spacing w:before="0" w:beforeAutospacing="0" w:after="0" w:afterAutospacing="0" w:line="276" w:lineRule="auto"/>
        <w:jc w:val="both"/>
        <w:rPr>
          <w:rFonts w:ascii="Arial" w:hAnsi="Arial" w:cs="Arial"/>
          <w:sz w:val="22"/>
          <w:szCs w:val="22"/>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r w:rsidR="00E5313E">
        <w:rPr>
          <w:rFonts w:ascii="Arial" w:hAnsi="Arial" w:cs="Arial"/>
          <w:sz w:val="22"/>
          <w:szCs w:val="22"/>
        </w:rPr>
        <w:t xml:space="preserve">:  </w:t>
      </w:r>
      <w:r w:rsidRPr="00E5313E">
        <w:rPr>
          <w:rFonts w:ascii="Arial" w:hAnsi="Arial" w:cs="Arial"/>
          <w:sz w:val="22"/>
          <w:szCs w:val="22"/>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EFC068B" w:rsidR="00B13966" w:rsidRPr="005A66C3" w:rsidRDefault="00F25EA7" w:rsidP="005A66C3">
      <w:pPr>
        <w:pStyle w:val="NoSpacing"/>
        <w:spacing w:line="276" w:lineRule="auto"/>
        <w:rPr>
          <w:rFonts w:eastAsiaTheme="minorEastAsia"/>
        </w:rPr>
      </w:pPr>
      <w:r w:rsidRPr="005A66C3">
        <w:rPr>
          <w:rFonts w:eastAsiaTheme="minorEastAsia"/>
        </w:rPr>
        <w:t xml:space="preserve">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w:t>
      </w:r>
      <w:r w:rsidR="00E5313E">
        <w:rPr>
          <w:rFonts w:eastAsiaTheme="minorEastAsia"/>
        </w:rPr>
        <w:t>decision-making</w:t>
      </w:r>
      <w:r w:rsidRPr="005A66C3">
        <w:rPr>
          <w:rFonts w:eastAsiaTheme="minorEastAsia"/>
        </w:rPr>
        <w:t>.</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5C4DB5DA" w:rsidR="0060536A" w:rsidRPr="00E5313E" w:rsidRDefault="001006B9" w:rsidP="005A66C3">
      <w:pPr>
        <w:spacing w:line="276" w:lineRule="auto"/>
        <w:rPr>
          <w:rFonts w:ascii="Arial" w:hAnsi="Arial" w:cs="Arial"/>
          <w:bCs/>
          <w:sz w:val="22"/>
          <w:szCs w:val="22"/>
        </w:rPr>
      </w:pPr>
      <w:r w:rsidRPr="001006B9">
        <w:rPr>
          <w:rFonts w:ascii="Arial" w:hAnsi="Arial" w:cs="Arial"/>
          <w:bCs/>
          <w:sz w:val="22"/>
          <w:szCs w:val="22"/>
          <w:u w:val="single"/>
        </w:rPr>
        <w:t>Trowbridge</w:t>
      </w:r>
      <w:r w:rsidR="00DC4F3E" w:rsidRPr="001006B9">
        <w:rPr>
          <w:rFonts w:ascii="Arial" w:hAnsi="Arial" w:cs="Arial"/>
          <w:bCs/>
          <w:sz w:val="22"/>
          <w:szCs w:val="22"/>
          <w:u w:val="single"/>
        </w:rPr>
        <w:t xml:space="preserve"> </w:t>
      </w:r>
      <w:r w:rsidR="005D2581" w:rsidRPr="001006B9">
        <w:rPr>
          <w:rFonts w:ascii="Arial" w:hAnsi="Arial" w:cs="Arial"/>
          <w:bCs/>
          <w:sz w:val="22"/>
          <w:szCs w:val="22"/>
          <w:u w:val="single"/>
        </w:rPr>
        <w:t>Town Council</w:t>
      </w:r>
      <w:r w:rsidR="0060536A" w:rsidRPr="001006B9">
        <w:rPr>
          <w:rFonts w:ascii="Arial" w:hAnsi="Arial" w:cs="Arial"/>
          <w:bCs/>
          <w:sz w:val="22"/>
          <w:szCs w:val="22"/>
          <w:u w:val="single"/>
        </w:rPr>
        <w:t xml:space="preserve"> </w:t>
      </w:r>
      <w:r w:rsidR="0060536A" w:rsidRPr="00E5313E">
        <w:rPr>
          <w:rFonts w:ascii="Arial" w:hAnsi="Arial" w:cs="Arial"/>
          <w:bCs/>
          <w:sz w:val="22"/>
          <w:szCs w:val="22"/>
        </w:rPr>
        <w:t xml:space="preserve">– </w:t>
      </w:r>
      <w:r w:rsidRPr="00E5313E">
        <w:rPr>
          <w:rFonts w:ascii="Arial" w:hAnsi="Arial" w:cs="Arial"/>
          <w:bCs/>
          <w:sz w:val="22"/>
          <w:szCs w:val="22"/>
        </w:rPr>
        <w:t>No Objection</w:t>
      </w:r>
    </w:p>
    <w:p w14:paraId="1F36FE15" w14:textId="77777777" w:rsidR="00DC4F3E" w:rsidRPr="001006B9" w:rsidRDefault="00DC4F3E" w:rsidP="005A66C3">
      <w:pPr>
        <w:spacing w:line="276" w:lineRule="auto"/>
        <w:rPr>
          <w:rFonts w:ascii="Arial" w:hAnsi="Arial" w:cs="Arial"/>
          <w:bCs/>
          <w:sz w:val="22"/>
          <w:szCs w:val="22"/>
        </w:rPr>
      </w:pPr>
    </w:p>
    <w:p w14:paraId="51953FE9" w14:textId="7EB5B3AF" w:rsidR="00DC4F3E" w:rsidRPr="00E5313E" w:rsidRDefault="00DC4F3E" w:rsidP="005A66C3">
      <w:pPr>
        <w:spacing w:line="276" w:lineRule="auto"/>
        <w:rPr>
          <w:rFonts w:ascii="Arial" w:hAnsi="Arial" w:cs="Arial"/>
          <w:bCs/>
          <w:sz w:val="22"/>
          <w:szCs w:val="22"/>
        </w:rPr>
      </w:pPr>
      <w:r w:rsidRPr="001006B9">
        <w:rPr>
          <w:rFonts w:ascii="Arial" w:hAnsi="Arial" w:cs="Arial"/>
          <w:bCs/>
          <w:sz w:val="22"/>
          <w:szCs w:val="22"/>
          <w:u w:val="single"/>
        </w:rPr>
        <w:t xml:space="preserve">Local Highway Authority (Wiltshire Council) </w:t>
      </w:r>
      <w:r w:rsidRPr="00E5313E">
        <w:rPr>
          <w:rFonts w:ascii="Arial" w:hAnsi="Arial" w:cs="Arial"/>
          <w:bCs/>
          <w:sz w:val="22"/>
          <w:szCs w:val="22"/>
        </w:rPr>
        <w:t xml:space="preserve">– </w:t>
      </w:r>
      <w:r w:rsidR="001006B9" w:rsidRPr="00E5313E">
        <w:rPr>
          <w:rFonts w:ascii="Arial" w:hAnsi="Arial" w:cs="Arial"/>
          <w:bCs/>
          <w:sz w:val="22"/>
          <w:szCs w:val="22"/>
        </w:rPr>
        <w:t>No Objection</w:t>
      </w:r>
    </w:p>
    <w:p w14:paraId="50D4288D" w14:textId="77777777" w:rsidR="00DC4F3E" w:rsidRPr="001006B9" w:rsidRDefault="00DC4F3E" w:rsidP="005A66C3">
      <w:pPr>
        <w:spacing w:line="276" w:lineRule="auto"/>
        <w:rPr>
          <w:rFonts w:ascii="Arial" w:hAnsi="Arial" w:cs="Arial"/>
          <w:sz w:val="22"/>
          <w:szCs w:val="22"/>
        </w:rPr>
      </w:pPr>
    </w:p>
    <w:p w14:paraId="4105122F" w14:textId="47778FCB" w:rsidR="003B136F" w:rsidRPr="001006B9" w:rsidRDefault="00B15AD7" w:rsidP="005A66C3">
      <w:pPr>
        <w:spacing w:line="276" w:lineRule="auto"/>
        <w:rPr>
          <w:rFonts w:ascii="Arial" w:hAnsi="Arial" w:cs="Arial"/>
          <w:b/>
          <w:bCs/>
          <w:sz w:val="22"/>
          <w:szCs w:val="22"/>
        </w:rPr>
      </w:pPr>
      <w:r w:rsidRPr="001006B9">
        <w:rPr>
          <w:rFonts w:ascii="Arial" w:hAnsi="Arial" w:cs="Arial"/>
          <w:b/>
          <w:bCs/>
          <w:sz w:val="22"/>
          <w:szCs w:val="22"/>
        </w:rPr>
        <w:t>REPRESENTATIONS</w:t>
      </w:r>
    </w:p>
    <w:p w14:paraId="062733D9" w14:textId="77777777" w:rsidR="005D2581" w:rsidRPr="001006B9" w:rsidRDefault="005D2581" w:rsidP="005A66C3">
      <w:pPr>
        <w:spacing w:line="276" w:lineRule="auto"/>
        <w:rPr>
          <w:rFonts w:ascii="Arial" w:hAnsi="Arial" w:cs="Arial"/>
          <w:bCs/>
          <w:sz w:val="22"/>
          <w:szCs w:val="22"/>
        </w:rPr>
      </w:pPr>
    </w:p>
    <w:p w14:paraId="1C30F395" w14:textId="76247FD6" w:rsidR="00B15AD7" w:rsidRPr="001006B9" w:rsidRDefault="003A1308" w:rsidP="005A66C3">
      <w:pPr>
        <w:spacing w:line="276" w:lineRule="auto"/>
        <w:rPr>
          <w:rFonts w:ascii="Arial" w:hAnsi="Arial" w:cs="Arial"/>
          <w:bCs/>
          <w:sz w:val="22"/>
          <w:szCs w:val="22"/>
        </w:rPr>
      </w:pPr>
      <w:r w:rsidRPr="001006B9">
        <w:rPr>
          <w:rFonts w:ascii="Arial" w:hAnsi="Arial" w:cs="Arial"/>
          <w:bCs/>
          <w:sz w:val="22"/>
          <w:szCs w:val="22"/>
        </w:rPr>
        <w:t>No</w:t>
      </w:r>
      <w:r w:rsidR="003E43F6" w:rsidRPr="001006B9">
        <w:rPr>
          <w:rFonts w:ascii="Arial" w:hAnsi="Arial" w:cs="Arial"/>
          <w:bCs/>
          <w:sz w:val="22"/>
          <w:szCs w:val="22"/>
        </w:rPr>
        <w:t xml:space="preserve"> comments received.</w:t>
      </w:r>
    </w:p>
    <w:p w14:paraId="1CA26ADF" w14:textId="77777777" w:rsidR="00606E13" w:rsidRPr="005A66C3" w:rsidRDefault="00606E1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lastRenderedPageBreak/>
        <w:t>ASSESSMENT</w:t>
      </w:r>
    </w:p>
    <w:p w14:paraId="118FBF82" w14:textId="77777777" w:rsidR="006E26D9" w:rsidRPr="00245C15" w:rsidRDefault="006E26D9" w:rsidP="00245C15">
      <w:pPr>
        <w:spacing w:line="276" w:lineRule="auto"/>
        <w:jc w:val="both"/>
        <w:rPr>
          <w:rFonts w:ascii="Arial" w:hAnsi="Arial" w:cs="Arial"/>
          <w:sz w:val="22"/>
          <w:szCs w:val="22"/>
        </w:rPr>
      </w:pPr>
    </w:p>
    <w:p w14:paraId="492BD5AC" w14:textId="77777777" w:rsidR="00C63478" w:rsidRPr="00245C15" w:rsidRDefault="00C63478" w:rsidP="00245C15">
      <w:pPr>
        <w:spacing w:line="276" w:lineRule="auto"/>
        <w:jc w:val="both"/>
        <w:rPr>
          <w:rFonts w:ascii="Arial" w:hAnsi="Arial" w:cs="Arial"/>
          <w:sz w:val="22"/>
          <w:szCs w:val="22"/>
        </w:rPr>
      </w:pPr>
      <w:r w:rsidRPr="00245C15">
        <w:rPr>
          <w:rFonts w:ascii="Arial" w:hAnsi="Arial" w:cs="Arial"/>
          <w:sz w:val="22"/>
          <w:szCs w:val="22"/>
        </w:rPr>
        <w:t>Section 38(6) of the Planning and Compulsory Purchase Act 2004 states:</w:t>
      </w:r>
    </w:p>
    <w:p w14:paraId="31B10479" w14:textId="77777777" w:rsidR="00C63478" w:rsidRPr="00245C15" w:rsidRDefault="00C63478" w:rsidP="00245C15">
      <w:pPr>
        <w:spacing w:line="276" w:lineRule="auto"/>
        <w:jc w:val="both"/>
        <w:rPr>
          <w:rFonts w:ascii="Arial" w:hAnsi="Arial" w:cs="Arial"/>
          <w:sz w:val="22"/>
          <w:szCs w:val="22"/>
        </w:rPr>
      </w:pPr>
    </w:p>
    <w:p w14:paraId="6F055964" w14:textId="77777777" w:rsidR="00C63478" w:rsidRPr="00245C15" w:rsidRDefault="00C63478" w:rsidP="00245C15">
      <w:pPr>
        <w:spacing w:line="276" w:lineRule="auto"/>
        <w:jc w:val="both"/>
        <w:rPr>
          <w:rFonts w:ascii="Arial" w:hAnsi="Arial" w:cs="Arial"/>
          <w:sz w:val="22"/>
          <w:szCs w:val="22"/>
        </w:rPr>
      </w:pPr>
      <w:r w:rsidRPr="00245C15">
        <w:rPr>
          <w:rFonts w:ascii="Arial" w:hAnsi="Arial" w:cs="Arial"/>
          <w:sz w:val="22"/>
          <w:szCs w:val="22"/>
        </w:rPr>
        <w:t>"</w:t>
      </w:r>
      <w:r w:rsidRPr="00E5313E">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245C15">
        <w:rPr>
          <w:rFonts w:ascii="Arial" w:hAnsi="Arial" w:cs="Arial"/>
          <w:sz w:val="22"/>
          <w:szCs w:val="22"/>
        </w:rPr>
        <w:t>."</w:t>
      </w:r>
    </w:p>
    <w:p w14:paraId="3B433D73" w14:textId="77777777" w:rsidR="00C63478" w:rsidRPr="00245C15" w:rsidRDefault="00C63478" w:rsidP="00245C15">
      <w:pPr>
        <w:spacing w:line="276" w:lineRule="auto"/>
        <w:jc w:val="both"/>
        <w:rPr>
          <w:rFonts w:ascii="Arial" w:hAnsi="Arial" w:cs="Arial"/>
          <w:sz w:val="22"/>
          <w:szCs w:val="22"/>
        </w:rPr>
      </w:pPr>
    </w:p>
    <w:p w14:paraId="6DC3D758" w14:textId="1D9942D1" w:rsidR="003E43F6" w:rsidRPr="00245C15" w:rsidRDefault="00C63478" w:rsidP="00245C15">
      <w:pPr>
        <w:spacing w:line="276" w:lineRule="auto"/>
        <w:jc w:val="both"/>
        <w:rPr>
          <w:rFonts w:ascii="Arial" w:hAnsi="Arial" w:cs="Arial"/>
          <w:sz w:val="22"/>
          <w:szCs w:val="22"/>
        </w:rPr>
      </w:pPr>
      <w:r w:rsidRPr="00245C15">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245C15" w:rsidRDefault="006C1101" w:rsidP="00245C15">
      <w:pPr>
        <w:spacing w:line="276" w:lineRule="auto"/>
        <w:jc w:val="both"/>
        <w:rPr>
          <w:rFonts w:ascii="Arial" w:hAnsi="Arial" w:cs="Arial"/>
          <w:sz w:val="22"/>
          <w:szCs w:val="22"/>
        </w:rPr>
      </w:pPr>
    </w:p>
    <w:p w14:paraId="1FF0EE7A" w14:textId="71798EC7" w:rsidR="00323D7D" w:rsidRPr="00245C15" w:rsidRDefault="00245C15" w:rsidP="00245C15">
      <w:pPr>
        <w:spacing w:line="276" w:lineRule="auto"/>
        <w:jc w:val="both"/>
        <w:rPr>
          <w:rFonts w:ascii="Arial" w:hAnsi="Arial" w:cs="Arial"/>
          <w:sz w:val="22"/>
          <w:szCs w:val="22"/>
        </w:rPr>
      </w:pPr>
      <w:r w:rsidRPr="00245C15">
        <w:rPr>
          <w:rFonts w:ascii="Arial" w:hAnsi="Arial" w:cs="Arial"/>
          <w:sz w:val="22"/>
          <w:szCs w:val="22"/>
        </w:rPr>
        <w:t>The proposed development relates to the extension of an existing dwellinghouse within its established residential curtilage and within the defined settlement boundary of Trowbridge. As such, the proposal represents a form of domestic development that is acceptable in principle, subject to compliance with relevant design, residential amenity, ecological, highways and drainage considerations. The proposal would not result in the creation of a new dwelling or a change of land use and is therefore considered to accord with the general objectives of sustainable development and the efficient use of land within existing settlements.</w:t>
      </w:r>
    </w:p>
    <w:p w14:paraId="16051FF9" w14:textId="77777777" w:rsidR="00323D7D" w:rsidRPr="005A66C3" w:rsidRDefault="00323D7D" w:rsidP="005A66C3">
      <w:pPr>
        <w:spacing w:line="276" w:lineRule="auto"/>
        <w:rPr>
          <w:rFonts w:ascii="Arial" w:hAnsi="Arial" w:cs="Arial"/>
          <w:sz w:val="22"/>
          <w:szCs w:val="22"/>
        </w:rPr>
      </w:pPr>
    </w:p>
    <w:p w14:paraId="013B8DA6" w14:textId="03B36B88"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5E76B96B"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Policy </w:t>
      </w:r>
      <w:proofErr w:type="spellStart"/>
      <w:r w:rsidR="00E5313E">
        <w:rPr>
          <w:rFonts w:ascii="Arial" w:hAnsi="Arial" w:cs="Arial"/>
          <w:sz w:val="22"/>
          <w:szCs w:val="22"/>
        </w:rPr>
        <w:t>CP</w:t>
      </w:r>
      <w:r w:rsidRPr="0054166A">
        <w:rPr>
          <w:rFonts w:ascii="Arial" w:hAnsi="Arial" w:cs="Arial"/>
          <w:sz w:val="22"/>
          <w:szCs w:val="22"/>
        </w:rPr>
        <w:t>57</w:t>
      </w:r>
      <w:proofErr w:type="spellEnd"/>
      <w:r w:rsidRPr="0054166A">
        <w:rPr>
          <w:rFonts w:ascii="Arial" w:hAnsi="Arial" w:cs="Arial"/>
          <w:sz w:val="22"/>
          <w:szCs w:val="22"/>
        </w:rPr>
        <w:t xml:space="preserve"> of the </w:t>
      </w:r>
      <w:r w:rsidR="00E5313E">
        <w:rPr>
          <w:rFonts w:ascii="Arial" w:hAnsi="Arial" w:cs="Arial"/>
          <w:sz w:val="22"/>
          <w:szCs w:val="22"/>
        </w:rPr>
        <w:t xml:space="preserve">adopted WCS </w:t>
      </w:r>
      <w:r w:rsidRPr="0054166A">
        <w:rPr>
          <w:rFonts w:ascii="Arial" w:hAnsi="Arial" w:cs="Arial"/>
          <w:sz w:val="22"/>
          <w:szCs w:val="22"/>
        </w:rPr>
        <w:t xml:space="preserve">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 xml:space="preserve">At the national level, Policy </w:t>
      </w:r>
      <w:proofErr w:type="spellStart"/>
      <w:r w:rsidRPr="0054166A">
        <w:rPr>
          <w:rFonts w:ascii="Arial" w:hAnsi="Arial" w:cs="Arial"/>
          <w:sz w:val="22"/>
          <w:szCs w:val="22"/>
        </w:rPr>
        <w:t>DP3</w:t>
      </w:r>
      <w:proofErr w:type="spellEnd"/>
      <w:r w:rsidRPr="0054166A">
        <w:rPr>
          <w:rFonts w:ascii="Arial" w:hAnsi="Arial" w:cs="Arial"/>
          <w:sz w:val="22"/>
          <w:szCs w:val="22"/>
        </w:rPr>
        <w:t xml:space="preserve"> of the </w:t>
      </w:r>
      <w:r w:rsidR="00E5313E">
        <w:rPr>
          <w:rFonts w:ascii="Arial" w:hAnsi="Arial" w:cs="Arial"/>
          <w:sz w:val="22"/>
          <w:szCs w:val="22"/>
        </w:rPr>
        <w:t>NPPF</w:t>
      </w:r>
      <w:r w:rsidRPr="0054166A">
        <w:rPr>
          <w:rFonts w:ascii="Arial" w:hAnsi="Arial" w:cs="Arial"/>
          <w:sz w:val="22"/>
          <w:szCs w:val="22"/>
        </w:rPr>
        <w:t xml:space="preserve">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3FF44071" w14:textId="68289C25" w:rsidR="00A77830" w:rsidRDefault="00A77830" w:rsidP="0054166A">
      <w:pPr>
        <w:spacing w:line="276" w:lineRule="auto"/>
        <w:jc w:val="both"/>
        <w:rPr>
          <w:rFonts w:ascii="Arial" w:hAnsi="Arial" w:cs="Arial"/>
          <w:color w:val="000000" w:themeColor="text1"/>
          <w:sz w:val="22"/>
          <w:szCs w:val="22"/>
        </w:rPr>
      </w:pPr>
      <w:r w:rsidRPr="00A77830">
        <w:rPr>
          <w:rFonts w:ascii="Arial" w:hAnsi="Arial" w:cs="Arial"/>
          <w:color w:val="000000" w:themeColor="text1"/>
          <w:sz w:val="22"/>
          <w:szCs w:val="22"/>
        </w:rPr>
        <w:t xml:space="preserve">The proposed extensions are considered to achieve an acceptable design response to the host dwelling and surrounding area. The two-storey side extension would largely continue the existing built form by infilling above the attached garage and creating a more balanced frontage through the introduction of a gabled projection. Similar forms of development, including full two-storey built forms and front gable projections, are evident within the wider estate and therefore the proposal would not appear incongruous within the street scene. Whilst composite cladding is not a dominant feature of immediately adjoining properties, examples are present within the wider locality </w:t>
      </w:r>
      <w:r w:rsidR="00E5313E">
        <w:rPr>
          <w:rFonts w:ascii="Arial" w:hAnsi="Arial" w:cs="Arial"/>
          <w:color w:val="000000" w:themeColor="text1"/>
          <w:sz w:val="22"/>
          <w:szCs w:val="22"/>
        </w:rPr>
        <w:t xml:space="preserve">(refer to site photographs provided on the following page) </w:t>
      </w:r>
      <w:r w:rsidRPr="00A77830">
        <w:rPr>
          <w:rFonts w:ascii="Arial" w:hAnsi="Arial" w:cs="Arial"/>
          <w:color w:val="000000" w:themeColor="text1"/>
          <w:sz w:val="22"/>
          <w:szCs w:val="22"/>
        </w:rPr>
        <w:t>and its use as a complementary feature material, rather than as the principal finish to all elevations, is considered acceptable. The proposed render, roof tiles and uPVC windows would closely reflect the materials of the host dwelling. Overall, the proposal is considered to integrate satisfactorily with both the existing dwelling and the prevailing character of the area.</w:t>
      </w:r>
    </w:p>
    <w:p w14:paraId="2BE4B6EC" w14:textId="77777777" w:rsidR="00A77830" w:rsidRPr="005A66C3" w:rsidRDefault="00A77830" w:rsidP="0054166A">
      <w:pPr>
        <w:spacing w:line="276" w:lineRule="auto"/>
        <w:jc w:val="both"/>
        <w:rPr>
          <w:rFonts w:ascii="Arial" w:hAnsi="Arial" w:cs="Arial"/>
          <w:color w:val="000000" w:themeColor="text1"/>
          <w:sz w:val="22"/>
          <w:szCs w:val="22"/>
        </w:rPr>
      </w:pPr>
    </w:p>
    <w:p w14:paraId="66BC3641" w14:textId="492008CA"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w:t>
      </w:r>
      <w:proofErr w:type="spellStart"/>
      <w:r w:rsidR="00C577FF">
        <w:rPr>
          <w:rFonts w:ascii="Arial" w:hAnsi="Arial" w:cs="Arial"/>
          <w:color w:val="000000" w:themeColor="text1"/>
          <w:sz w:val="22"/>
          <w:szCs w:val="22"/>
        </w:rPr>
        <w:t>DP3</w:t>
      </w:r>
      <w:proofErr w:type="spellEnd"/>
      <w:r w:rsidR="00C577FF">
        <w:rPr>
          <w:rFonts w:ascii="Arial" w:hAnsi="Arial" w:cs="Arial"/>
          <w:color w:val="000000" w:themeColor="text1"/>
          <w:sz w:val="22"/>
          <w:szCs w:val="22"/>
        </w:rPr>
        <w:t xml:space="preserve">, </w:t>
      </w:r>
      <w:proofErr w:type="spellStart"/>
      <w:r w:rsidR="00E5313E">
        <w:rPr>
          <w:rFonts w:ascii="Arial" w:hAnsi="Arial" w:cs="Arial"/>
          <w:color w:val="000000" w:themeColor="text1"/>
          <w:sz w:val="22"/>
          <w:szCs w:val="22"/>
        </w:rPr>
        <w:t>CP</w:t>
      </w:r>
      <w:r w:rsidR="0063129A">
        <w:rPr>
          <w:rFonts w:ascii="Arial" w:hAnsi="Arial" w:cs="Arial"/>
          <w:color w:val="000000" w:themeColor="text1"/>
          <w:sz w:val="22"/>
          <w:szCs w:val="22"/>
        </w:rPr>
        <w:t>5</w:t>
      </w:r>
      <w:r w:rsidRPr="005A66C3">
        <w:rPr>
          <w:rFonts w:ascii="Arial" w:hAnsi="Arial" w:cs="Arial"/>
          <w:color w:val="000000" w:themeColor="text1"/>
          <w:sz w:val="22"/>
          <w:szCs w:val="22"/>
        </w:rPr>
        <w:t>7</w:t>
      </w:r>
      <w:proofErr w:type="spellEnd"/>
      <w:r w:rsidRPr="005A66C3">
        <w:rPr>
          <w:rFonts w:ascii="Arial" w:hAnsi="Arial" w:cs="Arial"/>
          <w:color w:val="000000" w:themeColor="text1"/>
          <w:sz w:val="22"/>
          <w:szCs w:val="22"/>
        </w:rPr>
        <w:t xml:space="preserve"> of the </w:t>
      </w:r>
      <w:r w:rsidR="00E5313E">
        <w:rPr>
          <w:rFonts w:ascii="Arial" w:hAnsi="Arial" w:cs="Arial"/>
          <w:color w:val="000000" w:themeColor="text1"/>
          <w:sz w:val="22"/>
          <w:szCs w:val="22"/>
        </w:rPr>
        <w:t>adopted WCS</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46182E51" w14:textId="3B5D19CB" w:rsidR="008C7436" w:rsidRDefault="008C7436" w:rsidP="005A66C3">
      <w:pPr>
        <w:spacing w:line="276" w:lineRule="auto"/>
        <w:rPr>
          <w:rFonts w:ascii="Arial" w:hAnsi="Arial" w:cs="Arial"/>
          <w:sz w:val="22"/>
          <w:szCs w:val="22"/>
        </w:rPr>
      </w:pPr>
      <w:r w:rsidRPr="008C7436">
        <w:rPr>
          <w:rFonts w:ascii="Arial" w:hAnsi="Arial" w:cs="Arial"/>
          <w:noProof/>
          <w:sz w:val="22"/>
          <w:szCs w:val="22"/>
        </w:rPr>
        <w:lastRenderedPageBreak/>
        <w:drawing>
          <wp:inline distT="0" distB="0" distL="0" distR="0" wp14:anchorId="7DB34C92" wp14:editId="3B7A6A92">
            <wp:extent cx="6629400" cy="1419860"/>
            <wp:effectExtent l="0" t="0" r="0" b="8890"/>
            <wp:docPr id="199955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51003" name=""/>
                    <pic:cNvPicPr/>
                  </pic:nvPicPr>
                  <pic:blipFill>
                    <a:blip r:embed="rId6"/>
                    <a:stretch>
                      <a:fillRect/>
                    </a:stretch>
                  </pic:blipFill>
                  <pic:spPr>
                    <a:xfrm>
                      <a:off x="0" y="0"/>
                      <a:ext cx="6629400" cy="1419860"/>
                    </a:xfrm>
                    <a:prstGeom prst="rect">
                      <a:avLst/>
                    </a:prstGeom>
                  </pic:spPr>
                </pic:pic>
              </a:graphicData>
            </a:graphic>
          </wp:inline>
        </w:drawing>
      </w:r>
    </w:p>
    <w:p w14:paraId="478DD7FF" w14:textId="4921E7FC" w:rsidR="008C7436" w:rsidRPr="008C7436" w:rsidRDefault="008C7436" w:rsidP="008C7436">
      <w:pPr>
        <w:spacing w:line="276" w:lineRule="auto"/>
        <w:jc w:val="center"/>
        <w:rPr>
          <w:rFonts w:ascii="Arial" w:hAnsi="Arial" w:cs="Arial"/>
          <w:i/>
          <w:iCs/>
          <w:sz w:val="22"/>
          <w:szCs w:val="22"/>
        </w:rPr>
      </w:pPr>
      <w:r w:rsidRPr="008C7436">
        <w:rPr>
          <w:rFonts w:ascii="Arial" w:hAnsi="Arial" w:cs="Arial"/>
          <w:i/>
          <w:iCs/>
          <w:sz w:val="22"/>
          <w:szCs w:val="22"/>
        </w:rPr>
        <w:t>Existing Elevations</w:t>
      </w:r>
    </w:p>
    <w:p w14:paraId="6F1B499C" w14:textId="77777777" w:rsidR="000F4D40" w:rsidRDefault="000F4D40" w:rsidP="005A66C3">
      <w:pPr>
        <w:spacing w:line="276" w:lineRule="auto"/>
        <w:rPr>
          <w:rFonts w:ascii="Arial" w:hAnsi="Arial" w:cs="Arial"/>
          <w:sz w:val="22"/>
          <w:szCs w:val="22"/>
        </w:rPr>
      </w:pPr>
    </w:p>
    <w:p w14:paraId="517DC8EF" w14:textId="005F9D1E" w:rsidR="008C7436" w:rsidRDefault="000F4D40" w:rsidP="005A66C3">
      <w:pPr>
        <w:spacing w:line="276" w:lineRule="auto"/>
        <w:rPr>
          <w:rFonts w:ascii="Arial" w:hAnsi="Arial" w:cs="Arial"/>
          <w:sz w:val="22"/>
          <w:szCs w:val="22"/>
        </w:rPr>
      </w:pPr>
      <w:r>
        <w:rPr>
          <w:rFonts w:ascii="Arial" w:hAnsi="Arial" w:cs="Arial"/>
          <w:noProof/>
          <w:sz w:val="22"/>
          <w:szCs w:val="22"/>
        </w:rPr>
        <w:drawing>
          <wp:inline distT="0" distB="0" distL="0" distR="0" wp14:anchorId="63774D6D" wp14:editId="45A9996C">
            <wp:extent cx="6623685" cy="1105535"/>
            <wp:effectExtent l="0" t="0" r="5715" b="0"/>
            <wp:docPr id="463359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3685" cy="1105535"/>
                    </a:xfrm>
                    <a:prstGeom prst="rect">
                      <a:avLst/>
                    </a:prstGeom>
                    <a:noFill/>
                    <a:ln>
                      <a:noFill/>
                    </a:ln>
                  </pic:spPr>
                </pic:pic>
              </a:graphicData>
            </a:graphic>
          </wp:inline>
        </w:drawing>
      </w:r>
    </w:p>
    <w:p w14:paraId="3F255ED6" w14:textId="64495D0A" w:rsidR="000F4D40" w:rsidRPr="000F4D40" w:rsidRDefault="000F4D40" w:rsidP="000F4D40">
      <w:pPr>
        <w:spacing w:line="276" w:lineRule="auto"/>
        <w:jc w:val="center"/>
        <w:rPr>
          <w:rFonts w:ascii="Arial" w:hAnsi="Arial" w:cs="Arial"/>
          <w:i/>
          <w:iCs/>
          <w:sz w:val="22"/>
          <w:szCs w:val="22"/>
        </w:rPr>
      </w:pPr>
      <w:r w:rsidRPr="000F4D40">
        <w:rPr>
          <w:rFonts w:ascii="Arial" w:hAnsi="Arial" w:cs="Arial"/>
          <w:i/>
          <w:iCs/>
          <w:sz w:val="22"/>
          <w:szCs w:val="22"/>
        </w:rPr>
        <w:t>Proposed Elevations</w:t>
      </w:r>
    </w:p>
    <w:p w14:paraId="5DDF0A52" w14:textId="77777777" w:rsidR="000F4D40" w:rsidRDefault="000F4D40" w:rsidP="005A66C3">
      <w:pPr>
        <w:spacing w:line="276" w:lineRule="auto"/>
        <w:rPr>
          <w:rFonts w:ascii="Arial" w:hAnsi="Arial" w:cs="Arial"/>
          <w:sz w:val="22"/>
          <w:szCs w:val="22"/>
        </w:rPr>
      </w:pPr>
    </w:p>
    <w:p w14:paraId="5023EC84" w14:textId="00078113" w:rsidR="00D24156" w:rsidRDefault="00D24156" w:rsidP="005A66C3">
      <w:pPr>
        <w:spacing w:line="276" w:lineRule="auto"/>
        <w:rPr>
          <w:rFonts w:ascii="Arial" w:hAnsi="Arial" w:cs="Arial"/>
          <w:sz w:val="22"/>
          <w:szCs w:val="22"/>
        </w:rPr>
      </w:pPr>
      <w:r w:rsidRPr="00D24156">
        <w:rPr>
          <w:rFonts w:ascii="Arial" w:hAnsi="Arial" w:cs="Arial"/>
          <w:noProof/>
          <w:sz w:val="22"/>
          <w:szCs w:val="22"/>
        </w:rPr>
        <w:drawing>
          <wp:inline distT="0" distB="0" distL="0" distR="0" wp14:anchorId="3AEF6316" wp14:editId="1604D092">
            <wp:extent cx="6629400" cy="2218055"/>
            <wp:effectExtent l="0" t="0" r="0" b="0"/>
            <wp:docPr id="17448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2480" name=""/>
                    <pic:cNvPicPr/>
                  </pic:nvPicPr>
                  <pic:blipFill>
                    <a:blip r:embed="rId8"/>
                    <a:stretch>
                      <a:fillRect/>
                    </a:stretch>
                  </pic:blipFill>
                  <pic:spPr>
                    <a:xfrm>
                      <a:off x="0" y="0"/>
                      <a:ext cx="6629400" cy="2218055"/>
                    </a:xfrm>
                    <a:prstGeom prst="rect">
                      <a:avLst/>
                    </a:prstGeom>
                  </pic:spPr>
                </pic:pic>
              </a:graphicData>
            </a:graphic>
          </wp:inline>
        </w:drawing>
      </w:r>
    </w:p>
    <w:p w14:paraId="222794CC" w14:textId="149BC102" w:rsidR="00D24156" w:rsidRPr="00D24156" w:rsidRDefault="00D24156" w:rsidP="00D24156">
      <w:pPr>
        <w:spacing w:line="276" w:lineRule="auto"/>
        <w:jc w:val="center"/>
        <w:rPr>
          <w:rFonts w:ascii="Arial" w:hAnsi="Arial" w:cs="Arial"/>
          <w:i/>
          <w:iCs/>
          <w:sz w:val="22"/>
          <w:szCs w:val="22"/>
        </w:rPr>
      </w:pPr>
      <w:r w:rsidRPr="00D24156">
        <w:rPr>
          <w:rFonts w:ascii="Arial" w:hAnsi="Arial" w:cs="Arial"/>
          <w:i/>
          <w:iCs/>
          <w:sz w:val="22"/>
          <w:szCs w:val="22"/>
        </w:rPr>
        <w:t>Site Image</w:t>
      </w:r>
    </w:p>
    <w:p w14:paraId="0AEADF28" w14:textId="43225ACA" w:rsidR="00D24156" w:rsidRDefault="002773F8" w:rsidP="005A66C3">
      <w:pPr>
        <w:spacing w:line="276" w:lineRule="auto"/>
        <w:rPr>
          <w:rFonts w:ascii="Arial" w:hAnsi="Arial" w:cs="Arial"/>
          <w:sz w:val="22"/>
          <w:szCs w:val="22"/>
        </w:rPr>
      </w:pPr>
      <w:r w:rsidRPr="002773F8">
        <w:rPr>
          <w:rFonts w:ascii="Arial" w:hAnsi="Arial" w:cs="Arial"/>
          <w:noProof/>
          <w:sz w:val="22"/>
          <w:szCs w:val="22"/>
        </w:rPr>
        <w:drawing>
          <wp:inline distT="0" distB="0" distL="0" distR="0" wp14:anchorId="1801D499" wp14:editId="54684590">
            <wp:extent cx="6629400" cy="2282825"/>
            <wp:effectExtent l="0" t="0" r="0" b="3175"/>
            <wp:docPr id="48617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78456" name=""/>
                    <pic:cNvPicPr/>
                  </pic:nvPicPr>
                  <pic:blipFill>
                    <a:blip r:embed="rId9"/>
                    <a:stretch>
                      <a:fillRect/>
                    </a:stretch>
                  </pic:blipFill>
                  <pic:spPr>
                    <a:xfrm>
                      <a:off x="0" y="0"/>
                      <a:ext cx="6629400" cy="2282825"/>
                    </a:xfrm>
                    <a:prstGeom prst="rect">
                      <a:avLst/>
                    </a:prstGeom>
                  </pic:spPr>
                </pic:pic>
              </a:graphicData>
            </a:graphic>
          </wp:inline>
        </w:drawing>
      </w:r>
    </w:p>
    <w:p w14:paraId="50E8539F" w14:textId="6A06BE17" w:rsidR="002773F8" w:rsidRPr="002773F8" w:rsidRDefault="002773F8" w:rsidP="002773F8">
      <w:pPr>
        <w:spacing w:line="276" w:lineRule="auto"/>
        <w:jc w:val="center"/>
        <w:rPr>
          <w:rFonts w:ascii="Arial" w:hAnsi="Arial" w:cs="Arial"/>
          <w:i/>
          <w:iCs/>
          <w:sz w:val="22"/>
          <w:szCs w:val="22"/>
        </w:rPr>
      </w:pPr>
      <w:r w:rsidRPr="002773F8">
        <w:rPr>
          <w:rFonts w:ascii="Arial" w:hAnsi="Arial" w:cs="Arial"/>
          <w:i/>
          <w:iCs/>
          <w:sz w:val="22"/>
          <w:szCs w:val="22"/>
        </w:rPr>
        <w:t>Site image</w:t>
      </w:r>
    </w:p>
    <w:p w14:paraId="5AA78DFE" w14:textId="77777777" w:rsidR="002773F8" w:rsidRDefault="002773F8" w:rsidP="005A66C3">
      <w:pPr>
        <w:spacing w:line="276" w:lineRule="auto"/>
        <w:rPr>
          <w:rFonts w:ascii="Arial" w:hAnsi="Arial" w:cs="Arial"/>
          <w:sz w:val="22"/>
          <w:szCs w:val="22"/>
        </w:rPr>
      </w:pPr>
    </w:p>
    <w:p w14:paraId="53A49F63" w14:textId="77777777" w:rsidR="00E5313E" w:rsidRPr="005A66C3" w:rsidRDefault="00E5313E"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lastRenderedPageBreak/>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2BDCA99D" w:rsidR="00BA0474" w:rsidRDefault="00E5313E" w:rsidP="004F4B97">
      <w:pPr>
        <w:spacing w:line="276" w:lineRule="auto"/>
        <w:jc w:val="both"/>
        <w:rPr>
          <w:rFonts w:ascii="Arial" w:hAnsi="Arial" w:cs="Arial"/>
          <w:sz w:val="22"/>
          <w:szCs w:val="22"/>
        </w:rPr>
      </w:pPr>
      <w:r>
        <w:rPr>
          <w:rFonts w:ascii="Arial" w:hAnsi="Arial" w:cs="Arial"/>
          <w:sz w:val="22"/>
          <w:szCs w:val="22"/>
        </w:rPr>
        <w:t>C</w:t>
      </w:r>
      <w:r w:rsidR="004F4B97" w:rsidRPr="004F4B97">
        <w:rPr>
          <w:rFonts w:ascii="Arial" w:hAnsi="Arial" w:cs="Arial"/>
          <w:sz w:val="22"/>
          <w:szCs w:val="22"/>
        </w:rPr>
        <w:t>riterion vii</w:t>
      </w:r>
      <w:r>
        <w:rPr>
          <w:rFonts w:ascii="Arial" w:hAnsi="Arial" w:cs="Arial"/>
          <w:sz w:val="22"/>
          <w:szCs w:val="22"/>
        </w:rPr>
        <w:t xml:space="preserve"> of </w:t>
      </w:r>
      <w:proofErr w:type="spellStart"/>
      <w:r>
        <w:rPr>
          <w:rFonts w:ascii="Arial" w:hAnsi="Arial" w:cs="Arial"/>
          <w:sz w:val="22"/>
          <w:szCs w:val="22"/>
        </w:rPr>
        <w:t>CP57</w:t>
      </w:r>
      <w:proofErr w:type="spellEnd"/>
      <w:r w:rsidR="004F4B97" w:rsidRPr="004F4B97">
        <w:rPr>
          <w:rFonts w:ascii="Arial" w:hAnsi="Arial" w:cs="Arial"/>
          <w:sz w:val="22"/>
          <w:szCs w:val="22"/>
        </w:rPr>
        <w:t xml:space="preserve"> seeks to ensure development does not have an unacceptable impact upon the amenities of neighbouring occupiers.</w:t>
      </w:r>
      <w:r w:rsidR="004F4B97">
        <w:rPr>
          <w:rFonts w:ascii="Arial" w:hAnsi="Arial" w:cs="Arial"/>
          <w:sz w:val="22"/>
          <w:szCs w:val="22"/>
        </w:rPr>
        <w:t xml:space="preserve"> </w:t>
      </w:r>
      <w:r w:rsidR="004F4B97"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sidR="004F4B97">
        <w:rPr>
          <w:rFonts w:ascii="Arial" w:hAnsi="Arial" w:cs="Arial"/>
          <w:sz w:val="22"/>
          <w:szCs w:val="22"/>
        </w:rPr>
        <w:t xml:space="preserve"> </w:t>
      </w:r>
      <w:r w:rsidR="004F4B97"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0DCF7931" w14:textId="77777777" w:rsidR="00595B72" w:rsidRDefault="005F0E28" w:rsidP="005A66C3">
      <w:pPr>
        <w:spacing w:line="276" w:lineRule="auto"/>
        <w:jc w:val="both"/>
        <w:rPr>
          <w:rFonts w:ascii="Arial" w:hAnsi="Arial" w:cs="Arial"/>
          <w:color w:val="000000" w:themeColor="text1"/>
          <w:sz w:val="22"/>
          <w:szCs w:val="22"/>
        </w:rPr>
      </w:pPr>
      <w:r w:rsidRPr="005F0E28">
        <w:rPr>
          <w:rFonts w:ascii="Arial" w:hAnsi="Arial" w:cs="Arial"/>
          <w:color w:val="000000" w:themeColor="text1"/>
          <w:sz w:val="22"/>
          <w:szCs w:val="22"/>
        </w:rPr>
        <w:t xml:space="preserve">The proposed development would not result in any unacceptable impact upon the living conditions of neighbouring occupiers. The single-storey rear extension would project approximately 4 metres beyond the existing rear elevation, with a maximum height of approximately 3.4 metres reducing to around 2.6 metres at the eaves. Given its modest scale, separation from boundaries and the presence of existing boundary treatments, the extension is not considered to result in unacceptable overbearing impacts or loss of light to neighbouring properties. The orientation of the site and the position of the nearest neighbouring dwellings further reduce the potential for harmful overshadowing. In respect of privacy, the rear extension contains only ground-floor glazing serving the applicant's garden. </w:t>
      </w:r>
    </w:p>
    <w:p w14:paraId="35733E85" w14:textId="77777777" w:rsidR="00595B72" w:rsidRDefault="00595B72" w:rsidP="005A66C3">
      <w:pPr>
        <w:spacing w:line="276" w:lineRule="auto"/>
        <w:jc w:val="both"/>
        <w:rPr>
          <w:rFonts w:ascii="Arial" w:hAnsi="Arial" w:cs="Arial"/>
          <w:color w:val="000000" w:themeColor="text1"/>
          <w:sz w:val="22"/>
          <w:szCs w:val="22"/>
        </w:rPr>
      </w:pPr>
    </w:p>
    <w:p w14:paraId="3C4C461D" w14:textId="77777777" w:rsidR="00B420F7" w:rsidRDefault="00B420F7" w:rsidP="00B420F7">
      <w:pPr>
        <w:spacing w:line="276" w:lineRule="auto"/>
        <w:jc w:val="both"/>
        <w:rPr>
          <w:rFonts w:ascii="Arial" w:hAnsi="Arial" w:cs="Arial"/>
          <w:color w:val="000000" w:themeColor="text1"/>
          <w:sz w:val="22"/>
          <w:szCs w:val="22"/>
        </w:rPr>
      </w:pPr>
      <w:proofErr w:type="gramStart"/>
      <w:r w:rsidRPr="00B420F7">
        <w:rPr>
          <w:rFonts w:ascii="Arial" w:hAnsi="Arial" w:cs="Arial"/>
          <w:color w:val="000000" w:themeColor="text1"/>
          <w:sz w:val="22"/>
          <w:szCs w:val="22"/>
        </w:rPr>
        <w:t>With regard to</w:t>
      </w:r>
      <w:proofErr w:type="gramEnd"/>
      <w:r w:rsidRPr="00B420F7">
        <w:rPr>
          <w:rFonts w:ascii="Arial" w:hAnsi="Arial" w:cs="Arial"/>
          <w:color w:val="000000" w:themeColor="text1"/>
          <w:sz w:val="22"/>
          <w:szCs w:val="22"/>
        </w:rPr>
        <w:t xml:space="preserve"> the two-storey element, this would introduce a rear-facing first-floor window serving the en-suite bathroom and three windows serving the proposed new bedroom, including a standard casement window in the side (south-facing) elevation and a smaller window within the gable of the northern elevation.</w:t>
      </w:r>
    </w:p>
    <w:p w14:paraId="316F39C5" w14:textId="77777777" w:rsidR="00B420F7" w:rsidRPr="00B420F7" w:rsidRDefault="00B420F7" w:rsidP="00B420F7">
      <w:pPr>
        <w:spacing w:line="276" w:lineRule="auto"/>
        <w:jc w:val="both"/>
        <w:rPr>
          <w:rFonts w:ascii="Arial" w:hAnsi="Arial" w:cs="Arial"/>
          <w:color w:val="000000" w:themeColor="text1"/>
          <w:sz w:val="22"/>
          <w:szCs w:val="22"/>
        </w:rPr>
      </w:pPr>
    </w:p>
    <w:p w14:paraId="552A9BF4" w14:textId="77777777" w:rsidR="00B420F7" w:rsidRPr="00B420F7" w:rsidRDefault="00B420F7" w:rsidP="00B420F7">
      <w:pPr>
        <w:spacing w:line="276" w:lineRule="auto"/>
        <w:jc w:val="both"/>
        <w:rPr>
          <w:rFonts w:ascii="Arial" w:hAnsi="Arial" w:cs="Arial"/>
          <w:color w:val="000000" w:themeColor="text1"/>
          <w:sz w:val="22"/>
          <w:szCs w:val="22"/>
        </w:rPr>
      </w:pPr>
      <w:r w:rsidRPr="00B420F7">
        <w:rPr>
          <w:rFonts w:ascii="Arial" w:hAnsi="Arial" w:cs="Arial"/>
          <w:color w:val="000000" w:themeColor="text1"/>
          <w:sz w:val="22"/>
          <w:szCs w:val="22"/>
        </w:rPr>
        <w:t>Given the intervening distances, the oblique nature of views available from the rear window, and the limited outlook afforded by the side window over neighbouring private amenity space, it is not considered that the proposal would result in any material loss of privacy or unacceptable overlooking. Views over the existing bungalow to the south-west are already obtained from existing fenestration, and it is not considered that the introduction of the side-facing window would result in harmful window-to-window conflict or a significant loss of privacy compared to the existing situation. To the north, the proposed side-facing window would predominantly afford views towards the front parking area of No. 8 Balmoral Road, where public views are already available.</w:t>
      </w:r>
    </w:p>
    <w:p w14:paraId="5988E19E" w14:textId="77777777" w:rsidR="005F0E28" w:rsidRPr="005A66C3" w:rsidRDefault="005F0E28" w:rsidP="005A66C3">
      <w:pPr>
        <w:spacing w:line="276" w:lineRule="auto"/>
        <w:jc w:val="both"/>
        <w:rPr>
          <w:rFonts w:ascii="Arial" w:hAnsi="Arial" w:cs="Arial"/>
          <w:color w:val="000000" w:themeColor="text1"/>
          <w:sz w:val="22"/>
          <w:szCs w:val="22"/>
        </w:rPr>
      </w:pPr>
    </w:p>
    <w:p w14:paraId="29F05B7E" w14:textId="4C350DD2"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The proposal therefore accords with </w:t>
      </w:r>
      <w:proofErr w:type="spellStart"/>
      <w:r w:rsidR="00A90039">
        <w:rPr>
          <w:rFonts w:ascii="Arial" w:hAnsi="Arial" w:cs="Arial"/>
          <w:color w:val="000000" w:themeColor="text1"/>
          <w:sz w:val="22"/>
          <w:szCs w:val="22"/>
        </w:rPr>
        <w:t>CP</w:t>
      </w:r>
      <w:r w:rsidRPr="005A66C3">
        <w:rPr>
          <w:rFonts w:ascii="Arial" w:hAnsi="Arial" w:cs="Arial"/>
          <w:color w:val="000000" w:themeColor="text1"/>
          <w:sz w:val="22"/>
          <w:szCs w:val="22"/>
        </w:rPr>
        <w:t>57</w:t>
      </w:r>
      <w:proofErr w:type="spellEnd"/>
      <w:r w:rsidRPr="005A66C3">
        <w:rPr>
          <w:rFonts w:ascii="Arial" w:hAnsi="Arial" w:cs="Arial"/>
          <w:color w:val="000000" w:themeColor="text1"/>
          <w:sz w:val="22"/>
          <w:szCs w:val="22"/>
        </w:rPr>
        <w:t xml:space="preserve"> point vii </w:t>
      </w:r>
      <w:r w:rsidR="00A90039">
        <w:rPr>
          <w:rFonts w:ascii="Arial" w:hAnsi="Arial" w:cs="Arial"/>
          <w:color w:val="000000" w:themeColor="text1"/>
          <w:sz w:val="22"/>
          <w:szCs w:val="22"/>
        </w:rPr>
        <w:t xml:space="preserve">and the NPPF </w:t>
      </w:r>
      <w:r w:rsidRPr="005A66C3">
        <w:rPr>
          <w:rFonts w:ascii="Arial" w:hAnsi="Arial" w:cs="Arial"/>
          <w:color w:val="000000" w:themeColor="text1"/>
          <w:sz w:val="22"/>
          <w:szCs w:val="22"/>
        </w:rPr>
        <w:t>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349528B7"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w:t>
      </w:r>
      <w:r w:rsidR="00A90039">
        <w:rPr>
          <w:rFonts w:ascii="Arial" w:hAnsi="Arial" w:cs="Arial"/>
          <w:sz w:val="22"/>
          <w:szCs w:val="22"/>
        </w:rPr>
        <w:t>p</w:t>
      </w:r>
      <w:r w:rsidRPr="001A5972">
        <w:rPr>
          <w:rFonts w:ascii="Arial" w:hAnsi="Arial" w:cs="Arial"/>
          <w:sz w:val="22"/>
          <w:szCs w:val="22"/>
        </w:rPr>
        <w:t xml:space="preserve">olicies </w:t>
      </w:r>
      <w:proofErr w:type="spellStart"/>
      <w:r w:rsidR="00A90039">
        <w:rPr>
          <w:rFonts w:ascii="Arial" w:hAnsi="Arial" w:cs="Arial"/>
          <w:sz w:val="22"/>
          <w:szCs w:val="22"/>
        </w:rPr>
        <w:t>CP</w:t>
      </w:r>
      <w:r w:rsidRPr="001A5972">
        <w:rPr>
          <w:rFonts w:ascii="Arial" w:hAnsi="Arial" w:cs="Arial"/>
          <w:sz w:val="22"/>
          <w:szCs w:val="22"/>
        </w:rPr>
        <w:t>60</w:t>
      </w:r>
      <w:proofErr w:type="spellEnd"/>
      <w:r w:rsidRPr="001A5972">
        <w:rPr>
          <w:rFonts w:ascii="Arial" w:hAnsi="Arial" w:cs="Arial"/>
          <w:sz w:val="22"/>
          <w:szCs w:val="22"/>
        </w:rPr>
        <w:t xml:space="preserve">, </w:t>
      </w:r>
      <w:proofErr w:type="spellStart"/>
      <w:r w:rsidR="00A90039">
        <w:rPr>
          <w:rFonts w:ascii="Arial" w:hAnsi="Arial" w:cs="Arial"/>
          <w:sz w:val="22"/>
          <w:szCs w:val="22"/>
        </w:rPr>
        <w:t>CP</w:t>
      </w:r>
      <w:r w:rsidRPr="001A5972">
        <w:rPr>
          <w:rFonts w:ascii="Arial" w:hAnsi="Arial" w:cs="Arial"/>
          <w:sz w:val="22"/>
          <w:szCs w:val="22"/>
        </w:rPr>
        <w:t>61</w:t>
      </w:r>
      <w:proofErr w:type="spellEnd"/>
      <w:r w:rsidRPr="001A5972">
        <w:rPr>
          <w:rFonts w:ascii="Arial" w:hAnsi="Arial" w:cs="Arial"/>
          <w:sz w:val="22"/>
          <w:szCs w:val="22"/>
        </w:rPr>
        <w:t xml:space="preserve"> and </w:t>
      </w:r>
      <w:proofErr w:type="spellStart"/>
      <w:r w:rsidR="00A90039">
        <w:rPr>
          <w:rFonts w:ascii="Arial" w:hAnsi="Arial" w:cs="Arial"/>
          <w:sz w:val="22"/>
          <w:szCs w:val="22"/>
        </w:rPr>
        <w:t>CP</w:t>
      </w:r>
      <w:r w:rsidRPr="001A5972">
        <w:rPr>
          <w:rFonts w:ascii="Arial" w:hAnsi="Arial" w:cs="Arial"/>
          <w:sz w:val="22"/>
          <w:szCs w:val="22"/>
        </w:rPr>
        <w:t>64</w:t>
      </w:r>
      <w:proofErr w:type="spellEnd"/>
      <w:r w:rsidRPr="001A5972">
        <w:rPr>
          <w:rFonts w:ascii="Arial" w:hAnsi="Arial" w:cs="Arial"/>
          <w:sz w:val="22"/>
          <w:szCs w:val="22"/>
        </w:rPr>
        <w:t xml:space="preserve"> of the </w:t>
      </w:r>
      <w:r w:rsidR="00A90039">
        <w:rPr>
          <w:rFonts w:ascii="Arial" w:hAnsi="Arial" w:cs="Arial"/>
          <w:sz w:val="22"/>
          <w:szCs w:val="22"/>
        </w:rPr>
        <w:t xml:space="preserve">WCS </w:t>
      </w:r>
      <w:r w:rsidRPr="001A5972">
        <w:rPr>
          <w:rFonts w:ascii="Arial" w:hAnsi="Arial" w:cs="Arial"/>
          <w:sz w:val="22"/>
          <w:szCs w:val="22"/>
        </w:rPr>
        <w:t xml:space="preserve">seek to promote sustainable transport, secure safe access arrangements and ensure adequate parking provision. Nationally, Policies </w:t>
      </w:r>
      <w:proofErr w:type="spellStart"/>
      <w:r w:rsidRPr="001A5972">
        <w:rPr>
          <w:rFonts w:ascii="Arial" w:hAnsi="Arial" w:cs="Arial"/>
          <w:sz w:val="22"/>
          <w:szCs w:val="22"/>
        </w:rPr>
        <w:t>TR3</w:t>
      </w:r>
      <w:proofErr w:type="spellEnd"/>
      <w:r w:rsidRPr="001A5972">
        <w:rPr>
          <w:rFonts w:ascii="Arial" w:hAnsi="Arial" w:cs="Arial"/>
          <w:sz w:val="22"/>
          <w:szCs w:val="22"/>
        </w:rPr>
        <w:t xml:space="preserve"> and </w:t>
      </w:r>
      <w:proofErr w:type="spellStart"/>
      <w:r w:rsidRPr="001A5972">
        <w:rPr>
          <w:rFonts w:ascii="Arial" w:hAnsi="Arial" w:cs="Arial"/>
          <w:sz w:val="22"/>
          <w:szCs w:val="22"/>
        </w:rPr>
        <w:t>TR4</w:t>
      </w:r>
      <w:proofErr w:type="spellEnd"/>
      <w:r w:rsidRPr="001A5972">
        <w:rPr>
          <w:rFonts w:ascii="Arial" w:hAnsi="Arial" w:cs="Arial"/>
          <w:sz w:val="22"/>
          <w:szCs w:val="22"/>
        </w:rPr>
        <w:t xml:space="preserve"> of the </w:t>
      </w:r>
      <w:r w:rsidR="00A90039">
        <w:rPr>
          <w:rFonts w:ascii="Arial" w:hAnsi="Arial" w:cs="Arial"/>
          <w:sz w:val="22"/>
          <w:szCs w:val="22"/>
        </w:rPr>
        <w:t>NPPF</w:t>
      </w:r>
      <w:r w:rsidRPr="001A5972">
        <w:rPr>
          <w:rFonts w:ascii="Arial" w:hAnsi="Arial" w:cs="Arial"/>
          <w:sz w:val="22"/>
          <w:szCs w:val="22"/>
        </w:rPr>
        <w:t xml:space="preserve"> require development to </w:t>
      </w:r>
      <w:proofErr w:type="gramStart"/>
      <w:r w:rsidRPr="001A5972">
        <w:rPr>
          <w:rFonts w:ascii="Arial" w:hAnsi="Arial" w:cs="Arial"/>
          <w:sz w:val="22"/>
          <w:szCs w:val="22"/>
        </w:rPr>
        <w:t>be located in</w:t>
      </w:r>
      <w:proofErr w:type="gramEnd"/>
      <w:r w:rsidRPr="001A5972">
        <w:rPr>
          <w:rFonts w:ascii="Arial" w:hAnsi="Arial" w:cs="Arial"/>
          <w:sz w:val="22"/>
          <w:szCs w:val="22"/>
        </w:rPr>
        <w:t xml:space="preserve">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Pr="00B87951" w:rsidRDefault="001A5972" w:rsidP="005A66C3">
      <w:pPr>
        <w:spacing w:line="276" w:lineRule="auto"/>
        <w:jc w:val="both"/>
        <w:rPr>
          <w:rFonts w:ascii="Arial" w:hAnsi="Arial" w:cs="Arial"/>
          <w:sz w:val="22"/>
          <w:szCs w:val="22"/>
        </w:rPr>
      </w:pPr>
    </w:p>
    <w:p w14:paraId="24804CA5" w14:textId="52455BB8" w:rsidR="00441C5A" w:rsidRDefault="00A90039" w:rsidP="005A66C3">
      <w:pPr>
        <w:spacing w:line="276" w:lineRule="auto"/>
        <w:jc w:val="both"/>
        <w:rPr>
          <w:rFonts w:ascii="Arial" w:hAnsi="Arial" w:cs="Arial"/>
          <w:sz w:val="22"/>
          <w:szCs w:val="22"/>
        </w:rPr>
      </w:pPr>
      <w:proofErr w:type="spellStart"/>
      <w:r>
        <w:rPr>
          <w:rFonts w:ascii="Arial" w:hAnsi="Arial" w:cs="Arial"/>
          <w:sz w:val="22"/>
          <w:szCs w:val="22"/>
        </w:rPr>
        <w:lastRenderedPageBreak/>
        <w:t>CP</w:t>
      </w:r>
      <w:r w:rsidR="00441C5A" w:rsidRPr="00B87951">
        <w:rPr>
          <w:rFonts w:ascii="Arial" w:hAnsi="Arial" w:cs="Arial"/>
          <w:sz w:val="22"/>
          <w:szCs w:val="22"/>
        </w:rPr>
        <w:t>64</w:t>
      </w:r>
      <w:proofErr w:type="spellEnd"/>
      <w:r w:rsidR="00441C5A" w:rsidRPr="00B87951">
        <w:rPr>
          <w:rFonts w:ascii="Arial" w:hAnsi="Arial" w:cs="Arial"/>
          <w:sz w:val="22"/>
          <w:szCs w:val="22"/>
        </w:rPr>
        <w:t xml:space="preserve"> outlines the need for development to comply with a minimum level of parking standards. This is further discussed through the Wiltshire Local Transport Plan, and policy PS6 which identifies that new residential development is required to take account of dwelling size and the mix of associated parking function.</w:t>
      </w:r>
    </w:p>
    <w:p w14:paraId="2DE2F352" w14:textId="77777777" w:rsidR="00C049F4" w:rsidRDefault="00C049F4" w:rsidP="005A66C3">
      <w:pPr>
        <w:spacing w:line="276" w:lineRule="auto"/>
        <w:jc w:val="both"/>
        <w:rPr>
          <w:rFonts w:ascii="Arial" w:hAnsi="Arial" w:cs="Arial"/>
          <w:sz w:val="22"/>
          <w:szCs w:val="22"/>
        </w:rPr>
      </w:pPr>
    </w:p>
    <w:p w14:paraId="174A2E15" w14:textId="35D79361" w:rsidR="00B87951" w:rsidRPr="00B87951" w:rsidRDefault="00B87951" w:rsidP="005A66C3">
      <w:pPr>
        <w:spacing w:line="276" w:lineRule="auto"/>
        <w:jc w:val="both"/>
        <w:rPr>
          <w:rFonts w:ascii="Arial" w:hAnsi="Arial" w:cs="Arial"/>
          <w:sz w:val="22"/>
          <w:szCs w:val="22"/>
        </w:rPr>
      </w:pPr>
      <w:r w:rsidRPr="00B87951">
        <w:rPr>
          <w:rFonts w:ascii="Arial" w:hAnsi="Arial" w:cs="Arial"/>
          <w:sz w:val="22"/>
          <w:szCs w:val="22"/>
        </w:rPr>
        <w:t>The proposal would not alter the existing vehicular access arrangements serving the site. Although development is proposed above and around the existing garage, the garage itself would be retained</w:t>
      </w:r>
      <w:r w:rsidR="00A90039">
        <w:rPr>
          <w:rFonts w:ascii="Arial" w:hAnsi="Arial" w:cs="Arial"/>
          <w:sz w:val="22"/>
          <w:szCs w:val="22"/>
        </w:rPr>
        <w:t>.  T</w:t>
      </w:r>
      <w:r w:rsidRPr="00B87951">
        <w:rPr>
          <w:rFonts w:ascii="Arial" w:hAnsi="Arial" w:cs="Arial"/>
          <w:sz w:val="22"/>
          <w:szCs w:val="22"/>
        </w:rPr>
        <w:t xml:space="preserve">he existing driveway </w:t>
      </w:r>
      <w:r w:rsidR="00A90039">
        <w:rPr>
          <w:rFonts w:ascii="Arial" w:hAnsi="Arial" w:cs="Arial"/>
          <w:sz w:val="22"/>
          <w:szCs w:val="22"/>
        </w:rPr>
        <w:t>w</w:t>
      </w:r>
      <w:r w:rsidRPr="00B87951">
        <w:rPr>
          <w:rFonts w:ascii="Arial" w:hAnsi="Arial" w:cs="Arial"/>
          <w:sz w:val="22"/>
          <w:szCs w:val="22"/>
        </w:rPr>
        <w:t>ould continue to provide at least three off-street parking spaces. This level of parking provision accords with Wiltshire Council's parking standards for a four-bedroom dwelling</w:t>
      </w:r>
      <w:r w:rsidR="00A90039">
        <w:rPr>
          <w:rFonts w:ascii="Arial" w:hAnsi="Arial" w:cs="Arial"/>
          <w:sz w:val="22"/>
          <w:szCs w:val="22"/>
        </w:rPr>
        <w:t xml:space="preserve">, which requires a minimum of 3 on-site car parking spaces for a 4+ </w:t>
      </w:r>
      <w:r w:rsidR="00357B6B">
        <w:rPr>
          <w:rFonts w:ascii="Arial" w:hAnsi="Arial" w:cs="Arial"/>
          <w:sz w:val="22"/>
          <w:szCs w:val="22"/>
        </w:rPr>
        <w:t>bedroom</w:t>
      </w:r>
      <w:r w:rsidR="00A90039">
        <w:rPr>
          <w:rFonts w:ascii="Arial" w:hAnsi="Arial" w:cs="Arial"/>
          <w:sz w:val="22"/>
          <w:szCs w:val="22"/>
        </w:rPr>
        <w:t xml:space="preserve"> dwelling.</w:t>
      </w:r>
      <w:r w:rsidR="00357B6B">
        <w:rPr>
          <w:rFonts w:ascii="Arial" w:hAnsi="Arial" w:cs="Arial"/>
          <w:sz w:val="22"/>
          <w:szCs w:val="22"/>
        </w:rPr>
        <w:t xml:space="preserve">  The Council’s </w:t>
      </w:r>
      <w:r w:rsidR="00357B6B" w:rsidRPr="00357B6B">
        <w:rPr>
          <w:rFonts w:ascii="Arial" w:hAnsi="Arial" w:cs="Arial"/>
          <w:sz w:val="22"/>
          <w:szCs w:val="22"/>
        </w:rPr>
        <w:t xml:space="preserve">Local Highway Authority has considered the proposal and raises no </w:t>
      </w:r>
      <w:proofErr w:type="gramStart"/>
      <w:r w:rsidR="00357B6B" w:rsidRPr="00357B6B">
        <w:rPr>
          <w:rFonts w:ascii="Arial" w:hAnsi="Arial" w:cs="Arial"/>
          <w:sz w:val="22"/>
          <w:szCs w:val="22"/>
        </w:rPr>
        <w:t>objection</w:t>
      </w:r>
      <w:r w:rsidR="006B2600">
        <w:rPr>
          <w:rFonts w:ascii="Arial" w:hAnsi="Arial" w:cs="Arial"/>
          <w:sz w:val="22"/>
          <w:szCs w:val="22"/>
        </w:rPr>
        <w:t xml:space="preserve">  I</w:t>
      </w:r>
      <w:r w:rsidR="00A90039">
        <w:rPr>
          <w:rFonts w:ascii="Arial" w:hAnsi="Arial" w:cs="Arial"/>
          <w:sz w:val="22"/>
          <w:szCs w:val="22"/>
        </w:rPr>
        <w:t>t</w:t>
      </w:r>
      <w:proofErr w:type="gramEnd"/>
      <w:r w:rsidR="00A90039">
        <w:rPr>
          <w:rFonts w:ascii="Arial" w:hAnsi="Arial" w:cs="Arial"/>
          <w:sz w:val="22"/>
          <w:szCs w:val="22"/>
        </w:rPr>
        <w:t xml:space="preserve"> is important to mention that garages can only be considered an allocated car parking space where they meet the internal size requirements of </w:t>
      </w:r>
      <w:proofErr w:type="spellStart"/>
      <w:r w:rsidR="00A90039">
        <w:rPr>
          <w:rFonts w:ascii="Arial" w:hAnsi="Arial" w:cs="Arial"/>
          <w:sz w:val="22"/>
          <w:szCs w:val="22"/>
        </w:rPr>
        <w:t>3mx6m</w:t>
      </w:r>
      <w:proofErr w:type="spellEnd"/>
      <w:r w:rsidRPr="00B87951">
        <w:rPr>
          <w:rFonts w:ascii="Arial" w:hAnsi="Arial" w:cs="Arial"/>
          <w:sz w:val="22"/>
          <w:szCs w:val="22"/>
        </w:rPr>
        <w:t>. The proposal is therefore not considered to result in any adverse impacts on highway safety or parking provision.</w:t>
      </w:r>
    </w:p>
    <w:p w14:paraId="1D84EB61" w14:textId="77777777" w:rsidR="002A73D1" w:rsidRPr="005A66C3" w:rsidRDefault="002A73D1"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19FD70BD" w14:textId="7EF83396" w:rsidR="0050269B" w:rsidRPr="00A70D52" w:rsidRDefault="0054447E" w:rsidP="00A70D52">
      <w:pPr>
        <w:spacing w:line="276" w:lineRule="auto"/>
        <w:jc w:val="both"/>
        <w:rPr>
          <w:rFonts w:ascii="Arial" w:hAnsi="Arial" w:cs="Arial"/>
          <w:sz w:val="22"/>
          <w:szCs w:val="22"/>
        </w:rPr>
      </w:pPr>
      <w:r w:rsidRPr="0054447E">
        <w:rPr>
          <w:rFonts w:ascii="Arial" w:hAnsi="Arial" w:cs="Arial"/>
          <w:sz w:val="22"/>
          <w:szCs w:val="22"/>
        </w:rPr>
        <w:t xml:space="preserve">Policy </w:t>
      </w:r>
      <w:proofErr w:type="spellStart"/>
      <w:r w:rsidR="00A90039">
        <w:rPr>
          <w:rFonts w:ascii="Arial" w:hAnsi="Arial" w:cs="Arial"/>
          <w:sz w:val="22"/>
          <w:szCs w:val="22"/>
        </w:rPr>
        <w:t>CP</w:t>
      </w:r>
      <w:r w:rsidRPr="0054447E">
        <w:rPr>
          <w:rFonts w:ascii="Arial" w:hAnsi="Arial" w:cs="Arial"/>
          <w:sz w:val="22"/>
          <w:szCs w:val="22"/>
        </w:rPr>
        <w:t>50</w:t>
      </w:r>
      <w:proofErr w:type="spellEnd"/>
      <w:r w:rsidRPr="0054447E">
        <w:rPr>
          <w:rFonts w:ascii="Arial" w:hAnsi="Arial" w:cs="Arial"/>
          <w:sz w:val="22"/>
          <w:szCs w:val="22"/>
        </w:rPr>
        <w:t xml:space="preserve"> of the </w:t>
      </w:r>
      <w:r w:rsidR="00A90039">
        <w:rPr>
          <w:rFonts w:ascii="Arial" w:hAnsi="Arial" w:cs="Arial"/>
          <w:sz w:val="22"/>
          <w:szCs w:val="22"/>
        </w:rPr>
        <w:t>adopted WCS</w:t>
      </w:r>
      <w:r w:rsidRPr="0054447E">
        <w:rPr>
          <w:rFonts w:ascii="Arial" w:hAnsi="Arial" w:cs="Arial"/>
          <w:sz w:val="22"/>
          <w:szCs w:val="22"/>
        </w:rPr>
        <w:t xml:space="preserve"> seeks to protect and enhance biodiversity interests and ensure development avoids unacceptable harm to ecological assets. National policy is set out within Policies </w:t>
      </w:r>
      <w:proofErr w:type="spellStart"/>
      <w:r w:rsidRPr="0054447E">
        <w:rPr>
          <w:rFonts w:ascii="Arial" w:hAnsi="Arial" w:cs="Arial"/>
          <w:sz w:val="22"/>
          <w:szCs w:val="22"/>
        </w:rPr>
        <w:t>N2</w:t>
      </w:r>
      <w:proofErr w:type="spellEnd"/>
      <w:r w:rsidRPr="0054447E">
        <w:rPr>
          <w:rFonts w:ascii="Arial" w:hAnsi="Arial" w:cs="Arial"/>
          <w:sz w:val="22"/>
          <w:szCs w:val="22"/>
        </w:rPr>
        <w:t xml:space="preserve"> and </w:t>
      </w:r>
      <w:proofErr w:type="spellStart"/>
      <w:r w:rsidRPr="0054447E">
        <w:rPr>
          <w:rFonts w:ascii="Arial" w:hAnsi="Arial" w:cs="Arial"/>
          <w:sz w:val="22"/>
          <w:szCs w:val="22"/>
        </w:rPr>
        <w:t>N6</w:t>
      </w:r>
      <w:proofErr w:type="spellEnd"/>
      <w:r w:rsidRPr="0054447E">
        <w:rPr>
          <w:rFonts w:ascii="Arial" w:hAnsi="Arial" w:cs="Arial"/>
          <w:sz w:val="22"/>
          <w:szCs w:val="22"/>
        </w:rPr>
        <w:t xml:space="preserve"> of the </w:t>
      </w:r>
      <w:r w:rsidR="00A90039">
        <w:rPr>
          <w:rFonts w:ascii="Arial" w:hAnsi="Arial" w:cs="Arial"/>
          <w:sz w:val="22"/>
          <w:szCs w:val="22"/>
        </w:rPr>
        <w:t>NPPF</w:t>
      </w:r>
      <w:r w:rsidRPr="0054447E">
        <w:rPr>
          <w:rFonts w:ascii="Arial" w:hAnsi="Arial" w:cs="Arial"/>
          <w:sz w:val="22"/>
          <w:szCs w:val="22"/>
        </w:rPr>
        <w:t>.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 xml:space="preserve">Biodiversity Net Gain (BNG) was established as a </w:t>
      </w:r>
      <w:r w:rsidR="00640499" w:rsidRPr="00A70D52">
        <w:rPr>
          <w:rFonts w:ascii="Arial" w:hAnsi="Arial" w:cs="Arial"/>
          <w:sz w:val="22"/>
          <w:szCs w:val="22"/>
        </w:rPr>
        <w:t>mandatory aspect of planning evaluation through Schedule 7A of the Town and Country Planning Act 1990 (as amended by the Environment Act 2021 Schedule 14).</w:t>
      </w:r>
      <w:r w:rsidR="00A70D52" w:rsidRPr="00A70D52">
        <w:rPr>
          <w:rFonts w:ascii="Arial" w:hAnsi="Arial" w:cs="Arial"/>
          <w:sz w:val="22"/>
          <w:szCs w:val="22"/>
        </w:rPr>
        <w:t xml:space="preserve"> </w:t>
      </w:r>
      <w:r w:rsidR="0071327B" w:rsidRPr="00A70D52">
        <w:rPr>
          <w:rFonts w:ascii="Arial" w:hAnsi="Arial" w:cs="Arial"/>
          <w:sz w:val="22"/>
          <w:szCs w:val="22"/>
        </w:rPr>
        <w:t>Householder development is exempt from the statutory Biodiversity Net Gain requirements introduced through Schedule 7A of the Town and Country Planning Act 1990 (as amended). Nevertheless, proposals should seek to avoid ecological harm and incorporate biodiversity enhancements where appropriate.</w:t>
      </w:r>
    </w:p>
    <w:p w14:paraId="0096CB2B" w14:textId="77777777" w:rsidR="0071327B" w:rsidRPr="00A70D52" w:rsidRDefault="0071327B" w:rsidP="00A70D52">
      <w:pPr>
        <w:spacing w:line="276" w:lineRule="auto"/>
        <w:jc w:val="both"/>
        <w:rPr>
          <w:rFonts w:ascii="Arial" w:hAnsi="Arial" w:cs="Arial"/>
          <w:sz w:val="22"/>
          <w:szCs w:val="22"/>
        </w:rPr>
      </w:pPr>
    </w:p>
    <w:p w14:paraId="08E1F2D4" w14:textId="77777777" w:rsidR="00920AB7" w:rsidRDefault="00A70D52" w:rsidP="00A70D52">
      <w:pPr>
        <w:spacing w:line="276" w:lineRule="auto"/>
        <w:jc w:val="both"/>
        <w:rPr>
          <w:rFonts w:ascii="Arial" w:hAnsi="Arial" w:cs="Arial"/>
          <w:sz w:val="22"/>
          <w:szCs w:val="22"/>
        </w:rPr>
      </w:pPr>
      <w:r w:rsidRPr="00A70D52">
        <w:rPr>
          <w:rFonts w:ascii="Arial" w:hAnsi="Arial" w:cs="Arial"/>
          <w:sz w:val="22"/>
          <w:szCs w:val="22"/>
        </w:rPr>
        <w:t>The proposal is limited to extensions within the footprint of the existing dwelling and areas of managed residential garden.</w:t>
      </w:r>
      <w:r w:rsidR="00A90039">
        <w:rPr>
          <w:rFonts w:ascii="Arial" w:hAnsi="Arial" w:cs="Arial"/>
          <w:sz w:val="22"/>
          <w:szCs w:val="22"/>
        </w:rPr>
        <w:t xml:space="preserve">  The proposed development would be fully contained within the confines of the established residential curtilage of </w:t>
      </w:r>
      <w:r w:rsidR="00A90039" w:rsidRPr="00A90039">
        <w:rPr>
          <w:rFonts w:ascii="Arial" w:hAnsi="Arial" w:cs="Arial"/>
          <w:sz w:val="22"/>
          <w:szCs w:val="22"/>
        </w:rPr>
        <w:t>10 Balmoral Road</w:t>
      </w:r>
      <w:r w:rsidR="00A90039">
        <w:rPr>
          <w:rFonts w:ascii="Arial" w:hAnsi="Arial" w:cs="Arial"/>
          <w:sz w:val="22"/>
          <w:szCs w:val="22"/>
        </w:rPr>
        <w:t xml:space="preserve">.  </w:t>
      </w:r>
      <w:r w:rsidRPr="00A70D52">
        <w:rPr>
          <w:rFonts w:ascii="Arial" w:hAnsi="Arial" w:cs="Arial"/>
          <w:sz w:val="22"/>
          <w:szCs w:val="22"/>
        </w:rPr>
        <w:t xml:space="preserve">As such, the development </w:t>
      </w:r>
      <w:r w:rsidR="00CA2F5C">
        <w:rPr>
          <w:rFonts w:ascii="Arial" w:hAnsi="Arial" w:cs="Arial"/>
          <w:sz w:val="22"/>
          <w:szCs w:val="22"/>
        </w:rPr>
        <w:t xml:space="preserve">and associated </w:t>
      </w:r>
      <w:r w:rsidRPr="00A70D52">
        <w:rPr>
          <w:rFonts w:ascii="Arial" w:hAnsi="Arial" w:cs="Arial"/>
          <w:sz w:val="22"/>
          <w:szCs w:val="22"/>
        </w:rPr>
        <w:t>works are unlikely to adversely affect protected species or important ecological features.</w:t>
      </w:r>
    </w:p>
    <w:p w14:paraId="6A1A199A" w14:textId="77777777" w:rsidR="00920AB7" w:rsidRDefault="00920AB7" w:rsidP="00A70D52">
      <w:pPr>
        <w:spacing w:line="276" w:lineRule="auto"/>
        <w:jc w:val="both"/>
        <w:rPr>
          <w:rFonts w:ascii="Arial" w:hAnsi="Arial" w:cs="Arial"/>
          <w:sz w:val="22"/>
          <w:szCs w:val="22"/>
        </w:rPr>
      </w:pPr>
    </w:p>
    <w:p w14:paraId="25EE05E7" w14:textId="77777777" w:rsidR="00473E3C" w:rsidRPr="00473E3C" w:rsidRDefault="00473E3C" w:rsidP="00473E3C">
      <w:pPr>
        <w:spacing w:line="276" w:lineRule="auto"/>
        <w:jc w:val="both"/>
        <w:rPr>
          <w:rFonts w:ascii="Arial" w:hAnsi="Arial" w:cs="Arial"/>
          <w:sz w:val="22"/>
          <w:szCs w:val="22"/>
        </w:rPr>
      </w:pPr>
      <w:r w:rsidRPr="00473E3C">
        <w:rPr>
          <w:rFonts w:ascii="Arial" w:hAnsi="Arial" w:cs="Arial"/>
          <w:sz w:val="22"/>
          <w:szCs w:val="22"/>
        </w:rPr>
        <w:t>The site lies within the Trowbridge and Westbury Bat Mitigation Strategy Grey Zone. Having regard to the nature of the proposal as an extension to an existing dwelling within an established residential curtilage, and in the absence of evidence of habitat loss or impacts upon bat habitat, the proposal is not considered likely to result in significant effects upon the Bath and Bradford-on-Avon Bats SAC</w:t>
      </w:r>
    </w:p>
    <w:p w14:paraId="2CBAD2F9" w14:textId="77777777" w:rsidR="00473E3C" w:rsidRDefault="00473E3C" w:rsidP="00A70D52">
      <w:pPr>
        <w:spacing w:line="276" w:lineRule="auto"/>
        <w:jc w:val="both"/>
        <w:rPr>
          <w:rFonts w:ascii="Arial" w:hAnsi="Arial" w:cs="Arial"/>
          <w:sz w:val="22"/>
          <w:szCs w:val="22"/>
        </w:rPr>
      </w:pPr>
      <w:r>
        <w:rPr>
          <w:rFonts w:ascii="Arial" w:hAnsi="Arial" w:cs="Arial"/>
          <w:sz w:val="22"/>
          <w:szCs w:val="22"/>
        </w:rPr>
        <w:t xml:space="preserve"> </w:t>
      </w:r>
    </w:p>
    <w:p w14:paraId="2341E6D6" w14:textId="342CCA13" w:rsidR="00A70D52" w:rsidRPr="00A70D52" w:rsidRDefault="00473E3C" w:rsidP="00A70D52">
      <w:pPr>
        <w:spacing w:line="276" w:lineRule="auto"/>
        <w:jc w:val="both"/>
        <w:rPr>
          <w:rFonts w:ascii="Arial" w:hAnsi="Arial" w:cs="Arial"/>
          <w:sz w:val="22"/>
          <w:szCs w:val="22"/>
        </w:rPr>
      </w:pPr>
      <w:r>
        <w:rPr>
          <w:rFonts w:ascii="Arial" w:hAnsi="Arial" w:cs="Arial"/>
          <w:sz w:val="22"/>
          <w:szCs w:val="22"/>
        </w:rPr>
        <w:t xml:space="preserve">With due regard to </w:t>
      </w:r>
      <w:r w:rsidR="00A70D52" w:rsidRPr="00A70D52">
        <w:rPr>
          <w:rFonts w:ascii="Arial" w:hAnsi="Arial" w:cs="Arial"/>
          <w:sz w:val="22"/>
          <w:szCs w:val="22"/>
        </w:rPr>
        <w:t>the scale and nature of the proposal and the absence of identified ecological constraints, the development is</w:t>
      </w:r>
      <w:r w:rsidR="00CA2F5C">
        <w:rPr>
          <w:rFonts w:ascii="Arial" w:hAnsi="Arial" w:cs="Arial"/>
          <w:sz w:val="22"/>
          <w:szCs w:val="22"/>
        </w:rPr>
        <w:t xml:space="preserve"> not</w:t>
      </w:r>
      <w:r w:rsidR="00A70D52" w:rsidRPr="00A70D52">
        <w:rPr>
          <w:rFonts w:ascii="Arial" w:hAnsi="Arial" w:cs="Arial"/>
          <w:sz w:val="22"/>
          <w:szCs w:val="22"/>
        </w:rPr>
        <w:t xml:space="preserve"> considered to give rise to significant ecological impacts. Subject to compliance with any relevant ecological requirements, the proposal is considered acceptable in ecological terms.</w:t>
      </w:r>
    </w:p>
    <w:p w14:paraId="785670F6" w14:textId="77777777" w:rsidR="00A70D52" w:rsidRPr="005A66C3" w:rsidRDefault="00A70D52"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5A66C3">
      <w:pPr>
        <w:spacing w:line="276" w:lineRule="auto"/>
        <w:jc w:val="both"/>
        <w:rPr>
          <w:rFonts w:ascii="Arial" w:hAnsi="Arial" w:cs="Arial"/>
          <w:sz w:val="22"/>
          <w:szCs w:val="22"/>
        </w:rPr>
      </w:pPr>
    </w:p>
    <w:p w14:paraId="5781F7A4" w14:textId="636B92E0" w:rsidR="00C922CA" w:rsidRDefault="00315E56" w:rsidP="00315E56">
      <w:pPr>
        <w:spacing w:line="276" w:lineRule="auto"/>
        <w:jc w:val="both"/>
        <w:rPr>
          <w:rFonts w:ascii="Arial" w:hAnsi="Arial" w:cs="Arial"/>
          <w:sz w:val="22"/>
          <w:szCs w:val="22"/>
        </w:rPr>
      </w:pPr>
      <w:r w:rsidRPr="00315E56">
        <w:rPr>
          <w:rFonts w:ascii="Arial" w:hAnsi="Arial" w:cs="Arial"/>
          <w:sz w:val="22"/>
          <w:szCs w:val="22"/>
        </w:rPr>
        <w:t xml:space="preserve">Policy </w:t>
      </w:r>
      <w:proofErr w:type="spellStart"/>
      <w:r w:rsidR="00CA2F5C">
        <w:rPr>
          <w:rFonts w:ascii="Arial" w:hAnsi="Arial" w:cs="Arial"/>
          <w:sz w:val="22"/>
          <w:szCs w:val="22"/>
        </w:rPr>
        <w:t>CP</w:t>
      </w:r>
      <w:r w:rsidRPr="00315E56">
        <w:rPr>
          <w:rFonts w:ascii="Arial" w:hAnsi="Arial" w:cs="Arial"/>
          <w:sz w:val="22"/>
          <w:szCs w:val="22"/>
        </w:rPr>
        <w:t>67</w:t>
      </w:r>
      <w:proofErr w:type="spellEnd"/>
      <w:r w:rsidRPr="00315E56">
        <w:rPr>
          <w:rFonts w:ascii="Arial" w:hAnsi="Arial" w:cs="Arial"/>
          <w:sz w:val="22"/>
          <w:szCs w:val="22"/>
        </w:rPr>
        <w:t xml:space="preserve"> of the </w:t>
      </w:r>
      <w:r w:rsidR="00CA2F5C">
        <w:rPr>
          <w:rFonts w:ascii="Arial" w:hAnsi="Arial" w:cs="Arial"/>
          <w:sz w:val="22"/>
          <w:szCs w:val="22"/>
        </w:rPr>
        <w:t>WCS</w:t>
      </w:r>
      <w:r w:rsidRPr="00315E56">
        <w:rPr>
          <w:rFonts w:ascii="Arial" w:hAnsi="Arial" w:cs="Arial"/>
          <w:sz w:val="22"/>
          <w:szCs w:val="22"/>
        </w:rPr>
        <w:t xml:space="preserve"> seeks to ensure that development is directed away from areas at greatest risk of flooding and is designed to minimise vulnerability to flooding whilst avoiding any increase in flood risk elsewhere. National planning policy relating to flood risk and drainage is contained within Policies </w:t>
      </w:r>
      <w:proofErr w:type="spellStart"/>
      <w:r w:rsidRPr="00315E56">
        <w:rPr>
          <w:rFonts w:ascii="Arial" w:hAnsi="Arial" w:cs="Arial"/>
          <w:sz w:val="22"/>
          <w:szCs w:val="22"/>
        </w:rPr>
        <w:t>F4</w:t>
      </w:r>
      <w:proofErr w:type="spellEnd"/>
      <w:r w:rsidRPr="00315E56">
        <w:rPr>
          <w:rFonts w:ascii="Arial" w:hAnsi="Arial" w:cs="Arial"/>
          <w:sz w:val="22"/>
          <w:szCs w:val="22"/>
        </w:rPr>
        <w:t xml:space="preserve"> to </w:t>
      </w:r>
      <w:proofErr w:type="spellStart"/>
      <w:r w:rsidRPr="00315E56">
        <w:rPr>
          <w:rFonts w:ascii="Arial" w:hAnsi="Arial" w:cs="Arial"/>
          <w:sz w:val="22"/>
          <w:szCs w:val="22"/>
        </w:rPr>
        <w:t>F8</w:t>
      </w:r>
      <w:proofErr w:type="spellEnd"/>
      <w:r w:rsidRPr="00315E56">
        <w:rPr>
          <w:rFonts w:ascii="Arial" w:hAnsi="Arial" w:cs="Arial"/>
          <w:sz w:val="22"/>
          <w:szCs w:val="22"/>
        </w:rPr>
        <w:t xml:space="preserve"> of the </w:t>
      </w:r>
      <w:r w:rsidR="00CA2F5C">
        <w:rPr>
          <w:rFonts w:ascii="Arial" w:hAnsi="Arial" w:cs="Arial"/>
          <w:sz w:val="22"/>
          <w:szCs w:val="22"/>
        </w:rPr>
        <w:t>NPPF</w:t>
      </w:r>
      <w:r w:rsidRPr="00315E56">
        <w:rPr>
          <w:rFonts w:ascii="Arial" w:hAnsi="Arial" w:cs="Arial"/>
          <w:sz w:val="22"/>
          <w:szCs w:val="22"/>
        </w:rPr>
        <w:t xml:space="preserve">. Collectively, these policies establish a risk-based approach to the location and assessment of </w:t>
      </w:r>
      <w:r w:rsidRPr="00315E56">
        <w:rPr>
          <w:rFonts w:ascii="Arial" w:hAnsi="Arial" w:cs="Arial"/>
          <w:sz w:val="22"/>
          <w:szCs w:val="22"/>
        </w:rPr>
        <w:lastRenderedPageBreak/>
        <w:t xml:space="preserve">development proposals. The </w:t>
      </w:r>
      <w:r w:rsidR="00CA2F5C">
        <w:rPr>
          <w:rFonts w:ascii="Arial" w:hAnsi="Arial" w:cs="Arial"/>
          <w:sz w:val="22"/>
          <w:szCs w:val="22"/>
        </w:rPr>
        <w:t>NPPF</w:t>
      </w:r>
      <w:r w:rsidRPr="00315E56">
        <w:rPr>
          <w:rFonts w:ascii="Arial" w:hAnsi="Arial" w:cs="Arial"/>
          <w:sz w:val="22"/>
          <w:szCs w:val="22"/>
        </w:rPr>
        <w:t xml:space="preserve">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315E56">
        <w:rPr>
          <w:rFonts w:ascii="Arial" w:hAnsi="Arial" w:cs="Arial"/>
          <w:sz w:val="22"/>
          <w:szCs w:val="22"/>
        </w:rPr>
        <w:t>in order to</w:t>
      </w:r>
      <w:proofErr w:type="gramEnd"/>
      <w:r w:rsidRPr="00315E56">
        <w:rPr>
          <w:rFonts w:ascii="Arial" w:hAnsi="Arial" w:cs="Arial"/>
          <w:sz w:val="22"/>
          <w:szCs w:val="22"/>
        </w:rPr>
        <w:t xml:space="preserve"> manage surface water runoff and reduce the potential for flooding.</w:t>
      </w:r>
    </w:p>
    <w:p w14:paraId="7E21128C" w14:textId="77777777" w:rsidR="00315E56" w:rsidRPr="00C922CA" w:rsidRDefault="00315E56" w:rsidP="00C922CA">
      <w:pPr>
        <w:spacing w:line="276" w:lineRule="auto"/>
        <w:rPr>
          <w:rFonts w:ascii="Arial" w:hAnsi="Arial" w:cs="Arial"/>
          <w:sz w:val="22"/>
          <w:szCs w:val="22"/>
        </w:rPr>
      </w:pPr>
    </w:p>
    <w:p w14:paraId="76B963A4" w14:textId="493897F3" w:rsidR="009803C6" w:rsidRPr="00F72AD2" w:rsidRDefault="00C922CA" w:rsidP="000B4C9C">
      <w:pPr>
        <w:spacing w:line="276" w:lineRule="auto"/>
        <w:jc w:val="both"/>
        <w:rPr>
          <w:rFonts w:ascii="Arial" w:hAnsi="Arial" w:cs="Arial"/>
          <w:sz w:val="22"/>
          <w:szCs w:val="22"/>
        </w:rPr>
      </w:pPr>
      <w:r w:rsidRPr="00F72AD2">
        <w:rPr>
          <w:rFonts w:ascii="Arial" w:hAnsi="Arial" w:cs="Arial"/>
          <w:sz w:val="22"/>
          <w:szCs w:val="22"/>
        </w:rPr>
        <w:t xml:space="preserve">Householder proposals and small extensions below 250 square metres are exempt from both the sequential test and exception test under Policy F5(2)(c), although flood risk considerations remain material where </w:t>
      </w:r>
      <w:r w:rsidR="00CA2F5C">
        <w:rPr>
          <w:rFonts w:ascii="Arial" w:hAnsi="Arial" w:cs="Arial"/>
          <w:sz w:val="22"/>
          <w:szCs w:val="22"/>
        </w:rPr>
        <w:t>site-specific</w:t>
      </w:r>
      <w:r w:rsidRPr="00F72AD2">
        <w:rPr>
          <w:rFonts w:ascii="Arial" w:hAnsi="Arial" w:cs="Arial"/>
          <w:sz w:val="22"/>
          <w:szCs w:val="22"/>
        </w:rPr>
        <w:t xml:space="preserve"> constraints have been identified.</w:t>
      </w:r>
    </w:p>
    <w:p w14:paraId="721AF1B7" w14:textId="77777777" w:rsidR="00C922CA" w:rsidRDefault="00C922CA" w:rsidP="00C922CA">
      <w:pPr>
        <w:spacing w:line="276" w:lineRule="auto"/>
        <w:rPr>
          <w:rFonts w:ascii="Arial" w:hAnsi="Arial" w:cs="Arial"/>
          <w:sz w:val="22"/>
          <w:szCs w:val="22"/>
        </w:rPr>
      </w:pPr>
    </w:p>
    <w:p w14:paraId="222CE162" w14:textId="4EA6F376" w:rsidR="00F72AD2" w:rsidRDefault="00F72AD2" w:rsidP="00F72AD2">
      <w:pPr>
        <w:spacing w:line="276" w:lineRule="auto"/>
        <w:jc w:val="both"/>
        <w:rPr>
          <w:rFonts w:ascii="Arial" w:hAnsi="Arial" w:cs="Arial"/>
          <w:sz w:val="22"/>
          <w:szCs w:val="22"/>
        </w:rPr>
      </w:pPr>
      <w:r w:rsidRPr="00F72AD2">
        <w:rPr>
          <w:rFonts w:ascii="Arial" w:hAnsi="Arial" w:cs="Arial"/>
          <w:sz w:val="22"/>
          <w:szCs w:val="22"/>
        </w:rPr>
        <w:t xml:space="preserve">The site is located within Flood Zone 1 and is identified as being at negligible risk from groundwater and surface water flooding. Whilst the proposal would result in a modest increase in impermeable area of approximately 47.5 square metres, the increase is relatively minor in scale and appropriate rainwater goods are proposed as part of the development. There is no evidence to indicate that the proposal would give rise to increased flood risk on or off site, and no drainage constraints have been identified. Accordingly, the proposal is considered acceptable </w:t>
      </w:r>
      <w:proofErr w:type="gramStart"/>
      <w:r w:rsidRPr="00F72AD2">
        <w:rPr>
          <w:rFonts w:ascii="Arial" w:hAnsi="Arial" w:cs="Arial"/>
          <w:sz w:val="22"/>
          <w:szCs w:val="22"/>
        </w:rPr>
        <w:t>with regard to</w:t>
      </w:r>
      <w:proofErr w:type="gramEnd"/>
      <w:r w:rsidRPr="00F72AD2">
        <w:rPr>
          <w:rFonts w:ascii="Arial" w:hAnsi="Arial" w:cs="Arial"/>
          <w:sz w:val="22"/>
          <w:szCs w:val="22"/>
        </w:rPr>
        <w:t xml:space="preserve"> drainage and flood risk matters.</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71F5AF1A" w14:textId="77777777" w:rsidR="008223C8" w:rsidRDefault="008223C8" w:rsidP="008223C8">
      <w:pPr>
        <w:spacing w:line="276" w:lineRule="auto"/>
        <w:jc w:val="both"/>
        <w:rPr>
          <w:rFonts w:ascii="Arial" w:hAnsi="Arial" w:cs="Arial"/>
          <w:color w:val="000000" w:themeColor="text1"/>
          <w:sz w:val="22"/>
          <w:szCs w:val="22"/>
        </w:rPr>
      </w:pPr>
      <w:r w:rsidRPr="008223C8">
        <w:rPr>
          <w:rFonts w:ascii="Arial" w:hAnsi="Arial" w:cs="Arial"/>
          <w:color w:val="000000" w:themeColor="text1"/>
          <w:sz w:val="22"/>
          <w:szCs w:val="22"/>
        </w:rPr>
        <w:t>The proposed extensions represent an acceptable form of residential development within the settlement boundary of Trowbridge. The development would appear compatible with the character and appearance of the host dwelling and surrounding area, would not result in unacceptable impacts upon neighbouring residential amenity, and raises no significant concerns in respect of ecology, highways, parking, drainage or flood risk. The proposal is therefore considered to comply with the relevant provisions of the development plan and is recommended for approval.</w:t>
      </w:r>
    </w:p>
    <w:p w14:paraId="1DCC2678" w14:textId="77777777" w:rsidR="006B2600" w:rsidRDefault="006B2600" w:rsidP="008223C8">
      <w:pPr>
        <w:spacing w:line="276" w:lineRule="auto"/>
        <w:jc w:val="both"/>
        <w:rPr>
          <w:rFonts w:ascii="Arial" w:hAnsi="Arial" w:cs="Arial"/>
          <w:color w:val="000000" w:themeColor="text1"/>
          <w:sz w:val="22"/>
          <w:szCs w:val="22"/>
        </w:rPr>
      </w:pPr>
    </w:p>
    <w:p w14:paraId="7BBA7F5F" w14:textId="407387D2" w:rsidR="006B2600" w:rsidRPr="008223C8" w:rsidRDefault="00307DE4" w:rsidP="008223C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006B2600" w:rsidRPr="006B2600">
        <w:rPr>
          <w:rFonts w:ascii="Arial" w:hAnsi="Arial" w:cs="Arial"/>
          <w:color w:val="000000" w:themeColor="text1"/>
          <w:sz w:val="22"/>
          <w:szCs w:val="22"/>
        </w:rPr>
        <w:t xml:space="preserve">n the overall planning balance, the proposal represents a proportionate extension to an existing dwelling </w:t>
      </w:r>
      <w:r w:rsidRPr="006B2600">
        <w:rPr>
          <w:rFonts w:ascii="Arial" w:hAnsi="Arial" w:cs="Arial"/>
          <w:color w:val="000000" w:themeColor="text1"/>
          <w:sz w:val="22"/>
          <w:szCs w:val="22"/>
        </w:rPr>
        <w:t>wit</w:t>
      </w:r>
      <w:r>
        <w:rPr>
          <w:rFonts w:ascii="Arial" w:hAnsi="Arial" w:cs="Arial"/>
          <w:color w:val="000000" w:themeColor="text1"/>
          <w:sz w:val="22"/>
          <w:szCs w:val="22"/>
        </w:rPr>
        <w:t>h</w:t>
      </w:r>
      <w:r w:rsidRPr="006B2600">
        <w:rPr>
          <w:rFonts w:ascii="Arial" w:hAnsi="Arial" w:cs="Arial"/>
          <w:color w:val="000000" w:themeColor="text1"/>
          <w:sz w:val="22"/>
          <w:szCs w:val="22"/>
        </w:rPr>
        <w:t>in</w:t>
      </w:r>
      <w:r w:rsidR="006B2600" w:rsidRPr="006B2600">
        <w:rPr>
          <w:rFonts w:ascii="Arial" w:hAnsi="Arial" w:cs="Arial"/>
          <w:color w:val="000000" w:themeColor="text1"/>
          <w:sz w:val="22"/>
          <w:szCs w:val="22"/>
        </w:rPr>
        <w:t xml:space="preserve"> a sustainable residential location. No significant adverse impacts have been identified and the development accords with the relevant policies of the development plan when read as a whole.</w:t>
      </w:r>
    </w:p>
    <w:p w14:paraId="1227EAA7" w14:textId="77777777" w:rsidR="00E64D40" w:rsidRPr="005A66C3" w:rsidRDefault="00E64D40" w:rsidP="005A66C3">
      <w:pPr>
        <w:spacing w:line="276" w:lineRule="auto"/>
        <w:jc w:val="both"/>
        <w:rPr>
          <w:rFonts w:ascii="Arial" w:hAnsi="Arial" w:cs="Arial"/>
          <w:color w:val="FF0000"/>
          <w:sz w:val="22"/>
          <w:szCs w:val="22"/>
        </w:rPr>
      </w:pPr>
    </w:p>
    <w:p w14:paraId="2C632DB2" w14:textId="77777777"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the following conditions:</w:t>
      </w:r>
    </w:p>
    <w:p w14:paraId="73DCC38D" w14:textId="77777777" w:rsidR="00075C07" w:rsidRPr="005A66C3" w:rsidRDefault="00075C07" w:rsidP="005A66C3">
      <w:pPr>
        <w:spacing w:line="276" w:lineRule="auto"/>
        <w:jc w:val="both"/>
        <w:rPr>
          <w:rFonts w:ascii="Arial" w:hAnsi="Arial" w:cs="Arial"/>
          <w:sz w:val="22"/>
          <w:szCs w:val="22"/>
        </w:rPr>
      </w:pPr>
    </w:p>
    <w:p w14:paraId="3BA181C5" w14:textId="112A6D82" w:rsidR="003D015A" w:rsidRPr="005A66C3" w:rsidRDefault="003D015A" w:rsidP="005A66C3">
      <w:pPr>
        <w:spacing w:line="276" w:lineRule="auto"/>
        <w:jc w:val="both"/>
        <w:rPr>
          <w:rFonts w:ascii="Arial" w:hAnsi="Arial" w:cs="Arial"/>
          <w:sz w:val="22"/>
          <w:szCs w:val="22"/>
        </w:rPr>
      </w:pPr>
      <w:r w:rsidRPr="005A66C3">
        <w:rPr>
          <w:rFonts w:ascii="Arial" w:hAnsi="Arial" w:cs="Arial"/>
          <w:sz w:val="22"/>
          <w:szCs w:val="22"/>
        </w:rPr>
        <w:t>1.</w:t>
      </w:r>
    </w:p>
    <w:p w14:paraId="74288816" w14:textId="754C46FB" w:rsidR="003D015A" w:rsidRPr="005A66C3" w:rsidRDefault="00075C07"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begun before the expiration of three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years from the date of this permission.</w:t>
      </w:r>
      <w:r w:rsidRPr="005A66C3">
        <w:rPr>
          <w:rFonts w:ascii="Arial" w:hAnsi="Arial" w:cs="Arial"/>
          <w:color w:val="000000" w:themeColor="text1"/>
          <w:sz w:val="22"/>
          <w:szCs w:val="22"/>
        </w:rPr>
        <w:cr/>
      </w:r>
    </w:p>
    <w:p w14:paraId="78E8FD03" w14:textId="2462BB38" w:rsidR="00075C07" w:rsidRPr="005A66C3" w:rsidRDefault="00075C07" w:rsidP="005A66C3">
      <w:pPr>
        <w:tabs>
          <w:tab w:val="num" w:pos="0"/>
        </w:tabs>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REASON: To comply with the provisions of Section 91 of the Town and Country</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Planning Act 1990 as amended by the Planning and Compulsory Purchase Act</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2004.</w:t>
      </w:r>
    </w:p>
    <w:p w14:paraId="1D3F6570" w14:textId="77777777" w:rsidR="00075C07" w:rsidRPr="005A66C3" w:rsidRDefault="00075C07" w:rsidP="005A66C3">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5A66C3" w:rsidRDefault="003D015A" w:rsidP="005A66C3">
      <w:pPr>
        <w:tabs>
          <w:tab w:val="num" w:pos="567"/>
        </w:tabs>
        <w:spacing w:line="276" w:lineRule="auto"/>
        <w:ind w:left="567" w:hanging="567"/>
        <w:jc w:val="both"/>
        <w:rPr>
          <w:rFonts w:ascii="Arial" w:hAnsi="Arial" w:cs="Arial"/>
          <w:color w:val="000000" w:themeColor="text1"/>
          <w:sz w:val="22"/>
          <w:szCs w:val="22"/>
        </w:rPr>
      </w:pPr>
      <w:r w:rsidRPr="005A66C3">
        <w:rPr>
          <w:rFonts w:ascii="Arial" w:hAnsi="Arial" w:cs="Arial"/>
          <w:color w:val="000000" w:themeColor="text1"/>
          <w:sz w:val="22"/>
          <w:szCs w:val="22"/>
        </w:rPr>
        <w:t>2.</w:t>
      </w:r>
    </w:p>
    <w:p w14:paraId="743DB94A" w14:textId="1065BA59" w:rsidR="00075C07" w:rsidRPr="005A66C3" w:rsidRDefault="00075C07"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carried out in accordance with the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following approved plans and documents:</w:t>
      </w:r>
    </w:p>
    <w:p w14:paraId="7EFA43B1" w14:textId="77777777" w:rsidR="00075C07" w:rsidRPr="005A66C3" w:rsidRDefault="00075C07" w:rsidP="005A66C3">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7FD8D0DB" w:rsidR="00075C07" w:rsidRPr="00E64D40" w:rsidRDefault="00E64D40" w:rsidP="005A66C3">
      <w:pPr>
        <w:pStyle w:val="ListParagraph"/>
        <w:tabs>
          <w:tab w:val="num" w:pos="567"/>
        </w:tabs>
        <w:spacing w:line="276" w:lineRule="auto"/>
        <w:ind w:left="567" w:hanging="567"/>
        <w:jc w:val="both"/>
        <w:rPr>
          <w:rFonts w:ascii="Arial" w:hAnsi="Arial" w:cs="Arial"/>
          <w:sz w:val="22"/>
          <w:szCs w:val="22"/>
        </w:rPr>
      </w:pPr>
      <w:r w:rsidRPr="00E64D40">
        <w:rPr>
          <w:rFonts w:ascii="Arial" w:hAnsi="Arial" w:cs="Arial"/>
          <w:sz w:val="22"/>
          <w:szCs w:val="22"/>
        </w:rPr>
        <w:t xml:space="preserve">Proposed Plans and Elevations 10BMR-P-02 </w:t>
      </w:r>
    </w:p>
    <w:p w14:paraId="6CCB0E8D" w14:textId="4C03A8BD" w:rsidR="00E64D40" w:rsidRPr="00E64D40" w:rsidRDefault="00E64D40" w:rsidP="005A66C3">
      <w:pPr>
        <w:pStyle w:val="ListParagraph"/>
        <w:tabs>
          <w:tab w:val="num" w:pos="567"/>
        </w:tabs>
        <w:spacing w:line="276" w:lineRule="auto"/>
        <w:ind w:left="567" w:hanging="567"/>
        <w:jc w:val="both"/>
        <w:rPr>
          <w:rFonts w:ascii="Arial" w:hAnsi="Arial" w:cs="Arial"/>
          <w:sz w:val="22"/>
          <w:szCs w:val="22"/>
        </w:rPr>
      </w:pPr>
      <w:r w:rsidRPr="00E64D40">
        <w:rPr>
          <w:rFonts w:ascii="Arial" w:hAnsi="Arial" w:cs="Arial"/>
          <w:sz w:val="22"/>
          <w:szCs w:val="22"/>
        </w:rPr>
        <w:t>Location Plan 10BMR-P-03</w:t>
      </w:r>
    </w:p>
    <w:p w14:paraId="46251457" w14:textId="77777777" w:rsidR="00075C07" w:rsidRPr="005A66C3" w:rsidRDefault="00075C07" w:rsidP="005A66C3">
      <w:pPr>
        <w:pStyle w:val="ListParagraph"/>
        <w:tabs>
          <w:tab w:val="num" w:pos="567"/>
        </w:tabs>
        <w:spacing w:line="276" w:lineRule="auto"/>
        <w:ind w:left="567" w:hanging="567"/>
        <w:jc w:val="both"/>
        <w:rPr>
          <w:rFonts w:ascii="Arial" w:hAnsi="Arial" w:cs="Arial"/>
          <w:color w:val="000000" w:themeColor="text1"/>
          <w:sz w:val="22"/>
          <w:szCs w:val="22"/>
        </w:rPr>
      </w:pPr>
    </w:p>
    <w:p w14:paraId="0A064A34" w14:textId="06C3EA19" w:rsidR="006B4ED4" w:rsidRPr="006B4ED4" w:rsidRDefault="00075C07" w:rsidP="00CC51F7">
      <w:pPr>
        <w:tabs>
          <w:tab w:val="num" w:pos="567"/>
        </w:tabs>
        <w:spacing w:line="276" w:lineRule="auto"/>
        <w:ind w:left="567" w:hanging="567"/>
        <w:jc w:val="both"/>
        <w:rPr>
          <w:rFonts w:ascii="Arial" w:hAnsi="Arial" w:cs="Arial"/>
          <w:color w:val="FF0000"/>
          <w:sz w:val="20"/>
          <w:szCs w:val="20"/>
        </w:rPr>
      </w:pPr>
      <w:r w:rsidRPr="005A66C3">
        <w:rPr>
          <w:rFonts w:ascii="Arial" w:hAnsi="Arial" w:cs="Arial"/>
          <w:color w:val="000000" w:themeColor="text1"/>
          <w:sz w:val="22"/>
          <w:szCs w:val="22"/>
        </w:rPr>
        <w:t>REASON: For the avoidance of doubt and in the interests of proper planning.</w:t>
      </w: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31287"/>
    <w:rsid w:val="00044328"/>
    <w:rsid w:val="000456D0"/>
    <w:rsid w:val="0006177E"/>
    <w:rsid w:val="00062A40"/>
    <w:rsid w:val="00071C5E"/>
    <w:rsid w:val="0007364A"/>
    <w:rsid w:val="00075C07"/>
    <w:rsid w:val="00081734"/>
    <w:rsid w:val="0008663E"/>
    <w:rsid w:val="00087823"/>
    <w:rsid w:val="000B0456"/>
    <w:rsid w:val="000B162B"/>
    <w:rsid w:val="000B3CAF"/>
    <w:rsid w:val="000B4C9C"/>
    <w:rsid w:val="000B4D97"/>
    <w:rsid w:val="000C6EF7"/>
    <w:rsid w:val="000C7337"/>
    <w:rsid w:val="000D01DA"/>
    <w:rsid w:val="000D0E39"/>
    <w:rsid w:val="000E3596"/>
    <w:rsid w:val="000E38BA"/>
    <w:rsid w:val="000F0855"/>
    <w:rsid w:val="000F1D22"/>
    <w:rsid w:val="000F4D40"/>
    <w:rsid w:val="001003C2"/>
    <w:rsid w:val="001006B9"/>
    <w:rsid w:val="00102137"/>
    <w:rsid w:val="00102E92"/>
    <w:rsid w:val="00110FD1"/>
    <w:rsid w:val="00113A8D"/>
    <w:rsid w:val="0012283E"/>
    <w:rsid w:val="0012332F"/>
    <w:rsid w:val="001251AE"/>
    <w:rsid w:val="00131B65"/>
    <w:rsid w:val="001404A5"/>
    <w:rsid w:val="001424D4"/>
    <w:rsid w:val="0015620C"/>
    <w:rsid w:val="00157E20"/>
    <w:rsid w:val="001602BB"/>
    <w:rsid w:val="0016397C"/>
    <w:rsid w:val="00164DC7"/>
    <w:rsid w:val="0017440C"/>
    <w:rsid w:val="00182E05"/>
    <w:rsid w:val="0018465E"/>
    <w:rsid w:val="001929B3"/>
    <w:rsid w:val="00193EC7"/>
    <w:rsid w:val="001A0A2E"/>
    <w:rsid w:val="001A0F50"/>
    <w:rsid w:val="001A147A"/>
    <w:rsid w:val="001A14B2"/>
    <w:rsid w:val="001A5972"/>
    <w:rsid w:val="001B17F8"/>
    <w:rsid w:val="001B2AF4"/>
    <w:rsid w:val="001B5749"/>
    <w:rsid w:val="001C4291"/>
    <w:rsid w:val="001C770A"/>
    <w:rsid w:val="001D3680"/>
    <w:rsid w:val="001E210B"/>
    <w:rsid w:val="001F52AF"/>
    <w:rsid w:val="001F69D5"/>
    <w:rsid w:val="00212E9D"/>
    <w:rsid w:val="0021580E"/>
    <w:rsid w:val="00215BB1"/>
    <w:rsid w:val="00220396"/>
    <w:rsid w:val="002238D3"/>
    <w:rsid w:val="00224EA5"/>
    <w:rsid w:val="00227942"/>
    <w:rsid w:val="002346D2"/>
    <w:rsid w:val="0023524B"/>
    <w:rsid w:val="00237835"/>
    <w:rsid w:val="002426E7"/>
    <w:rsid w:val="0024344D"/>
    <w:rsid w:val="002449EB"/>
    <w:rsid w:val="0024516A"/>
    <w:rsid w:val="00245C15"/>
    <w:rsid w:val="00245EA8"/>
    <w:rsid w:val="002464BF"/>
    <w:rsid w:val="00247662"/>
    <w:rsid w:val="00255042"/>
    <w:rsid w:val="002574DF"/>
    <w:rsid w:val="00262F2E"/>
    <w:rsid w:val="002755A2"/>
    <w:rsid w:val="002773F8"/>
    <w:rsid w:val="0028102A"/>
    <w:rsid w:val="002A0353"/>
    <w:rsid w:val="002A1715"/>
    <w:rsid w:val="002A73D1"/>
    <w:rsid w:val="002B2380"/>
    <w:rsid w:val="002B5192"/>
    <w:rsid w:val="002B643B"/>
    <w:rsid w:val="002B7A9A"/>
    <w:rsid w:val="002B7B87"/>
    <w:rsid w:val="002C01FA"/>
    <w:rsid w:val="002C4607"/>
    <w:rsid w:val="002C4ABA"/>
    <w:rsid w:val="002C5710"/>
    <w:rsid w:val="002C650A"/>
    <w:rsid w:val="002E02F9"/>
    <w:rsid w:val="002E6332"/>
    <w:rsid w:val="002E6872"/>
    <w:rsid w:val="002F4101"/>
    <w:rsid w:val="002F53F9"/>
    <w:rsid w:val="00303570"/>
    <w:rsid w:val="00304DA1"/>
    <w:rsid w:val="00306089"/>
    <w:rsid w:val="00307DE4"/>
    <w:rsid w:val="00313982"/>
    <w:rsid w:val="00315E56"/>
    <w:rsid w:val="00323D7D"/>
    <w:rsid w:val="003240DB"/>
    <w:rsid w:val="003255DE"/>
    <w:rsid w:val="00327F1B"/>
    <w:rsid w:val="0033669A"/>
    <w:rsid w:val="00341989"/>
    <w:rsid w:val="00353478"/>
    <w:rsid w:val="0035771C"/>
    <w:rsid w:val="00357B6B"/>
    <w:rsid w:val="00361E7F"/>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E82"/>
    <w:rsid w:val="004078B3"/>
    <w:rsid w:val="0041549C"/>
    <w:rsid w:val="00417846"/>
    <w:rsid w:val="00421DC5"/>
    <w:rsid w:val="004226F2"/>
    <w:rsid w:val="004228A8"/>
    <w:rsid w:val="004330EA"/>
    <w:rsid w:val="00433EF7"/>
    <w:rsid w:val="00434323"/>
    <w:rsid w:val="00436238"/>
    <w:rsid w:val="00441C5A"/>
    <w:rsid w:val="004434AB"/>
    <w:rsid w:val="0045663E"/>
    <w:rsid w:val="00461560"/>
    <w:rsid w:val="00462077"/>
    <w:rsid w:val="00462BEF"/>
    <w:rsid w:val="004631CA"/>
    <w:rsid w:val="0046523C"/>
    <w:rsid w:val="00465E62"/>
    <w:rsid w:val="004671CC"/>
    <w:rsid w:val="00473E3C"/>
    <w:rsid w:val="00475ACD"/>
    <w:rsid w:val="0048452F"/>
    <w:rsid w:val="00484D8F"/>
    <w:rsid w:val="00485212"/>
    <w:rsid w:val="004871E9"/>
    <w:rsid w:val="004873D2"/>
    <w:rsid w:val="00491172"/>
    <w:rsid w:val="00492EB4"/>
    <w:rsid w:val="00495945"/>
    <w:rsid w:val="004A0B45"/>
    <w:rsid w:val="004A59AA"/>
    <w:rsid w:val="004B0D89"/>
    <w:rsid w:val="004D1B58"/>
    <w:rsid w:val="004D20B5"/>
    <w:rsid w:val="004D29B9"/>
    <w:rsid w:val="004E28CB"/>
    <w:rsid w:val="004E5366"/>
    <w:rsid w:val="004E5947"/>
    <w:rsid w:val="004E7A6C"/>
    <w:rsid w:val="004F26D5"/>
    <w:rsid w:val="004F4B97"/>
    <w:rsid w:val="004F57B4"/>
    <w:rsid w:val="0050043D"/>
    <w:rsid w:val="0050269B"/>
    <w:rsid w:val="0051231F"/>
    <w:rsid w:val="005144E7"/>
    <w:rsid w:val="0051622F"/>
    <w:rsid w:val="005214B8"/>
    <w:rsid w:val="00522A6A"/>
    <w:rsid w:val="005322C7"/>
    <w:rsid w:val="0053334B"/>
    <w:rsid w:val="00540D8E"/>
    <w:rsid w:val="0054166A"/>
    <w:rsid w:val="005435B4"/>
    <w:rsid w:val="0054447E"/>
    <w:rsid w:val="00552306"/>
    <w:rsid w:val="00554E40"/>
    <w:rsid w:val="00556B5B"/>
    <w:rsid w:val="00557B1E"/>
    <w:rsid w:val="00561AE7"/>
    <w:rsid w:val="0056508E"/>
    <w:rsid w:val="00580DA8"/>
    <w:rsid w:val="00594C14"/>
    <w:rsid w:val="00595B72"/>
    <w:rsid w:val="005A3D8E"/>
    <w:rsid w:val="005A6526"/>
    <w:rsid w:val="005A66C3"/>
    <w:rsid w:val="005A7264"/>
    <w:rsid w:val="005B1CA8"/>
    <w:rsid w:val="005B7582"/>
    <w:rsid w:val="005C0C82"/>
    <w:rsid w:val="005C30A6"/>
    <w:rsid w:val="005C5A46"/>
    <w:rsid w:val="005D2581"/>
    <w:rsid w:val="005D7F1D"/>
    <w:rsid w:val="005F0C1A"/>
    <w:rsid w:val="005F0E28"/>
    <w:rsid w:val="005F0F03"/>
    <w:rsid w:val="005F1742"/>
    <w:rsid w:val="005F4AFC"/>
    <w:rsid w:val="00601AAD"/>
    <w:rsid w:val="00602D16"/>
    <w:rsid w:val="0060536A"/>
    <w:rsid w:val="00606E13"/>
    <w:rsid w:val="00611C8D"/>
    <w:rsid w:val="00611D0C"/>
    <w:rsid w:val="00614357"/>
    <w:rsid w:val="0062080E"/>
    <w:rsid w:val="0063129A"/>
    <w:rsid w:val="006325D0"/>
    <w:rsid w:val="006361C6"/>
    <w:rsid w:val="00640499"/>
    <w:rsid w:val="0064099D"/>
    <w:rsid w:val="0064468A"/>
    <w:rsid w:val="006475CE"/>
    <w:rsid w:val="00650186"/>
    <w:rsid w:val="00652B96"/>
    <w:rsid w:val="00653201"/>
    <w:rsid w:val="006646C2"/>
    <w:rsid w:val="0066611A"/>
    <w:rsid w:val="00667924"/>
    <w:rsid w:val="0067097F"/>
    <w:rsid w:val="006765B6"/>
    <w:rsid w:val="00684B67"/>
    <w:rsid w:val="00685272"/>
    <w:rsid w:val="00687041"/>
    <w:rsid w:val="00694DDA"/>
    <w:rsid w:val="00695E40"/>
    <w:rsid w:val="006968E4"/>
    <w:rsid w:val="00696DB1"/>
    <w:rsid w:val="006A046D"/>
    <w:rsid w:val="006A676B"/>
    <w:rsid w:val="006B2600"/>
    <w:rsid w:val="006B4ED4"/>
    <w:rsid w:val="006C0878"/>
    <w:rsid w:val="006C1101"/>
    <w:rsid w:val="006C3E6E"/>
    <w:rsid w:val="006C68D8"/>
    <w:rsid w:val="006D2DAA"/>
    <w:rsid w:val="006E26D9"/>
    <w:rsid w:val="006E7161"/>
    <w:rsid w:val="006F3CE5"/>
    <w:rsid w:val="006F4EBD"/>
    <w:rsid w:val="006F6EEE"/>
    <w:rsid w:val="00701E79"/>
    <w:rsid w:val="00703B1E"/>
    <w:rsid w:val="00710117"/>
    <w:rsid w:val="007126AD"/>
    <w:rsid w:val="0071327B"/>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90F18"/>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02D3F"/>
    <w:rsid w:val="00812AF8"/>
    <w:rsid w:val="0081484B"/>
    <w:rsid w:val="00820464"/>
    <w:rsid w:val="008223C8"/>
    <w:rsid w:val="00826B63"/>
    <w:rsid w:val="00827534"/>
    <w:rsid w:val="00827906"/>
    <w:rsid w:val="00831793"/>
    <w:rsid w:val="00841628"/>
    <w:rsid w:val="00845779"/>
    <w:rsid w:val="00856BF8"/>
    <w:rsid w:val="008610E2"/>
    <w:rsid w:val="0086349B"/>
    <w:rsid w:val="0086459F"/>
    <w:rsid w:val="00871565"/>
    <w:rsid w:val="00874E1A"/>
    <w:rsid w:val="008806E9"/>
    <w:rsid w:val="00880ECF"/>
    <w:rsid w:val="0088368E"/>
    <w:rsid w:val="00890257"/>
    <w:rsid w:val="00893E4D"/>
    <w:rsid w:val="0089746E"/>
    <w:rsid w:val="0089794B"/>
    <w:rsid w:val="008A6179"/>
    <w:rsid w:val="008B1BB2"/>
    <w:rsid w:val="008B6D55"/>
    <w:rsid w:val="008B781F"/>
    <w:rsid w:val="008C2CBB"/>
    <w:rsid w:val="008C7436"/>
    <w:rsid w:val="008D5791"/>
    <w:rsid w:val="008D6C52"/>
    <w:rsid w:val="008E3AB8"/>
    <w:rsid w:val="008E5C53"/>
    <w:rsid w:val="008F1CFF"/>
    <w:rsid w:val="008F7007"/>
    <w:rsid w:val="00905C36"/>
    <w:rsid w:val="00911C57"/>
    <w:rsid w:val="00912249"/>
    <w:rsid w:val="00914E93"/>
    <w:rsid w:val="009200BE"/>
    <w:rsid w:val="00920AB7"/>
    <w:rsid w:val="00921213"/>
    <w:rsid w:val="00921461"/>
    <w:rsid w:val="00937BE7"/>
    <w:rsid w:val="009403D1"/>
    <w:rsid w:val="00944708"/>
    <w:rsid w:val="00946DDB"/>
    <w:rsid w:val="009564F0"/>
    <w:rsid w:val="00960475"/>
    <w:rsid w:val="009753A2"/>
    <w:rsid w:val="009803C6"/>
    <w:rsid w:val="0098148F"/>
    <w:rsid w:val="00981768"/>
    <w:rsid w:val="00982397"/>
    <w:rsid w:val="00982730"/>
    <w:rsid w:val="00982EB1"/>
    <w:rsid w:val="00990E62"/>
    <w:rsid w:val="00995309"/>
    <w:rsid w:val="009969D7"/>
    <w:rsid w:val="00997306"/>
    <w:rsid w:val="009A5A55"/>
    <w:rsid w:val="009C0B7F"/>
    <w:rsid w:val="009C68FD"/>
    <w:rsid w:val="009C7268"/>
    <w:rsid w:val="009D1B37"/>
    <w:rsid w:val="009D2F03"/>
    <w:rsid w:val="009D3075"/>
    <w:rsid w:val="009D621E"/>
    <w:rsid w:val="009E223C"/>
    <w:rsid w:val="009E23EC"/>
    <w:rsid w:val="009E4068"/>
    <w:rsid w:val="009E6324"/>
    <w:rsid w:val="00A2028D"/>
    <w:rsid w:val="00A20E02"/>
    <w:rsid w:val="00A30B7E"/>
    <w:rsid w:val="00A349B0"/>
    <w:rsid w:val="00A37686"/>
    <w:rsid w:val="00A42C19"/>
    <w:rsid w:val="00A4573C"/>
    <w:rsid w:val="00A65218"/>
    <w:rsid w:val="00A70D52"/>
    <w:rsid w:val="00A71CD4"/>
    <w:rsid w:val="00A77830"/>
    <w:rsid w:val="00A84775"/>
    <w:rsid w:val="00A860E2"/>
    <w:rsid w:val="00A90039"/>
    <w:rsid w:val="00A9321F"/>
    <w:rsid w:val="00A938B9"/>
    <w:rsid w:val="00AA3728"/>
    <w:rsid w:val="00AA3D23"/>
    <w:rsid w:val="00AB1E61"/>
    <w:rsid w:val="00AB2910"/>
    <w:rsid w:val="00AB2C9C"/>
    <w:rsid w:val="00AC1146"/>
    <w:rsid w:val="00AC22E2"/>
    <w:rsid w:val="00AC499A"/>
    <w:rsid w:val="00AC4DAE"/>
    <w:rsid w:val="00AC6F8D"/>
    <w:rsid w:val="00AD0940"/>
    <w:rsid w:val="00AD1819"/>
    <w:rsid w:val="00AD3402"/>
    <w:rsid w:val="00AD4290"/>
    <w:rsid w:val="00AE3D1A"/>
    <w:rsid w:val="00AE53C4"/>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0F7"/>
    <w:rsid w:val="00B42171"/>
    <w:rsid w:val="00B47DE8"/>
    <w:rsid w:val="00B53A9C"/>
    <w:rsid w:val="00B5556F"/>
    <w:rsid w:val="00B62AC6"/>
    <w:rsid w:val="00B72371"/>
    <w:rsid w:val="00B812E0"/>
    <w:rsid w:val="00B82822"/>
    <w:rsid w:val="00B82C4D"/>
    <w:rsid w:val="00B86414"/>
    <w:rsid w:val="00B86CE9"/>
    <w:rsid w:val="00B87951"/>
    <w:rsid w:val="00BA047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049F4"/>
    <w:rsid w:val="00C2367F"/>
    <w:rsid w:val="00C25413"/>
    <w:rsid w:val="00C328B6"/>
    <w:rsid w:val="00C44B5F"/>
    <w:rsid w:val="00C53B6A"/>
    <w:rsid w:val="00C563CE"/>
    <w:rsid w:val="00C56682"/>
    <w:rsid w:val="00C568B6"/>
    <w:rsid w:val="00C577FF"/>
    <w:rsid w:val="00C63478"/>
    <w:rsid w:val="00C64924"/>
    <w:rsid w:val="00C664A5"/>
    <w:rsid w:val="00C71367"/>
    <w:rsid w:val="00C72D5A"/>
    <w:rsid w:val="00C77C50"/>
    <w:rsid w:val="00C848E4"/>
    <w:rsid w:val="00C922CA"/>
    <w:rsid w:val="00C94CB8"/>
    <w:rsid w:val="00CA2F5C"/>
    <w:rsid w:val="00CB502A"/>
    <w:rsid w:val="00CC03E4"/>
    <w:rsid w:val="00CC144B"/>
    <w:rsid w:val="00CC51F7"/>
    <w:rsid w:val="00CC6665"/>
    <w:rsid w:val="00CD654D"/>
    <w:rsid w:val="00CD6B35"/>
    <w:rsid w:val="00CF554E"/>
    <w:rsid w:val="00D00163"/>
    <w:rsid w:val="00D077DE"/>
    <w:rsid w:val="00D132AC"/>
    <w:rsid w:val="00D14819"/>
    <w:rsid w:val="00D1724C"/>
    <w:rsid w:val="00D17D11"/>
    <w:rsid w:val="00D21893"/>
    <w:rsid w:val="00D230F8"/>
    <w:rsid w:val="00D24156"/>
    <w:rsid w:val="00D257F8"/>
    <w:rsid w:val="00D26887"/>
    <w:rsid w:val="00D302CF"/>
    <w:rsid w:val="00D349DE"/>
    <w:rsid w:val="00D34D83"/>
    <w:rsid w:val="00D40240"/>
    <w:rsid w:val="00D40959"/>
    <w:rsid w:val="00D422AF"/>
    <w:rsid w:val="00D50638"/>
    <w:rsid w:val="00D61D82"/>
    <w:rsid w:val="00D66197"/>
    <w:rsid w:val="00D70231"/>
    <w:rsid w:val="00D7722F"/>
    <w:rsid w:val="00D8351D"/>
    <w:rsid w:val="00D8452E"/>
    <w:rsid w:val="00D90B4E"/>
    <w:rsid w:val="00DA037B"/>
    <w:rsid w:val="00DA5825"/>
    <w:rsid w:val="00DC4C05"/>
    <w:rsid w:val="00DC4F3E"/>
    <w:rsid w:val="00DC64E7"/>
    <w:rsid w:val="00DC6EB2"/>
    <w:rsid w:val="00DD02E4"/>
    <w:rsid w:val="00DD29A1"/>
    <w:rsid w:val="00DE34F6"/>
    <w:rsid w:val="00DE745B"/>
    <w:rsid w:val="00DE7788"/>
    <w:rsid w:val="00E011E0"/>
    <w:rsid w:val="00E062CD"/>
    <w:rsid w:val="00E16B9A"/>
    <w:rsid w:val="00E179DC"/>
    <w:rsid w:val="00E3514F"/>
    <w:rsid w:val="00E362CA"/>
    <w:rsid w:val="00E37CC8"/>
    <w:rsid w:val="00E43B49"/>
    <w:rsid w:val="00E5313E"/>
    <w:rsid w:val="00E55D48"/>
    <w:rsid w:val="00E600A1"/>
    <w:rsid w:val="00E64624"/>
    <w:rsid w:val="00E64D40"/>
    <w:rsid w:val="00E746AD"/>
    <w:rsid w:val="00E747FF"/>
    <w:rsid w:val="00E85E15"/>
    <w:rsid w:val="00E93D2E"/>
    <w:rsid w:val="00E94629"/>
    <w:rsid w:val="00EA0C6C"/>
    <w:rsid w:val="00EA378E"/>
    <w:rsid w:val="00EB3DCC"/>
    <w:rsid w:val="00EC249D"/>
    <w:rsid w:val="00EC3A78"/>
    <w:rsid w:val="00EC61CC"/>
    <w:rsid w:val="00ED180D"/>
    <w:rsid w:val="00EE28CA"/>
    <w:rsid w:val="00EF01B2"/>
    <w:rsid w:val="00EF4944"/>
    <w:rsid w:val="00EF556E"/>
    <w:rsid w:val="00EF7DEB"/>
    <w:rsid w:val="00F07090"/>
    <w:rsid w:val="00F168AD"/>
    <w:rsid w:val="00F1756F"/>
    <w:rsid w:val="00F21CAC"/>
    <w:rsid w:val="00F221E9"/>
    <w:rsid w:val="00F23765"/>
    <w:rsid w:val="00F25EA7"/>
    <w:rsid w:val="00F35E07"/>
    <w:rsid w:val="00F40F94"/>
    <w:rsid w:val="00F45C7C"/>
    <w:rsid w:val="00F5017A"/>
    <w:rsid w:val="00F60F64"/>
    <w:rsid w:val="00F61A37"/>
    <w:rsid w:val="00F703B8"/>
    <w:rsid w:val="00F72AD2"/>
    <w:rsid w:val="00F76FF2"/>
    <w:rsid w:val="00F8024A"/>
    <w:rsid w:val="00F80B6C"/>
    <w:rsid w:val="00F86950"/>
    <w:rsid w:val="00F90E0C"/>
    <w:rsid w:val="00F95080"/>
    <w:rsid w:val="00F96130"/>
    <w:rsid w:val="00F96B1A"/>
    <w:rsid w:val="00F9784D"/>
    <w:rsid w:val="00FA1A62"/>
    <w:rsid w:val="00FB1E29"/>
    <w:rsid w:val="00FB21BA"/>
    <w:rsid w:val="00FC2A61"/>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TotalTime>
  <Pages>7</Pages>
  <Words>2589</Words>
  <Characters>14762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14</cp:revision>
  <cp:lastPrinted>2007-12-19T10:51:00Z</cp:lastPrinted>
  <dcterms:created xsi:type="dcterms:W3CDTF">2026-08-20T08:58:00Z</dcterms:created>
  <dcterms:modified xsi:type="dcterms:W3CDTF">2026-08-20T09:25:00Z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58e4385a-4746-45ea-8db0-6c42acad81de</vt:lpwstr>
  </property>
</Properties>
</file>