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3AB5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4E0BFA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D26745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1E450101" w14:textId="77777777" w:rsidTr="00AA0A02">
        <w:tc>
          <w:tcPr>
            <w:tcW w:w="3681" w:type="dxa"/>
          </w:tcPr>
          <w:p w14:paraId="274924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BFE1A5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PL/2026/03425</w:t>
            </w:r>
          </w:p>
        </w:tc>
      </w:tr>
      <w:tr w:rsidR="00C35340" w14:paraId="5849E24F" w14:textId="77777777" w:rsidTr="00AA0A02">
        <w:tc>
          <w:tcPr>
            <w:tcW w:w="3681" w:type="dxa"/>
          </w:tcPr>
          <w:p w14:paraId="584439D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C6BA29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9E5124E" w14:textId="77777777" w:rsidTr="00AA0A02">
        <w:tc>
          <w:tcPr>
            <w:tcW w:w="3681" w:type="dxa"/>
          </w:tcPr>
          <w:p w14:paraId="257BCD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9973BF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120 Cadley Road, Collingbourne Ducis, Marlborough, SN8 3EA</w:t>
            </w:r>
          </w:p>
        </w:tc>
      </w:tr>
      <w:tr w:rsidR="00C35340" w14:paraId="6779918D" w14:textId="77777777" w:rsidTr="00AA0A02">
        <w:tc>
          <w:tcPr>
            <w:tcW w:w="3681" w:type="dxa"/>
          </w:tcPr>
          <w:p w14:paraId="43FC196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9680AF8"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 a domestic EV charging unit to serve the property.</w:t>
            </w:r>
          </w:p>
        </w:tc>
      </w:tr>
      <w:tr w:rsidR="00C35340" w14:paraId="5C17FA1D" w14:textId="77777777" w:rsidTr="00AA0A02">
        <w:tc>
          <w:tcPr>
            <w:tcW w:w="3681" w:type="dxa"/>
          </w:tcPr>
          <w:p w14:paraId="3DD1B6A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159C64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EE31B7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A100B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0A542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3F09EB9" w14:textId="18D8A3C5" w:rsidR="005B0FD5" w:rsidRPr="00503219" w:rsidRDefault="005B0FD5" w:rsidP="009C1702">
      <w:pPr>
        <w:spacing w:after="0" w:line="276" w:lineRule="auto"/>
        <w:jc w:val="both"/>
        <w:outlineLvl w:val="2"/>
        <w:rPr>
          <w:rFonts w:ascii="Arial" w:eastAsia="Times New Roman" w:hAnsi="Arial" w:cs="Arial"/>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8718B4">
        <w:rPr>
          <w:rFonts w:ascii="Arial" w:eastAsia="Times New Roman" w:hAnsi="Arial" w:cs="Arial"/>
          <w:color w:val="000000" w:themeColor="text1"/>
          <w:kern w:val="0"/>
          <w:sz w:val="22"/>
          <w:szCs w:val="22"/>
          <w:lang w:eastAsia="en-GB"/>
          <w14:ligatures w14:val="none"/>
        </w:rPr>
        <w:t>permission for</w:t>
      </w:r>
      <w:r w:rsidR="00344752" w:rsidRPr="008718B4">
        <w:rPr>
          <w:rFonts w:ascii="Arial" w:eastAsia="Times New Roman" w:hAnsi="Arial" w:cs="Arial"/>
          <w:color w:val="000000" w:themeColor="text1"/>
          <w:kern w:val="0"/>
          <w:sz w:val="22"/>
          <w:szCs w:val="22"/>
          <w:lang w:eastAsia="en-GB"/>
          <w14:ligatures w14:val="none"/>
        </w:rPr>
        <w:t xml:space="preserve"> the installation of a domestic Electric Vehicle Charging unit to serve the property to the front of the house </w:t>
      </w:r>
      <w:r w:rsidR="008718B4" w:rsidRPr="008718B4">
        <w:rPr>
          <w:rFonts w:ascii="Arial" w:eastAsia="Times New Roman" w:hAnsi="Arial" w:cs="Arial"/>
          <w:color w:val="000000" w:themeColor="text1"/>
          <w:kern w:val="0"/>
          <w:sz w:val="22"/>
          <w:szCs w:val="22"/>
          <w:lang w:eastAsia="en-GB"/>
          <w14:ligatures w14:val="none"/>
        </w:rPr>
        <w:t>in the existing parking area.</w:t>
      </w:r>
    </w:p>
    <w:p w14:paraId="21060C8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01B716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7DA7EDE"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B4C4C7A" w14:textId="18EB32AC" w:rsidR="00610090" w:rsidRDefault="008718B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037A">
        <w:rPr>
          <w:rFonts w:ascii="Arial" w:eastAsia="Times New Roman" w:hAnsi="Arial" w:cs="Arial"/>
          <w:color w:val="000000" w:themeColor="text1"/>
          <w:kern w:val="0"/>
          <w:sz w:val="22"/>
          <w:szCs w:val="22"/>
          <w:lang w:eastAsia="en-GB"/>
          <w14:ligatures w14:val="none"/>
        </w:rPr>
        <w:t xml:space="preserve">The application relates to 120 Cadley Road in Collingbourne Ducis, Marlborough. </w:t>
      </w:r>
      <w:r w:rsidR="003A6C95">
        <w:rPr>
          <w:rFonts w:ascii="Arial" w:eastAsia="Times New Roman" w:hAnsi="Arial" w:cs="Arial"/>
          <w:color w:val="000000" w:themeColor="text1"/>
          <w:kern w:val="0"/>
          <w:sz w:val="22"/>
          <w:szCs w:val="22"/>
          <w:lang w:eastAsia="en-GB"/>
          <w14:ligatures w14:val="none"/>
        </w:rPr>
        <w:t>The dwelling</w:t>
      </w:r>
      <w:r w:rsidRPr="0026037A">
        <w:rPr>
          <w:rFonts w:ascii="Arial" w:eastAsia="Times New Roman" w:hAnsi="Arial" w:cs="Arial"/>
          <w:color w:val="000000" w:themeColor="text1"/>
          <w:kern w:val="0"/>
          <w:sz w:val="22"/>
          <w:szCs w:val="22"/>
          <w:lang w:eastAsia="en-GB"/>
          <w14:ligatures w14:val="none"/>
        </w:rPr>
        <w:t xml:space="preserve"> is Grade II listed (List Entry Number: </w:t>
      </w:r>
      <w:r w:rsidR="000D16FB" w:rsidRPr="0026037A">
        <w:rPr>
          <w:rFonts w:ascii="Arial" w:eastAsia="Times New Roman" w:hAnsi="Arial" w:cs="Arial"/>
          <w:color w:val="000000" w:themeColor="text1"/>
          <w:kern w:val="0"/>
          <w:sz w:val="22"/>
          <w:szCs w:val="22"/>
          <w:lang w:eastAsia="en-GB"/>
          <w14:ligatures w14:val="none"/>
        </w:rPr>
        <w:t>1180517)</w:t>
      </w:r>
      <w:r w:rsidR="00753994">
        <w:rPr>
          <w:rFonts w:ascii="Arial" w:eastAsia="Times New Roman" w:hAnsi="Arial" w:cs="Arial"/>
          <w:color w:val="000000" w:themeColor="text1"/>
          <w:kern w:val="0"/>
          <w:sz w:val="22"/>
          <w:szCs w:val="22"/>
          <w:lang w:eastAsia="en-GB"/>
          <w14:ligatures w14:val="none"/>
        </w:rPr>
        <w:t xml:space="preserve"> </w:t>
      </w:r>
      <w:r w:rsidR="003A6C95">
        <w:rPr>
          <w:rFonts w:ascii="Arial" w:eastAsia="Times New Roman" w:hAnsi="Arial" w:cs="Arial"/>
          <w:color w:val="000000" w:themeColor="text1"/>
          <w:kern w:val="0"/>
          <w:sz w:val="22"/>
          <w:szCs w:val="22"/>
          <w:lang w:eastAsia="en-GB"/>
          <w14:ligatures w14:val="none"/>
        </w:rPr>
        <w:t>an</w:t>
      </w:r>
      <w:r w:rsidR="00CC7F7F">
        <w:rPr>
          <w:rFonts w:ascii="Arial" w:eastAsia="Times New Roman" w:hAnsi="Arial" w:cs="Arial"/>
          <w:color w:val="000000" w:themeColor="text1"/>
          <w:kern w:val="0"/>
          <w:sz w:val="22"/>
          <w:szCs w:val="22"/>
          <w:lang w:eastAsia="en-GB"/>
          <w14:ligatures w14:val="none"/>
        </w:rPr>
        <w:t>d</w:t>
      </w:r>
      <w:r w:rsidR="003A6C95">
        <w:rPr>
          <w:rFonts w:ascii="Arial" w:eastAsia="Times New Roman" w:hAnsi="Arial" w:cs="Arial"/>
          <w:color w:val="000000" w:themeColor="text1"/>
          <w:kern w:val="0"/>
          <w:sz w:val="22"/>
          <w:szCs w:val="22"/>
          <w:lang w:eastAsia="en-GB"/>
          <w14:ligatures w14:val="none"/>
        </w:rPr>
        <w:t xml:space="preserve"> is </w:t>
      </w:r>
      <w:r w:rsidR="00753994">
        <w:rPr>
          <w:rFonts w:ascii="Arial" w:eastAsia="Times New Roman" w:hAnsi="Arial" w:cs="Arial"/>
          <w:color w:val="000000" w:themeColor="text1"/>
          <w:kern w:val="0"/>
          <w:sz w:val="22"/>
          <w:szCs w:val="22"/>
          <w:lang w:eastAsia="en-GB"/>
          <w14:ligatures w14:val="none"/>
        </w:rPr>
        <w:t xml:space="preserve">situated in proximity to several other listed buildings, including </w:t>
      </w:r>
      <w:r w:rsidR="00175052">
        <w:rPr>
          <w:rFonts w:ascii="Arial" w:eastAsia="Times New Roman" w:hAnsi="Arial" w:cs="Arial"/>
          <w:color w:val="000000" w:themeColor="text1"/>
          <w:kern w:val="0"/>
          <w:sz w:val="22"/>
          <w:szCs w:val="22"/>
          <w:lang w:eastAsia="en-GB"/>
          <w14:ligatures w14:val="none"/>
        </w:rPr>
        <w:t xml:space="preserve">122 Cadley Road (List Entry Number: </w:t>
      </w:r>
      <w:r w:rsidR="00175052" w:rsidRPr="00175052">
        <w:rPr>
          <w:rFonts w:ascii="Arial" w:eastAsia="Times New Roman" w:hAnsi="Arial" w:cs="Arial"/>
          <w:color w:val="000000" w:themeColor="text1"/>
          <w:kern w:val="0"/>
          <w:sz w:val="22"/>
          <w:szCs w:val="22"/>
          <w:lang w:eastAsia="en-GB"/>
          <w14:ligatures w14:val="none"/>
        </w:rPr>
        <w:t>1035949</w:t>
      </w:r>
      <w:r w:rsidR="00175052">
        <w:rPr>
          <w:rFonts w:ascii="Arial" w:eastAsia="Times New Roman" w:hAnsi="Arial" w:cs="Arial"/>
          <w:color w:val="000000" w:themeColor="text1"/>
          <w:kern w:val="0"/>
          <w:sz w:val="22"/>
          <w:szCs w:val="22"/>
          <w:lang w:eastAsia="en-GB"/>
          <w14:ligatures w14:val="none"/>
        </w:rPr>
        <w:t>) and Sally Lunn’s (List Entry</w:t>
      </w:r>
      <w:r w:rsidR="003A6C95">
        <w:rPr>
          <w:rFonts w:ascii="Arial" w:eastAsia="Times New Roman" w:hAnsi="Arial" w:cs="Arial"/>
          <w:color w:val="000000" w:themeColor="text1"/>
          <w:kern w:val="0"/>
          <w:sz w:val="22"/>
          <w:szCs w:val="22"/>
          <w:lang w:eastAsia="en-GB"/>
          <w14:ligatures w14:val="none"/>
        </w:rPr>
        <w:t xml:space="preserve"> </w:t>
      </w:r>
      <w:r w:rsidR="00175052">
        <w:rPr>
          <w:rFonts w:ascii="Arial" w:eastAsia="Times New Roman" w:hAnsi="Arial" w:cs="Arial"/>
          <w:color w:val="000000" w:themeColor="text1"/>
          <w:kern w:val="0"/>
          <w:sz w:val="22"/>
          <w:szCs w:val="22"/>
          <w:lang w:eastAsia="en-GB"/>
          <w14:ligatures w14:val="none"/>
        </w:rPr>
        <w:t xml:space="preserve">Number: </w:t>
      </w:r>
      <w:r w:rsidR="003A6C95">
        <w:rPr>
          <w:rFonts w:ascii="Arial" w:eastAsia="Times New Roman" w:hAnsi="Arial" w:cs="Arial"/>
          <w:color w:val="000000" w:themeColor="text1"/>
          <w:kern w:val="0"/>
          <w:sz w:val="22"/>
          <w:szCs w:val="22"/>
          <w:lang w:eastAsia="en-GB"/>
          <w14:ligatures w14:val="none"/>
        </w:rPr>
        <w:t xml:space="preserve"> </w:t>
      </w:r>
      <w:r w:rsidR="00175052" w:rsidRPr="00EA798F">
        <w:rPr>
          <w:rFonts w:ascii="Arial" w:eastAsia="Times New Roman" w:hAnsi="Arial" w:cs="Arial"/>
          <w:color w:val="000000" w:themeColor="text1"/>
          <w:kern w:val="0"/>
          <w:sz w:val="22"/>
          <w:szCs w:val="22"/>
          <w:lang w:eastAsia="en-GB"/>
          <w14:ligatures w14:val="none"/>
        </w:rPr>
        <w:t>1180528).</w:t>
      </w:r>
      <w:r w:rsidR="00175052">
        <w:rPr>
          <w:rFonts w:ascii="Arial" w:eastAsia="Times New Roman" w:hAnsi="Arial" w:cs="Arial"/>
          <w:b/>
          <w:bCs/>
          <w:color w:val="000000" w:themeColor="text1"/>
          <w:kern w:val="0"/>
          <w:sz w:val="22"/>
          <w:szCs w:val="22"/>
          <w:lang w:eastAsia="en-GB"/>
          <w14:ligatures w14:val="none"/>
        </w:rPr>
        <w:t xml:space="preserve"> </w:t>
      </w:r>
      <w:r w:rsidR="00EA798F">
        <w:rPr>
          <w:rFonts w:ascii="Arial" w:eastAsia="Times New Roman" w:hAnsi="Arial" w:cs="Arial"/>
          <w:color w:val="000000" w:themeColor="text1"/>
          <w:kern w:val="0"/>
          <w:sz w:val="22"/>
          <w:szCs w:val="22"/>
          <w:lang w:eastAsia="en-GB"/>
          <w14:ligatures w14:val="none"/>
        </w:rPr>
        <w:t>It is a</w:t>
      </w:r>
      <w:r w:rsidR="00DF494D">
        <w:rPr>
          <w:rFonts w:ascii="Arial" w:eastAsia="Times New Roman" w:hAnsi="Arial" w:cs="Arial"/>
          <w:color w:val="000000" w:themeColor="text1"/>
          <w:kern w:val="0"/>
          <w:sz w:val="22"/>
          <w:szCs w:val="22"/>
          <w:lang w:eastAsia="en-GB"/>
          <w14:ligatures w14:val="none"/>
        </w:rPr>
        <w:t xml:space="preserve"> two-storey, semi-detached thatched cottage. </w:t>
      </w:r>
    </w:p>
    <w:p w14:paraId="290AD83E" w14:textId="77777777" w:rsidR="00610090" w:rsidRDefault="0061009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41ED8E" w14:textId="37B6D49D" w:rsidR="006D4A80" w:rsidRPr="00EA798F" w:rsidRDefault="00DF494D"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property is </w:t>
      </w:r>
      <w:r w:rsidR="00652ABF">
        <w:rPr>
          <w:rFonts w:ascii="Arial" w:eastAsia="Times New Roman" w:hAnsi="Arial" w:cs="Arial"/>
          <w:color w:val="000000" w:themeColor="text1"/>
          <w:kern w:val="0"/>
          <w:sz w:val="22"/>
          <w:szCs w:val="22"/>
          <w:lang w:eastAsia="en-GB"/>
          <w14:ligatures w14:val="none"/>
        </w:rPr>
        <w:t>characterised</w:t>
      </w:r>
      <w:r>
        <w:rPr>
          <w:rFonts w:ascii="Arial" w:eastAsia="Times New Roman" w:hAnsi="Arial" w:cs="Arial"/>
          <w:color w:val="000000" w:themeColor="text1"/>
          <w:kern w:val="0"/>
          <w:sz w:val="22"/>
          <w:szCs w:val="22"/>
          <w:lang w:eastAsia="en-GB"/>
          <w14:ligatures w14:val="none"/>
        </w:rPr>
        <w:t xml:space="preserve"> by </w:t>
      </w:r>
      <w:r w:rsidR="00610090">
        <w:rPr>
          <w:rFonts w:ascii="Arial" w:eastAsia="Times New Roman" w:hAnsi="Arial" w:cs="Arial"/>
          <w:color w:val="000000" w:themeColor="text1"/>
          <w:kern w:val="0"/>
          <w:sz w:val="22"/>
          <w:szCs w:val="22"/>
          <w:lang w:eastAsia="en-GB"/>
          <w14:ligatures w14:val="none"/>
        </w:rPr>
        <w:t xml:space="preserve">eyebrow dormers on the principal elevation and </w:t>
      </w:r>
      <w:r w:rsidR="00652ABF">
        <w:rPr>
          <w:rFonts w:ascii="Arial" w:eastAsia="Times New Roman" w:hAnsi="Arial" w:cs="Arial"/>
          <w:color w:val="000000" w:themeColor="text1"/>
          <w:kern w:val="0"/>
          <w:sz w:val="22"/>
          <w:szCs w:val="22"/>
          <w:lang w:eastAsia="en-GB"/>
          <w14:ligatures w14:val="none"/>
        </w:rPr>
        <w:t xml:space="preserve">white-painted render walls </w:t>
      </w:r>
      <w:r w:rsidR="00610090">
        <w:rPr>
          <w:rFonts w:ascii="Arial" w:eastAsia="Times New Roman" w:hAnsi="Arial" w:cs="Arial"/>
          <w:color w:val="000000" w:themeColor="text1"/>
          <w:kern w:val="0"/>
          <w:sz w:val="22"/>
          <w:szCs w:val="22"/>
          <w:lang w:eastAsia="en-GB"/>
          <w14:ligatures w14:val="none"/>
        </w:rPr>
        <w:t>with sections of exposed masonry on the side elevation. It forms part of a row of cottages with a similar appearance. To the front of the property is a gravel driveway allowing space for the parking of 2/3 cars.</w:t>
      </w:r>
    </w:p>
    <w:p w14:paraId="45747C87" w14:textId="77777777" w:rsidR="0026037A" w:rsidRPr="0026037A" w:rsidRDefault="0026037A"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129C72" w14:textId="709FAD70" w:rsidR="0026037A" w:rsidRPr="0026037A" w:rsidRDefault="0026037A"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037A">
        <w:rPr>
          <w:rFonts w:ascii="Arial" w:eastAsia="Times New Roman" w:hAnsi="Arial" w:cs="Arial"/>
          <w:color w:val="000000" w:themeColor="text1"/>
          <w:kern w:val="0"/>
          <w:sz w:val="22"/>
          <w:szCs w:val="22"/>
          <w:lang w:eastAsia="en-GB"/>
          <w14:ligatures w14:val="none"/>
        </w:rPr>
        <w:t>The statutory listing of the property is as follows:</w:t>
      </w:r>
    </w:p>
    <w:p w14:paraId="42A626B6" w14:textId="77777777" w:rsidR="0026037A" w:rsidRPr="0026037A" w:rsidRDefault="0026037A"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793FDA30" w14:textId="77777777" w:rsidR="0026037A" w:rsidRPr="0026037A" w:rsidRDefault="0026037A" w:rsidP="0026037A">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26037A">
        <w:rPr>
          <w:rFonts w:ascii="Arial" w:eastAsia="Times New Roman" w:hAnsi="Arial" w:cs="Arial"/>
          <w:i/>
          <w:iCs/>
          <w:color w:val="000000" w:themeColor="text1"/>
          <w:kern w:val="0"/>
          <w:sz w:val="22"/>
          <w:szCs w:val="22"/>
          <w:lang w:eastAsia="en-GB"/>
          <w14:ligatures w14:val="none"/>
        </w:rPr>
        <w:t>COLLINGBOURNE DUCIS CADLEY SU 25 SW (north side) 8/105 Nos 118, 119 and 120 (April Cottage) GV II</w:t>
      </w:r>
    </w:p>
    <w:p w14:paraId="21A26DC2" w14:textId="77777777" w:rsidR="0026037A" w:rsidRPr="0026037A" w:rsidRDefault="0026037A" w:rsidP="0026037A">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6F596AF0" w14:textId="77777777" w:rsidR="0026037A" w:rsidRPr="0026037A" w:rsidRDefault="0026037A" w:rsidP="0026037A">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26037A">
        <w:rPr>
          <w:rFonts w:ascii="Arial" w:eastAsia="Times New Roman" w:hAnsi="Arial" w:cs="Arial"/>
          <w:i/>
          <w:iCs/>
          <w:color w:val="000000" w:themeColor="text1"/>
          <w:kern w:val="0"/>
          <w:sz w:val="22"/>
          <w:szCs w:val="22"/>
          <w:lang w:eastAsia="en-GB"/>
          <w14:ligatures w14:val="none"/>
        </w:rPr>
        <w:t>Row of three cottages. C18. Rendered flint and chalkstone, thatched roof. Single storey and attic. No 118 in left bay, extended by half bay in brick with gable stack. Boarded door. Paned timber windows and one flush dormer No 119, 2 bays, has attached thatched porch. Timber windows and 2 flush dormers. April Cottage is of 2 bays, set back from the 2 left cottages, and has 1 bay rear wing containing entrance at junction. Timber windows with leaded glazing and 2 flush dormers. Right gable has blocked arch of oven.</w:t>
      </w:r>
    </w:p>
    <w:p w14:paraId="5468739F" w14:textId="77777777" w:rsidR="0026037A" w:rsidRPr="0026037A" w:rsidRDefault="0026037A" w:rsidP="0026037A">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4708B45B" w14:textId="46286D1C" w:rsidR="0026037A" w:rsidRPr="0026037A" w:rsidRDefault="0026037A" w:rsidP="0026037A">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26037A">
        <w:rPr>
          <w:rFonts w:ascii="Arial" w:eastAsia="Times New Roman" w:hAnsi="Arial" w:cs="Arial"/>
          <w:i/>
          <w:iCs/>
          <w:color w:val="000000" w:themeColor="text1"/>
          <w:kern w:val="0"/>
          <w:sz w:val="22"/>
          <w:szCs w:val="22"/>
          <w:lang w:eastAsia="en-GB"/>
          <w14:ligatures w14:val="none"/>
        </w:rPr>
        <w:t>Listing NGR: SU2494154067</w:t>
      </w:r>
    </w:p>
    <w:p w14:paraId="00433FD3"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EF42FF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8E0AD9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7024B8" w14:textId="496C52AB" w:rsidR="00965A06" w:rsidRPr="00EC7118" w:rsidRDefault="000D16F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C7118">
        <w:rPr>
          <w:rFonts w:ascii="Arial" w:eastAsia="Times New Roman" w:hAnsi="Arial" w:cs="Arial"/>
          <w:color w:val="000000" w:themeColor="text1"/>
          <w:kern w:val="0"/>
          <w:sz w:val="22"/>
          <w:szCs w:val="22"/>
          <w:lang w:eastAsia="en-GB"/>
          <w14:ligatures w14:val="none"/>
        </w:rPr>
        <w:t>Grade II listed building (List Entry Number: 1180517)</w:t>
      </w:r>
    </w:p>
    <w:p w14:paraId="2885C339" w14:textId="78D95B7C" w:rsidR="00175052" w:rsidRDefault="0017505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C7118">
        <w:rPr>
          <w:rFonts w:ascii="Arial" w:eastAsia="Times New Roman" w:hAnsi="Arial" w:cs="Arial"/>
          <w:color w:val="000000" w:themeColor="text1"/>
          <w:kern w:val="0"/>
          <w:sz w:val="22"/>
          <w:szCs w:val="22"/>
          <w:lang w:eastAsia="en-GB"/>
          <w14:ligatures w14:val="none"/>
        </w:rPr>
        <w:t>Situated in proximity to several other listed buildings.</w:t>
      </w:r>
    </w:p>
    <w:p w14:paraId="4505E360" w14:textId="72B7F5E9" w:rsidR="00EA798F" w:rsidRPr="00EC7118" w:rsidRDefault="00EA798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Washed over by the North Wessex Downs National Landscape.</w:t>
      </w:r>
    </w:p>
    <w:p w14:paraId="3BD7399C" w14:textId="2EA88B41" w:rsidR="00EC7118" w:rsidRPr="00EC7118" w:rsidRDefault="00EC711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C7118">
        <w:rPr>
          <w:rFonts w:ascii="Arial" w:eastAsia="Times New Roman" w:hAnsi="Arial" w:cs="Arial"/>
          <w:color w:val="000000" w:themeColor="text1"/>
          <w:kern w:val="0"/>
          <w:sz w:val="22"/>
          <w:szCs w:val="22"/>
          <w:lang w:eastAsia="en-GB"/>
          <w14:ligatures w14:val="none"/>
        </w:rPr>
        <w:t>Located within the limits of development for Collingbourne Ducis.</w:t>
      </w:r>
    </w:p>
    <w:p w14:paraId="63ECCF5C" w14:textId="19E3032F" w:rsidR="00175052" w:rsidRPr="00EC7118" w:rsidRDefault="0017505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C7118">
        <w:rPr>
          <w:rFonts w:ascii="Arial" w:eastAsia="Times New Roman" w:hAnsi="Arial" w:cs="Arial"/>
          <w:color w:val="000000" w:themeColor="text1"/>
          <w:kern w:val="0"/>
          <w:sz w:val="22"/>
          <w:szCs w:val="22"/>
          <w:lang w:eastAsia="en-GB"/>
          <w14:ligatures w14:val="none"/>
        </w:rPr>
        <w:t xml:space="preserve">Flood Zone </w:t>
      </w:r>
      <w:r w:rsidR="002A39E0" w:rsidRPr="00EC7118">
        <w:rPr>
          <w:rFonts w:ascii="Arial" w:eastAsia="Times New Roman" w:hAnsi="Arial" w:cs="Arial"/>
          <w:color w:val="000000" w:themeColor="text1"/>
          <w:kern w:val="0"/>
          <w:sz w:val="22"/>
          <w:szCs w:val="22"/>
          <w:lang w:eastAsia="en-GB"/>
          <w14:ligatures w14:val="none"/>
        </w:rPr>
        <w:t>2 and 3.</w:t>
      </w:r>
    </w:p>
    <w:p w14:paraId="7F3D566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F29542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F8F7F1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4824F1DD" w14:textId="0CA80510" w:rsidR="00F932D6" w:rsidRPr="00A6119B" w:rsidRDefault="00130B7C" w:rsidP="009C1702">
      <w:pPr>
        <w:spacing w:after="0" w:line="276" w:lineRule="auto"/>
        <w:jc w:val="both"/>
        <w:rPr>
          <w:rFonts w:ascii="Arial" w:eastAsia="Times New Roman" w:hAnsi="Arial" w:cs="Arial"/>
          <w:kern w:val="0"/>
          <w:sz w:val="22"/>
          <w:szCs w:val="22"/>
          <w:lang w:eastAsia="en-GB"/>
          <w14:ligatures w14:val="none"/>
        </w:rPr>
      </w:pPr>
      <w:r w:rsidRPr="00A6119B">
        <w:rPr>
          <w:rFonts w:ascii="Arial" w:eastAsia="Times New Roman" w:hAnsi="Arial" w:cs="Arial"/>
          <w:kern w:val="0"/>
          <w:sz w:val="22"/>
          <w:szCs w:val="22"/>
          <w:lang w:eastAsia="en-GB"/>
          <w14:ligatures w14:val="none"/>
        </w:rPr>
        <w:t xml:space="preserve">PL/2021/07639 - </w:t>
      </w:r>
      <w:r w:rsidR="00823F2A" w:rsidRPr="00A6119B">
        <w:rPr>
          <w:rFonts w:ascii="Arial" w:eastAsia="Times New Roman" w:hAnsi="Arial" w:cs="Arial"/>
          <w:kern w:val="0"/>
          <w:sz w:val="22"/>
          <w:szCs w:val="22"/>
          <w:lang w:eastAsia="en-GB"/>
          <w14:ligatures w14:val="none"/>
        </w:rPr>
        <w:t>Demolition of existing extension, formation of rear extension, internal alterations, and erection of a replacement garage. Approved with Conditions 30</w:t>
      </w:r>
      <w:r w:rsidR="00823F2A" w:rsidRPr="00A6119B">
        <w:rPr>
          <w:rFonts w:ascii="Arial" w:eastAsia="Times New Roman" w:hAnsi="Arial" w:cs="Arial"/>
          <w:kern w:val="0"/>
          <w:sz w:val="22"/>
          <w:szCs w:val="22"/>
          <w:vertAlign w:val="superscript"/>
          <w:lang w:eastAsia="en-GB"/>
          <w14:ligatures w14:val="none"/>
        </w:rPr>
        <w:t>th</w:t>
      </w:r>
      <w:r w:rsidR="00823F2A" w:rsidRPr="00A6119B">
        <w:rPr>
          <w:rFonts w:ascii="Arial" w:eastAsia="Times New Roman" w:hAnsi="Arial" w:cs="Arial"/>
          <w:kern w:val="0"/>
          <w:sz w:val="22"/>
          <w:szCs w:val="22"/>
          <w:lang w:eastAsia="en-GB"/>
          <w14:ligatures w14:val="none"/>
        </w:rPr>
        <w:t xml:space="preserve"> September 2021.</w:t>
      </w:r>
    </w:p>
    <w:p w14:paraId="64D85FB0" w14:textId="77777777" w:rsidR="00823F2A" w:rsidRPr="00A6119B" w:rsidRDefault="00823F2A" w:rsidP="009C1702">
      <w:pPr>
        <w:spacing w:after="0" w:line="276" w:lineRule="auto"/>
        <w:jc w:val="both"/>
        <w:rPr>
          <w:rFonts w:ascii="Arial" w:eastAsia="Times New Roman" w:hAnsi="Arial" w:cs="Arial"/>
          <w:kern w:val="0"/>
          <w:sz w:val="22"/>
          <w:szCs w:val="22"/>
          <w:lang w:eastAsia="en-GB"/>
          <w14:ligatures w14:val="none"/>
        </w:rPr>
      </w:pPr>
    </w:p>
    <w:p w14:paraId="1D71F015" w14:textId="25A9DDC3" w:rsidR="00823F2A" w:rsidRPr="00A6119B" w:rsidRDefault="00823F2A" w:rsidP="009C1702">
      <w:pPr>
        <w:spacing w:after="0" w:line="276" w:lineRule="auto"/>
        <w:jc w:val="both"/>
        <w:rPr>
          <w:rFonts w:ascii="Arial" w:eastAsia="Times New Roman" w:hAnsi="Arial" w:cs="Arial"/>
          <w:kern w:val="0"/>
          <w:sz w:val="22"/>
          <w:szCs w:val="22"/>
          <w:lang w:eastAsia="en-GB"/>
          <w14:ligatures w14:val="none"/>
        </w:rPr>
      </w:pPr>
      <w:r w:rsidRPr="00A6119B">
        <w:rPr>
          <w:rFonts w:ascii="Arial" w:eastAsia="Times New Roman" w:hAnsi="Arial" w:cs="Arial"/>
          <w:kern w:val="0"/>
          <w:sz w:val="22"/>
          <w:szCs w:val="22"/>
          <w:lang w:eastAsia="en-GB"/>
          <w14:ligatures w14:val="none"/>
        </w:rPr>
        <w:t xml:space="preserve">PL/2021/08115 - Demolition of existing extension, formation of rear extension, internal alterations, and erection of a replacement garage. </w:t>
      </w:r>
      <w:r w:rsidR="00702D0A" w:rsidRPr="00A6119B">
        <w:rPr>
          <w:rFonts w:ascii="Arial" w:eastAsia="Times New Roman" w:hAnsi="Arial" w:cs="Arial"/>
          <w:kern w:val="0"/>
          <w:sz w:val="22"/>
          <w:szCs w:val="22"/>
          <w:lang w:eastAsia="en-GB"/>
          <w14:ligatures w14:val="none"/>
        </w:rPr>
        <w:t>Approved with conditions 30</w:t>
      </w:r>
      <w:r w:rsidR="00702D0A" w:rsidRPr="00A6119B">
        <w:rPr>
          <w:rFonts w:ascii="Arial" w:eastAsia="Times New Roman" w:hAnsi="Arial" w:cs="Arial"/>
          <w:kern w:val="0"/>
          <w:sz w:val="22"/>
          <w:szCs w:val="22"/>
          <w:vertAlign w:val="superscript"/>
          <w:lang w:eastAsia="en-GB"/>
          <w14:ligatures w14:val="none"/>
        </w:rPr>
        <w:t>th</w:t>
      </w:r>
      <w:r w:rsidR="00702D0A" w:rsidRPr="00A6119B">
        <w:rPr>
          <w:rFonts w:ascii="Arial" w:eastAsia="Times New Roman" w:hAnsi="Arial" w:cs="Arial"/>
          <w:kern w:val="0"/>
          <w:sz w:val="22"/>
          <w:szCs w:val="22"/>
          <w:lang w:eastAsia="en-GB"/>
          <w14:ligatures w14:val="none"/>
        </w:rPr>
        <w:t xml:space="preserve"> September 2021.</w:t>
      </w:r>
    </w:p>
    <w:p w14:paraId="4F50DE83" w14:textId="77777777" w:rsidR="00130B7C" w:rsidRDefault="00130B7C" w:rsidP="009C1702">
      <w:pPr>
        <w:spacing w:after="0" w:line="276" w:lineRule="auto"/>
        <w:jc w:val="both"/>
        <w:rPr>
          <w:rFonts w:ascii="Arial" w:eastAsia="Times New Roman" w:hAnsi="Arial" w:cs="Arial"/>
          <w:b/>
          <w:bCs/>
          <w:kern w:val="0"/>
          <w:sz w:val="22"/>
          <w:szCs w:val="22"/>
          <w:lang w:eastAsia="en-GB"/>
          <w14:ligatures w14:val="none"/>
        </w:rPr>
      </w:pPr>
    </w:p>
    <w:p w14:paraId="4C5F972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A37AF2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54662A7"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843561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B92B014" w14:textId="77777777" w:rsidR="00315AE0" w:rsidRPr="00EA798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798F">
        <w:rPr>
          <w:rFonts w:ascii="Arial" w:eastAsia="Times New Roman" w:hAnsi="Arial" w:cs="Arial"/>
          <w:color w:val="000000" w:themeColor="text1"/>
          <w:kern w:val="0"/>
          <w:sz w:val="22"/>
          <w:szCs w:val="22"/>
          <w:lang w:eastAsia="en-GB"/>
          <w14:ligatures w14:val="none"/>
        </w:rPr>
        <w:t>Core Policy 50</w:t>
      </w:r>
      <w:r w:rsidR="006A735A" w:rsidRPr="00EA798F">
        <w:rPr>
          <w:rFonts w:ascii="Arial" w:eastAsia="Times New Roman" w:hAnsi="Arial" w:cs="Arial"/>
          <w:color w:val="000000" w:themeColor="text1"/>
          <w:kern w:val="0"/>
          <w:sz w:val="22"/>
          <w:szCs w:val="22"/>
          <w:lang w:eastAsia="en-GB"/>
          <w14:ligatures w14:val="none"/>
        </w:rPr>
        <w:t>:</w:t>
      </w:r>
      <w:r w:rsidRPr="00EA798F">
        <w:rPr>
          <w:rFonts w:ascii="Arial" w:eastAsia="Times New Roman" w:hAnsi="Arial" w:cs="Arial"/>
          <w:color w:val="000000" w:themeColor="text1"/>
          <w:kern w:val="0"/>
          <w:sz w:val="22"/>
          <w:szCs w:val="22"/>
          <w:lang w:eastAsia="en-GB"/>
          <w14:ligatures w14:val="none"/>
        </w:rPr>
        <w:t xml:space="preserve"> Biodiversity and Geodiversity </w:t>
      </w:r>
    </w:p>
    <w:p w14:paraId="4579ED98" w14:textId="7DF5F389" w:rsidR="00315AE0" w:rsidRPr="00EA798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798F">
        <w:rPr>
          <w:rFonts w:ascii="Arial" w:eastAsia="Times New Roman" w:hAnsi="Arial" w:cs="Arial"/>
          <w:color w:val="000000" w:themeColor="text1"/>
          <w:kern w:val="0"/>
          <w:sz w:val="22"/>
          <w:szCs w:val="22"/>
          <w:lang w:eastAsia="en-GB"/>
          <w14:ligatures w14:val="none"/>
        </w:rPr>
        <w:t>Core Policy 51</w:t>
      </w:r>
      <w:r w:rsidR="006A735A" w:rsidRPr="00EA798F">
        <w:rPr>
          <w:rFonts w:ascii="Arial" w:eastAsia="Times New Roman" w:hAnsi="Arial" w:cs="Arial"/>
          <w:color w:val="000000" w:themeColor="text1"/>
          <w:kern w:val="0"/>
          <w:sz w:val="22"/>
          <w:szCs w:val="22"/>
          <w:lang w:eastAsia="en-GB"/>
          <w14:ligatures w14:val="none"/>
        </w:rPr>
        <w:t xml:space="preserve">: </w:t>
      </w:r>
      <w:r w:rsidRPr="00EA798F">
        <w:rPr>
          <w:rFonts w:ascii="Arial" w:eastAsia="Times New Roman" w:hAnsi="Arial" w:cs="Arial"/>
          <w:color w:val="000000" w:themeColor="text1"/>
          <w:kern w:val="0"/>
          <w:sz w:val="22"/>
          <w:szCs w:val="22"/>
          <w:lang w:eastAsia="en-GB"/>
          <w14:ligatures w14:val="none"/>
        </w:rPr>
        <w:t>Landscape</w:t>
      </w:r>
    </w:p>
    <w:p w14:paraId="36EA43D8" w14:textId="0F037F37" w:rsidR="00EA798F" w:rsidRPr="00EA798F" w:rsidRDefault="00EA798F" w:rsidP="00EA798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798F">
        <w:rPr>
          <w:rFonts w:ascii="Arial" w:eastAsia="Times New Roman" w:hAnsi="Arial" w:cs="Arial"/>
          <w:color w:val="000000" w:themeColor="text1"/>
          <w:kern w:val="0"/>
          <w:sz w:val="22"/>
          <w:szCs w:val="22"/>
          <w:lang w:eastAsia="en-GB"/>
          <w14:ligatures w14:val="none"/>
        </w:rPr>
        <w:t xml:space="preserve">Core Policy 57: Ensuring </w:t>
      </w:r>
      <w:proofErr w:type="gramStart"/>
      <w:r w:rsidRPr="00EA798F">
        <w:rPr>
          <w:rFonts w:ascii="Arial" w:eastAsia="Times New Roman" w:hAnsi="Arial" w:cs="Arial"/>
          <w:color w:val="000000" w:themeColor="text1"/>
          <w:kern w:val="0"/>
          <w:sz w:val="22"/>
          <w:szCs w:val="22"/>
          <w:lang w:eastAsia="en-GB"/>
          <w14:ligatures w14:val="none"/>
        </w:rPr>
        <w:t>High Quality</w:t>
      </w:r>
      <w:proofErr w:type="gramEnd"/>
      <w:r w:rsidRPr="00EA798F">
        <w:rPr>
          <w:rFonts w:ascii="Arial" w:eastAsia="Times New Roman" w:hAnsi="Arial" w:cs="Arial"/>
          <w:color w:val="000000" w:themeColor="text1"/>
          <w:kern w:val="0"/>
          <w:sz w:val="22"/>
          <w:szCs w:val="22"/>
          <w:lang w:eastAsia="en-GB"/>
          <w14:ligatures w14:val="none"/>
        </w:rPr>
        <w:t xml:space="preserve"> Design and Place Shaping</w:t>
      </w:r>
    </w:p>
    <w:p w14:paraId="719CC3A5" w14:textId="0E6F1FB4" w:rsidR="00683C1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798F">
        <w:rPr>
          <w:rFonts w:ascii="Arial" w:eastAsia="Times New Roman" w:hAnsi="Arial" w:cs="Arial"/>
          <w:color w:val="000000" w:themeColor="text1"/>
          <w:kern w:val="0"/>
          <w:sz w:val="22"/>
          <w:szCs w:val="22"/>
          <w:lang w:eastAsia="en-GB"/>
          <w14:ligatures w14:val="none"/>
        </w:rPr>
        <w:t>Core Policy 58</w:t>
      </w:r>
      <w:r w:rsidR="006A735A" w:rsidRPr="00EA798F">
        <w:rPr>
          <w:rFonts w:ascii="Arial" w:eastAsia="Times New Roman" w:hAnsi="Arial" w:cs="Arial"/>
          <w:color w:val="000000" w:themeColor="text1"/>
          <w:kern w:val="0"/>
          <w:sz w:val="22"/>
          <w:szCs w:val="22"/>
          <w:lang w:eastAsia="en-GB"/>
          <w14:ligatures w14:val="none"/>
        </w:rPr>
        <w:t>:</w:t>
      </w:r>
      <w:r w:rsidR="00315AE0" w:rsidRPr="00EA798F">
        <w:rPr>
          <w:rFonts w:ascii="Arial" w:eastAsia="Times New Roman" w:hAnsi="Arial" w:cs="Arial"/>
          <w:color w:val="000000" w:themeColor="text1"/>
          <w:kern w:val="0"/>
          <w:sz w:val="22"/>
          <w:szCs w:val="22"/>
          <w:lang w:eastAsia="en-GB"/>
          <w14:ligatures w14:val="none"/>
        </w:rPr>
        <w:t xml:space="preserve"> Ensuring the Conservation of the Historic Environment</w:t>
      </w:r>
    </w:p>
    <w:p w14:paraId="62A627E1" w14:textId="77777777" w:rsidR="0015260A" w:rsidRDefault="005D12A1" w:rsidP="0015260A">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Core Policy 61: </w:t>
      </w:r>
      <w:r w:rsidR="0015260A" w:rsidRPr="0015260A">
        <w:rPr>
          <w:rFonts w:ascii="Arial" w:eastAsia="Times New Roman" w:hAnsi="Arial" w:cs="Arial"/>
          <w:color w:val="000000" w:themeColor="text1"/>
          <w:kern w:val="0"/>
          <w:sz w:val="22"/>
          <w:szCs w:val="22"/>
          <w:lang w:eastAsia="en-GB"/>
          <w14:ligatures w14:val="none"/>
        </w:rPr>
        <w:t>Transport and New Development</w:t>
      </w:r>
    </w:p>
    <w:p w14:paraId="5D58BCC6" w14:textId="7550B4B2" w:rsidR="005D12A1" w:rsidRPr="00EF02A7" w:rsidRDefault="0015260A" w:rsidP="00EF02A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260A">
        <w:rPr>
          <w:rFonts w:ascii="Arial" w:eastAsia="Times New Roman" w:hAnsi="Arial" w:cs="Arial"/>
          <w:color w:val="000000" w:themeColor="text1"/>
          <w:kern w:val="0"/>
          <w:sz w:val="22"/>
          <w:szCs w:val="22"/>
          <w:lang w:eastAsia="en-GB"/>
          <w14:ligatures w14:val="none"/>
        </w:rPr>
        <w:t>Core Policy 64: Demand Management</w:t>
      </w:r>
    </w:p>
    <w:p w14:paraId="34236F97" w14:textId="77777777" w:rsidR="00DC0041" w:rsidRPr="00EA798F"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798F">
        <w:rPr>
          <w:rFonts w:ascii="Arial" w:eastAsia="Times New Roman" w:hAnsi="Arial" w:cs="Arial"/>
          <w:color w:val="000000" w:themeColor="text1"/>
          <w:kern w:val="0"/>
          <w:sz w:val="22"/>
          <w:szCs w:val="22"/>
          <w:lang w:eastAsia="en-GB"/>
          <w14:ligatures w14:val="none"/>
        </w:rPr>
        <w:t>Core Policy 67</w:t>
      </w:r>
      <w:r w:rsidR="006A735A" w:rsidRPr="00EA798F">
        <w:rPr>
          <w:rFonts w:ascii="Arial" w:eastAsia="Times New Roman" w:hAnsi="Arial" w:cs="Arial"/>
          <w:color w:val="000000" w:themeColor="text1"/>
          <w:kern w:val="0"/>
          <w:sz w:val="22"/>
          <w:szCs w:val="22"/>
          <w:lang w:eastAsia="en-GB"/>
          <w14:ligatures w14:val="none"/>
        </w:rPr>
        <w:t>:</w:t>
      </w:r>
      <w:r w:rsidRPr="00EA798F">
        <w:rPr>
          <w:rFonts w:ascii="Arial" w:eastAsia="Times New Roman" w:hAnsi="Arial" w:cs="Arial"/>
          <w:color w:val="000000" w:themeColor="text1"/>
          <w:kern w:val="0"/>
          <w:sz w:val="22"/>
          <w:szCs w:val="22"/>
          <w:lang w:eastAsia="en-GB"/>
          <w14:ligatures w14:val="none"/>
        </w:rPr>
        <w:t xml:space="preserve"> Flood Risk </w:t>
      </w:r>
    </w:p>
    <w:p w14:paraId="50AD8507"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BD5328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CFFA4A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65D7FE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C01835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11844B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B1135D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E4A46C7"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28A0E7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558F03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003A4A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6CF6EA2" w14:textId="4CAADF84" w:rsidR="0016162B" w:rsidRPr="00E16B1D" w:rsidRDefault="00255AAB"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Collingbourne Ducis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comments were received.</w:t>
      </w:r>
    </w:p>
    <w:bookmarkEnd w:id="0"/>
    <w:p w14:paraId="4ED414E4" w14:textId="77777777" w:rsidR="000815DE" w:rsidRPr="006D59BB"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9325914" w14:textId="42562994" w:rsidR="00A55952" w:rsidRPr="006D59BB" w:rsidRDefault="00F83CD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D59BB">
        <w:rPr>
          <w:rFonts w:ascii="Arial" w:eastAsia="Times New Roman" w:hAnsi="Arial" w:cs="Arial"/>
          <w:color w:val="000000" w:themeColor="text1"/>
          <w:kern w:val="0"/>
          <w:sz w:val="22"/>
          <w:szCs w:val="22"/>
          <w:u w:val="single"/>
          <w:lang w:eastAsia="en-GB"/>
          <w14:ligatures w14:val="none"/>
        </w:rPr>
        <w:t>Conservation</w:t>
      </w:r>
      <w:r w:rsidRPr="006D59BB">
        <w:rPr>
          <w:rFonts w:ascii="Arial" w:eastAsia="Times New Roman" w:hAnsi="Arial" w:cs="Arial"/>
          <w:color w:val="000000" w:themeColor="text1"/>
          <w:kern w:val="0"/>
          <w:sz w:val="22"/>
          <w:szCs w:val="22"/>
          <w:lang w:eastAsia="en-GB"/>
          <w14:ligatures w14:val="none"/>
        </w:rPr>
        <w:t xml:space="preserve">: </w:t>
      </w:r>
      <w:r w:rsidR="006D59BB" w:rsidRPr="006D59BB">
        <w:rPr>
          <w:rFonts w:ascii="Arial" w:eastAsia="Times New Roman" w:hAnsi="Arial" w:cs="Arial"/>
          <w:color w:val="000000" w:themeColor="text1"/>
          <w:kern w:val="0"/>
          <w:sz w:val="22"/>
          <w:szCs w:val="22"/>
          <w:lang w:eastAsia="en-GB"/>
          <w14:ligatures w14:val="none"/>
        </w:rPr>
        <w:t>No objection subject to further details.</w:t>
      </w:r>
    </w:p>
    <w:p w14:paraId="42C7703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827DB5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C16AD1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CFC0BF8"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043A6A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E5E1E6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BC224C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0A80D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7FDDD7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26403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37ABFA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17F1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FB3A5A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9E5D4DA" w14:textId="4D7C135A"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w:t>
      </w:r>
      <w:r w:rsidR="002D6A96">
        <w:rPr>
          <w:rFonts w:ascii="Arial" w:eastAsia="Times New Roman" w:hAnsi="Arial" w:cs="Arial"/>
          <w:kern w:val="0"/>
          <w:sz w:val="22"/>
          <w:szCs w:val="22"/>
          <w:u w:val="single"/>
          <w:lang w:eastAsia="en-GB"/>
          <w14:ligatures w14:val="none"/>
        </w:rPr>
        <w:t xml:space="preserve">and </w:t>
      </w:r>
      <w:r w:rsidR="005B6C9B">
        <w:rPr>
          <w:rFonts w:ascii="Arial" w:eastAsia="Times New Roman" w:hAnsi="Arial" w:cs="Arial"/>
          <w:kern w:val="0"/>
          <w:sz w:val="22"/>
          <w:szCs w:val="22"/>
          <w:u w:val="single"/>
          <w:lang w:eastAsia="en-GB"/>
          <w14:ligatures w14:val="none"/>
        </w:rPr>
        <w:t>H</w:t>
      </w:r>
      <w:r w:rsidR="002D6A96">
        <w:rPr>
          <w:rFonts w:ascii="Arial" w:eastAsia="Times New Roman" w:hAnsi="Arial" w:cs="Arial"/>
          <w:kern w:val="0"/>
          <w:sz w:val="22"/>
          <w:szCs w:val="22"/>
          <w:u w:val="single"/>
          <w:lang w:eastAsia="en-GB"/>
          <w14:ligatures w14:val="none"/>
        </w:rPr>
        <w:t xml:space="preserve">eritage </w:t>
      </w:r>
      <w:r w:rsidR="005B6C9B">
        <w:rPr>
          <w:rFonts w:ascii="Arial" w:eastAsia="Times New Roman" w:hAnsi="Arial" w:cs="Arial"/>
          <w:kern w:val="0"/>
          <w:sz w:val="22"/>
          <w:szCs w:val="22"/>
          <w:u w:val="single"/>
          <w:lang w:eastAsia="en-GB"/>
          <w14:ligatures w14:val="none"/>
        </w:rPr>
        <w:t>I</w:t>
      </w:r>
      <w:r w:rsidR="002D6A96">
        <w:rPr>
          <w:rFonts w:ascii="Arial" w:eastAsia="Times New Roman" w:hAnsi="Arial" w:cs="Arial"/>
          <w:kern w:val="0"/>
          <w:sz w:val="22"/>
          <w:szCs w:val="22"/>
          <w:u w:val="single"/>
          <w:lang w:eastAsia="en-GB"/>
          <w14:ligatures w14:val="none"/>
        </w:rPr>
        <w:t>mpact</w:t>
      </w:r>
    </w:p>
    <w:p w14:paraId="46404ACF" w14:textId="77777777" w:rsidR="00045C88" w:rsidRPr="00852CAC" w:rsidRDefault="00045C88" w:rsidP="00852CAC">
      <w:pPr>
        <w:spacing w:after="0" w:line="276" w:lineRule="auto"/>
        <w:jc w:val="both"/>
        <w:rPr>
          <w:rFonts w:ascii="Arial" w:eastAsia="Times New Roman" w:hAnsi="Arial" w:cs="Arial"/>
          <w:kern w:val="0"/>
          <w:sz w:val="22"/>
          <w:szCs w:val="22"/>
          <w:u w:val="single"/>
          <w:lang w:eastAsia="en-GB"/>
          <w14:ligatures w14:val="none"/>
        </w:rPr>
      </w:pPr>
    </w:p>
    <w:p w14:paraId="02DFB87A"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  </w:t>
      </w:r>
    </w:p>
    <w:p w14:paraId="5BB4DD63"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 </w:t>
      </w:r>
    </w:p>
    <w:p w14:paraId="449DFA3B"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 </w:t>
      </w:r>
    </w:p>
    <w:p w14:paraId="7B957D0D"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 </w:t>
      </w:r>
    </w:p>
    <w:p w14:paraId="779E5B01"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 </w:t>
      </w:r>
    </w:p>
    <w:p w14:paraId="11163B1D"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 </w:t>
      </w:r>
    </w:p>
    <w:p w14:paraId="1CE683DB" w14:textId="4BD65D8A"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 xml:space="preserve">The Council’s Core Strategy CP 57: Ensuring </w:t>
      </w:r>
      <w:proofErr w:type="gramStart"/>
      <w:r w:rsidRPr="0086741B">
        <w:rPr>
          <w:rFonts w:ascii="Arial" w:eastAsia="Times New Roman" w:hAnsi="Arial" w:cs="Arial"/>
          <w:color w:val="000000" w:themeColor="text1"/>
          <w:kern w:val="0"/>
          <w:sz w:val="22"/>
          <w:szCs w:val="22"/>
          <w:lang w:eastAsia="en-GB"/>
          <w14:ligatures w14:val="none"/>
        </w:rPr>
        <w:t>high quality</w:t>
      </w:r>
      <w:proofErr w:type="gramEnd"/>
      <w:r w:rsidRPr="0086741B">
        <w:rPr>
          <w:rFonts w:ascii="Arial" w:eastAsia="Times New Roman" w:hAnsi="Arial" w:cs="Arial"/>
          <w:color w:val="000000" w:themeColor="text1"/>
          <w:kern w:val="0"/>
          <w:sz w:val="22"/>
          <w:szCs w:val="22"/>
          <w:lang w:eastAsia="en-GB"/>
          <w14:ligatures w14:val="none"/>
        </w:rPr>
        <w:t xml:space="preserve"> design requires a high quality of design in all new developments. The policy requires applicants to “demonstrate how the proposal will make a positive contribution to the character of Wiltshire</w:t>
      </w:r>
      <w:r w:rsidR="004D6134">
        <w:rPr>
          <w:rFonts w:ascii="Arial" w:eastAsia="Times New Roman" w:hAnsi="Arial" w:cs="Arial"/>
          <w:color w:val="000000" w:themeColor="text1"/>
          <w:kern w:val="0"/>
          <w:sz w:val="22"/>
          <w:szCs w:val="22"/>
          <w:lang w:eastAsia="en-GB"/>
          <w14:ligatures w14:val="none"/>
        </w:rPr>
        <w:t>”</w:t>
      </w:r>
      <w:r w:rsidRPr="0086741B">
        <w:rPr>
          <w:rFonts w:ascii="Arial" w:eastAsia="Times New Roman" w:hAnsi="Arial" w:cs="Arial"/>
          <w:color w:val="000000" w:themeColor="text1"/>
          <w:kern w:val="0"/>
          <w:sz w:val="22"/>
          <w:szCs w:val="22"/>
          <w:lang w:eastAsia="en-GB"/>
          <w14:ligatures w14:val="none"/>
        </w:rPr>
        <w:t xml:space="preserv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 </w:t>
      </w:r>
    </w:p>
    <w:p w14:paraId="525D2480"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 </w:t>
      </w:r>
    </w:p>
    <w:p w14:paraId="5A4E2854" w14:textId="77777777" w:rsidR="0086741B" w:rsidRPr="0086741B" w:rsidRDefault="0086741B" w:rsidP="0086741B">
      <w:pPr>
        <w:spacing w:after="0" w:line="276" w:lineRule="auto"/>
        <w:jc w:val="both"/>
        <w:rPr>
          <w:rFonts w:ascii="Arial" w:eastAsia="Times New Roman" w:hAnsi="Arial" w:cs="Arial"/>
          <w:color w:val="000000" w:themeColor="text1"/>
          <w:kern w:val="0"/>
          <w:sz w:val="22"/>
          <w:szCs w:val="22"/>
          <w:lang w:eastAsia="en-GB"/>
          <w14:ligatures w14:val="none"/>
        </w:rPr>
      </w:pPr>
      <w:r w:rsidRPr="0086741B">
        <w:rPr>
          <w:rFonts w:ascii="Arial" w:eastAsia="Times New Roman" w:hAnsi="Arial" w:cs="Arial"/>
          <w:color w:val="000000" w:themeColor="text1"/>
          <w:kern w:val="0"/>
          <w:sz w:val="22"/>
          <w:szCs w:val="22"/>
          <w:lang w:eastAsia="en-GB"/>
          <w14:ligatures w14:val="none"/>
        </w:rPr>
        <w:t>The NPPF requires planning decisions affecting heritage assets to recognise and conserve their significance, taking account of the contribution made by their setting. When considering proposals affecting heritage assets, great weight should be given to their conservation and any harm to significance must be clearly identified and justified. </w:t>
      </w:r>
    </w:p>
    <w:p w14:paraId="4F4A19D6" w14:textId="77777777" w:rsidR="008F0D3D" w:rsidRDefault="008F0D3D" w:rsidP="00A050F1">
      <w:pPr>
        <w:spacing w:after="0" w:line="276" w:lineRule="auto"/>
        <w:jc w:val="both"/>
        <w:rPr>
          <w:rFonts w:ascii="Arial" w:eastAsia="Times New Roman" w:hAnsi="Arial" w:cs="Arial"/>
          <w:color w:val="000000" w:themeColor="text1"/>
          <w:kern w:val="0"/>
          <w:sz w:val="22"/>
          <w:szCs w:val="22"/>
          <w:lang w:eastAsia="en-GB"/>
          <w14:ligatures w14:val="none"/>
        </w:rPr>
      </w:pPr>
    </w:p>
    <w:p w14:paraId="2A42E8BB" w14:textId="128D4EBA" w:rsidR="00F74391" w:rsidRDefault="00F74391" w:rsidP="00A050F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host dwelling </w:t>
      </w:r>
      <w:r w:rsidRPr="0026037A">
        <w:rPr>
          <w:rFonts w:ascii="Arial" w:eastAsia="Times New Roman" w:hAnsi="Arial" w:cs="Arial"/>
          <w:color w:val="000000" w:themeColor="text1"/>
          <w:kern w:val="0"/>
          <w:sz w:val="22"/>
          <w:szCs w:val="22"/>
          <w:lang w:eastAsia="en-GB"/>
          <w14:ligatures w14:val="none"/>
        </w:rPr>
        <w:t xml:space="preserve">is a Grade II listed </w:t>
      </w:r>
      <w:r>
        <w:rPr>
          <w:rFonts w:ascii="Arial" w:eastAsia="Times New Roman" w:hAnsi="Arial" w:cs="Arial"/>
          <w:color w:val="000000" w:themeColor="text1"/>
          <w:kern w:val="0"/>
          <w:sz w:val="22"/>
          <w:szCs w:val="22"/>
          <w:lang w:eastAsia="en-GB"/>
          <w14:ligatures w14:val="none"/>
        </w:rPr>
        <w:t xml:space="preserve">building </w:t>
      </w:r>
      <w:r w:rsidRPr="0026037A">
        <w:rPr>
          <w:rFonts w:ascii="Arial" w:eastAsia="Times New Roman" w:hAnsi="Arial" w:cs="Arial"/>
          <w:color w:val="000000" w:themeColor="text1"/>
          <w:kern w:val="0"/>
          <w:sz w:val="22"/>
          <w:szCs w:val="22"/>
          <w:lang w:eastAsia="en-GB"/>
          <w14:ligatures w14:val="none"/>
        </w:rPr>
        <w:t>(List Entry Number: 1180517)</w:t>
      </w:r>
      <w:r>
        <w:rPr>
          <w:rFonts w:ascii="Arial" w:eastAsia="Times New Roman" w:hAnsi="Arial" w:cs="Arial"/>
          <w:color w:val="000000" w:themeColor="text1"/>
          <w:kern w:val="0"/>
          <w:sz w:val="22"/>
          <w:szCs w:val="22"/>
          <w:lang w:eastAsia="en-GB"/>
          <w14:ligatures w14:val="none"/>
        </w:rPr>
        <w:t xml:space="preserve"> situated in proximity to several other listed buildings, including 122 Cadley Road (List Entry Number: </w:t>
      </w:r>
      <w:r w:rsidRPr="00175052">
        <w:rPr>
          <w:rFonts w:ascii="Arial" w:eastAsia="Times New Roman" w:hAnsi="Arial" w:cs="Arial"/>
          <w:color w:val="000000" w:themeColor="text1"/>
          <w:kern w:val="0"/>
          <w:sz w:val="22"/>
          <w:szCs w:val="22"/>
          <w:lang w:eastAsia="en-GB"/>
          <w14:ligatures w14:val="none"/>
        </w:rPr>
        <w:t>1035949</w:t>
      </w:r>
      <w:r>
        <w:rPr>
          <w:rFonts w:ascii="Arial" w:eastAsia="Times New Roman" w:hAnsi="Arial" w:cs="Arial"/>
          <w:color w:val="000000" w:themeColor="text1"/>
          <w:kern w:val="0"/>
          <w:sz w:val="22"/>
          <w:szCs w:val="22"/>
          <w:lang w:eastAsia="en-GB"/>
          <w14:ligatures w14:val="none"/>
        </w:rPr>
        <w:t xml:space="preserve">) and Sally Lunn’s (List Entry Number: </w:t>
      </w:r>
      <w:r w:rsidRPr="00EA798F">
        <w:rPr>
          <w:rFonts w:ascii="Arial" w:eastAsia="Times New Roman" w:hAnsi="Arial" w:cs="Arial"/>
          <w:color w:val="000000" w:themeColor="text1"/>
          <w:kern w:val="0"/>
          <w:sz w:val="22"/>
          <w:szCs w:val="22"/>
          <w:lang w:eastAsia="en-GB"/>
          <w14:ligatures w14:val="none"/>
        </w:rPr>
        <w:t>1180528).</w:t>
      </w:r>
    </w:p>
    <w:p w14:paraId="4AE3E8DE" w14:textId="77777777" w:rsidR="00607C59" w:rsidRDefault="00607C59" w:rsidP="00A050F1">
      <w:pPr>
        <w:spacing w:after="0" w:line="276" w:lineRule="auto"/>
        <w:jc w:val="both"/>
        <w:rPr>
          <w:rFonts w:ascii="Arial" w:eastAsia="Times New Roman" w:hAnsi="Arial" w:cs="Arial"/>
          <w:color w:val="000000" w:themeColor="text1"/>
          <w:kern w:val="0"/>
          <w:sz w:val="22"/>
          <w:szCs w:val="22"/>
          <w:lang w:eastAsia="en-GB"/>
          <w14:ligatures w14:val="none"/>
        </w:rPr>
      </w:pPr>
    </w:p>
    <w:p w14:paraId="0C0D3D24" w14:textId="291826E0" w:rsidR="000A0990" w:rsidRDefault="000A0990" w:rsidP="000A0990">
      <w:pPr>
        <w:spacing w:after="0" w:line="276" w:lineRule="auto"/>
        <w:jc w:val="both"/>
        <w:rPr>
          <w:rFonts w:ascii="Arial" w:eastAsia="Times New Roman" w:hAnsi="Arial" w:cs="Arial"/>
          <w:color w:val="000000" w:themeColor="text1"/>
          <w:kern w:val="0"/>
          <w:sz w:val="22"/>
          <w:szCs w:val="22"/>
          <w:lang w:eastAsia="en-GB"/>
          <w14:ligatures w14:val="none"/>
        </w:rPr>
      </w:pPr>
      <w:r w:rsidRPr="000A0990">
        <w:rPr>
          <w:rFonts w:ascii="Arial" w:eastAsia="Times New Roman" w:hAnsi="Arial" w:cs="Arial"/>
          <w:color w:val="000000" w:themeColor="text1"/>
          <w:kern w:val="0"/>
          <w:sz w:val="22"/>
          <w:szCs w:val="22"/>
          <w:lang w:eastAsia="en-GB"/>
          <w14:ligatures w14:val="none"/>
        </w:rPr>
        <w:t xml:space="preserve">The proposal comprises the installation of a modest EV charging point mounted within a supporting post. Following </w:t>
      </w:r>
      <w:r>
        <w:rPr>
          <w:rFonts w:ascii="Arial" w:eastAsia="Times New Roman" w:hAnsi="Arial" w:cs="Arial"/>
          <w:color w:val="000000" w:themeColor="text1"/>
          <w:kern w:val="0"/>
          <w:sz w:val="22"/>
          <w:szCs w:val="22"/>
          <w:lang w:eastAsia="en-GB"/>
          <w14:ligatures w14:val="none"/>
        </w:rPr>
        <w:t>a request for further information</w:t>
      </w:r>
      <w:r w:rsidRPr="000A0990">
        <w:rPr>
          <w:rFonts w:ascii="Arial" w:eastAsia="Times New Roman" w:hAnsi="Arial" w:cs="Arial"/>
          <w:color w:val="000000" w:themeColor="text1"/>
          <w:kern w:val="0"/>
          <w:sz w:val="22"/>
          <w:szCs w:val="22"/>
          <w:lang w:eastAsia="en-GB"/>
          <w14:ligatures w14:val="none"/>
        </w:rPr>
        <w:t>, the applicant has confirmed that the post would measure 150mm x 150mm and extend to a height of 900mm above ground level. The charging unit would be recessed within the post and aligned flush with its face, projecting by only a few millimetres.</w:t>
      </w:r>
    </w:p>
    <w:p w14:paraId="0C805E09" w14:textId="77777777" w:rsidR="000A0990" w:rsidRPr="000A0990" w:rsidRDefault="000A0990" w:rsidP="000A0990">
      <w:pPr>
        <w:spacing w:after="0" w:line="276" w:lineRule="auto"/>
        <w:jc w:val="both"/>
        <w:rPr>
          <w:rFonts w:ascii="Arial" w:eastAsia="Times New Roman" w:hAnsi="Arial" w:cs="Arial"/>
          <w:color w:val="000000" w:themeColor="text1"/>
          <w:kern w:val="0"/>
          <w:sz w:val="22"/>
          <w:szCs w:val="22"/>
          <w:lang w:eastAsia="en-GB"/>
          <w14:ligatures w14:val="none"/>
        </w:rPr>
      </w:pPr>
    </w:p>
    <w:p w14:paraId="25EB5168" w14:textId="77777777" w:rsidR="00257DD1" w:rsidRPr="00257DD1" w:rsidRDefault="000A0990" w:rsidP="00257DD1">
      <w:pPr>
        <w:spacing w:after="0" w:line="276" w:lineRule="auto"/>
        <w:jc w:val="both"/>
        <w:rPr>
          <w:rFonts w:ascii="Arial" w:eastAsia="Times New Roman" w:hAnsi="Arial" w:cs="Arial"/>
          <w:color w:val="000000" w:themeColor="text1"/>
          <w:kern w:val="0"/>
          <w:sz w:val="22"/>
          <w:szCs w:val="22"/>
          <w:lang w:eastAsia="en-GB"/>
          <w14:ligatures w14:val="none"/>
        </w:rPr>
      </w:pPr>
      <w:r w:rsidRPr="000A0990">
        <w:rPr>
          <w:rFonts w:ascii="Arial" w:eastAsia="Times New Roman" w:hAnsi="Arial" w:cs="Arial"/>
          <w:color w:val="000000" w:themeColor="text1"/>
          <w:kern w:val="0"/>
          <w:sz w:val="22"/>
          <w:szCs w:val="22"/>
          <w:lang w:eastAsia="en-GB"/>
          <w14:ligatures w14:val="none"/>
        </w:rPr>
        <w:lastRenderedPageBreak/>
        <w:t xml:space="preserve">By reason of its limited scale, simple appearance and low-profile design, the installation would have a negligible visual presence within the site and would not compete with or detract from the significance of the listed building or its setting. </w:t>
      </w:r>
      <w:r w:rsidR="00257DD1" w:rsidRPr="00257DD1">
        <w:rPr>
          <w:rFonts w:ascii="Arial" w:eastAsia="Times New Roman" w:hAnsi="Arial" w:cs="Arial"/>
          <w:color w:val="000000" w:themeColor="text1"/>
          <w:kern w:val="0"/>
          <w:sz w:val="22"/>
          <w:szCs w:val="22"/>
          <w:lang w:eastAsia="en-GB"/>
          <w14:ligatures w14:val="none"/>
        </w:rPr>
        <w:t>No works are proposed to the listed building itself, and the proposal would preserve the significance of the listed building, including the contribution made by its setting.</w:t>
      </w:r>
    </w:p>
    <w:p w14:paraId="24F4B43C" w14:textId="29C70389" w:rsidR="004B1E0E" w:rsidRDefault="000A0990" w:rsidP="000A0990">
      <w:pPr>
        <w:spacing w:after="0" w:line="276" w:lineRule="auto"/>
        <w:jc w:val="both"/>
        <w:rPr>
          <w:rFonts w:ascii="Arial" w:eastAsia="Times New Roman" w:hAnsi="Arial" w:cs="Arial"/>
          <w:color w:val="000000" w:themeColor="text1"/>
          <w:kern w:val="0"/>
          <w:sz w:val="22"/>
          <w:szCs w:val="22"/>
          <w:lang w:eastAsia="en-GB"/>
          <w14:ligatures w14:val="none"/>
        </w:rPr>
      </w:pPr>
      <w:r w:rsidRPr="000A0990">
        <w:rPr>
          <w:rFonts w:ascii="Arial" w:eastAsia="Times New Roman" w:hAnsi="Arial" w:cs="Arial"/>
          <w:color w:val="000000" w:themeColor="text1"/>
          <w:kern w:val="0"/>
          <w:sz w:val="22"/>
          <w:szCs w:val="22"/>
          <w:lang w:eastAsia="en-GB"/>
          <w14:ligatures w14:val="none"/>
        </w:rPr>
        <w:t xml:space="preserve">The Council's Conservation Officer has raised no objection to the proposal, subject to clarification of the dimensions of the installation. </w:t>
      </w:r>
      <w:r w:rsidR="007F1CFA" w:rsidRPr="007F1CFA">
        <w:rPr>
          <w:rFonts w:ascii="Arial" w:eastAsia="Times New Roman" w:hAnsi="Arial" w:cs="Arial"/>
          <w:color w:val="000000" w:themeColor="text1"/>
          <w:kern w:val="0"/>
          <w:sz w:val="22"/>
          <w:szCs w:val="22"/>
          <w:lang w:eastAsia="en-GB"/>
          <w14:ligatures w14:val="none"/>
        </w:rPr>
        <w:t>Further clarification has been provided in respect of the dimensions and appearance of the installation. A condition will be imposed requiring the development to be carried out in accordance with these details in the interests of preserving the significance of the listed building and its setting.</w:t>
      </w:r>
    </w:p>
    <w:p w14:paraId="2407674F" w14:textId="77777777" w:rsidR="004B1E0E" w:rsidRDefault="004B1E0E" w:rsidP="000A0990">
      <w:pPr>
        <w:spacing w:after="0" w:line="276" w:lineRule="auto"/>
        <w:jc w:val="both"/>
        <w:rPr>
          <w:rFonts w:ascii="Arial" w:eastAsia="Times New Roman" w:hAnsi="Arial" w:cs="Arial"/>
          <w:color w:val="000000" w:themeColor="text1"/>
          <w:kern w:val="0"/>
          <w:sz w:val="22"/>
          <w:szCs w:val="22"/>
          <w:lang w:eastAsia="en-GB"/>
          <w14:ligatures w14:val="none"/>
        </w:rPr>
      </w:pPr>
    </w:p>
    <w:p w14:paraId="5EFD9E67" w14:textId="5AB31A5E" w:rsidR="000A0990" w:rsidRPr="000A0990" w:rsidRDefault="000A0990" w:rsidP="000A0990">
      <w:pPr>
        <w:spacing w:after="0" w:line="276" w:lineRule="auto"/>
        <w:jc w:val="both"/>
        <w:rPr>
          <w:rFonts w:ascii="Arial" w:eastAsia="Times New Roman" w:hAnsi="Arial" w:cs="Arial"/>
          <w:color w:val="000000" w:themeColor="text1"/>
          <w:kern w:val="0"/>
          <w:sz w:val="22"/>
          <w:szCs w:val="22"/>
          <w:lang w:eastAsia="en-GB"/>
          <w14:ligatures w14:val="none"/>
        </w:rPr>
      </w:pPr>
      <w:r w:rsidRPr="000A0990">
        <w:rPr>
          <w:rFonts w:ascii="Arial" w:eastAsia="Times New Roman" w:hAnsi="Arial" w:cs="Arial"/>
          <w:color w:val="000000" w:themeColor="text1"/>
          <w:kern w:val="0"/>
          <w:sz w:val="22"/>
          <w:szCs w:val="22"/>
          <w:lang w:eastAsia="en-GB"/>
          <w14:ligatures w14:val="none"/>
        </w:rPr>
        <w:t>Having regard to the submitted details and the proposed condition securing the size and appearance of the charger and supporting post, it is considered that the proposal would result in no harm to the significance of the designated heritage asset.</w:t>
      </w:r>
    </w:p>
    <w:p w14:paraId="4AAB8433" w14:textId="77777777"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 </w:t>
      </w:r>
    </w:p>
    <w:p w14:paraId="30FB78E3" w14:textId="25EC2CC1"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The development is therefore considered to comply with Core Polic</w:t>
      </w:r>
      <w:r w:rsidR="000F3A08">
        <w:rPr>
          <w:rFonts w:ascii="Arial" w:eastAsia="Times New Roman" w:hAnsi="Arial" w:cs="Arial"/>
          <w:color w:val="000000" w:themeColor="text1"/>
          <w:kern w:val="0"/>
          <w:sz w:val="22"/>
          <w:szCs w:val="22"/>
          <w:lang w:eastAsia="en-GB"/>
          <w14:ligatures w14:val="none"/>
        </w:rPr>
        <w:t>ies 57 and</w:t>
      </w:r>
      <w:r w:rsidRPr="007A493B">
        <w:rPr>
          <w:rFonts w:ascii="Arial" w:eastAsia="Times New Roman" w:hAnsi="Arial" w:cs="Arial"/>
          <w:color w:val="000000" w:themeColor="text1"/>
          <w:kern w:val="0"/>
          <w:sz w:val="22"/>
          <w:szCs w:val="22"/>
          <w:lang w:eastAsia="en-GB"/>
          <w14:ligatures w14:val="none"/>
        </w:rPr>
        <w:t xml:space="preserve"> 58 of the Wiltshire Core Strategy and Section 66 of the Planning (Listed Buildings and Conservation Areas) Act 1990, as well as the relevant provisions of the NPPF</w:t>
      </w:r>
      <w:r w:rsidR="000F3A08">
        <w:rPr>
          <w:rFonts w:ascii="Arial" w:eastAsia="Times New Roman" w:hAnsi="Arial" w:cs="Arial"/>
          <w:color w:val="000000" w:themeColor="text1"/>
          <w:kern w:val="0"/>
          <w:sz w:val="22"/>
          <w:szCs w:val="22"/>
          <w:lang w:eastAsia="en-GB"/>
          <w14:ligatures w14:val="none"/>
        </w:rPr>
        <w:t xml:space="preserve"> </w:t>
      </w:r>
      <w:r w:rsidR="000F3A08" w:rsidRPr="000F3A08">
        <w:rPr>
          <w:rFonts w:ascii="Arial" w:eastAsia="Times New Roman" w:hAnsi="Arial" w:cs="Arial"/>
          <w:color w:val="000000" w:themeColor="text1"/>
          <w:kern w:val="0"/>
          <w:sz w:val="22"/>
          <w:szCs w:val="22"/>
          <w:lang w:eastAsia="en-GB"/>
          <w14:ligatures w14:val="none"/>
        </w:rPr>
        <w:t>and Appendix D of the Wiltshire Design Guide. </w:t>
      </w:r>
    </w:p>
    <w:p w14:paraId="450CC25E" w14:textId="77777777" w:rsidR="00A050F1" w:rsidRDefault="00A050F1" w:rsidP="00A050F1">
      <w:pPr>
        <w:spacing w:after="0" w:line="276" w:lineRule="auto"/>
        <w:jc w:val="both"/>
        <w:rPr>
          <w:rFonts w:ascii="Arial" w:hAnsi="Arial" w:cs="Arial"/>
          <w:b/>
          <w:bCs/>
          <w:i/>
          <w:iCs/>
          <w:color w:val="FF0000"/>
          <w:sz w:val="22"/>
          <w:szCs w:val="22"/>
        </w:rPr>
      </w:pPr>
    </w:p>
    <w:p w14:paraId="158958E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1247E1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EE10340" w14:textId="77777777" w:rsidR="00256244" w:rsidRPr="00256244" w:rsidRDefault="00256244" w:rsidP="00256244">
      <w:pPr>
        <w:spacing w:after="0" w:line="276" w:lineRule="auto"/>
        <w:jc w:val="both"/>
        <w:rPr>
          <w:rFonts w:ascii="Arial" w:eastAsia="Times New Roman" w:hAnsi="Arial" w:cs="Arial"/>
          <w:kern w:val="0"/>
          <w:sz w:val="22"/>
          <w:szCs w:val="22"/>
          <w:lang w:eastAsia="en-GB"/>
          <w14:ligatures w14:val="none"/>
        </w:rPr>
      </w:pPr>
      <w:r w:rsidRPr="00256244">
        <w:rPr>
          <w:rFonts w:ascii="Arial" w:eastAsia="Times New Roman" w:hAnsi="Arial" w:cs="Arial"/>
          <w:kern w:val="0"/>
          <w:sz w:val="22"/>
          <w:szCs w:val="22"/>
          <w:lang w:eastAsia="en-GB"/>
          <w14:ligatures w14:val="none"/>
        </w:rPr>
        <w:t xml:space="preserve">Point vii of Core Policy 57 - Ensuring </w:t>
      </w:r>
      <w:proofErr w:type="gramStart"/>
      <w:r w:rsidRPr="00256244">
        <w:rPr>
          <w:rFonts w:ascii="Arial" w:eastAsia="Times New Roman" w:hAnsi="Arial" w:cs="Arial"/>
          <w:kern w:val="0"/>
          <w:sz w:val="22"/>
          <w:szCs w:val="22"/>
          <w:lang w:eastAsia="en-GB"/>
          <w14:ligatures w14:val="none"/>
        </w:rPr>
        <w:t>High Quality</w:t>
      </w:r>
      <w:proofErr w:type="gramEnd"/>
      <w:r w:rsidRPr="00256244">
        <w:rPr>
          <w:rFonts w:ascii="Arial" w:eastAsia="Times New Roman" w:hAnsi="Arial" w:cs="Arial"/>
          <w:kern w:val="0"/>
          <w:sz w:val="22"/>
          <w:szCs w:val="22"/>
          <w:lang w:eastAsia="en-GB"/>
          <w14:ligatures w14:val="none"/>
        </w:rPr>
        <w:t xml:space="preserve"> Design and Place Shaping of the Wiltshire Core Strategy seeks to ensure that developments do not adversely affect neighbouring properties. </w:t>
      </w:r>
    </w:p>
    <w:p w14:paraId="1946B6C6" w14:textId="77777777" w:rsidR="00256244" w:rsidRPr="00256244" w:rsidRDefault="00256244" w:rsidP="00256244">
      <w:pPr>
        <w:spacing w:after="0" w:line="276" w:lineRule="auto"/>
        <w:jc w:val="both"/>
        <w:rPr>
          <w:rFonts w:ascii="Arial" w:eastAsia="Times New Roman" w:hAnsi="Arial" w:cs="Arial"/>
          <w:kern w:val="0"/>
          <w:sz w:val="22"/>
          <w:szCs w:val="22"/>
          <w:lang w:eastAsia="en-GB"/>
          <w14:ligatures w14:val="none"/>
        </w:rPr>
      </w:pPr>
      <w:r w:rsidRPr="00256244">
        <w:rPr>
          <w:rFonts w:ascii="Arial" w:eastAsia="Times New Roman" w:hAnsi="Arial" w:cs="Arial"/>
          <w:kern w:val="0"/>
          <w:sz w:val="22"/>
          <w:szCs w:val="22"/>
          <w:lang w:eastAsia="en-GB"/>
          <w14:ligatures w14:val="none"/>
        </w:rPr>
        <w:t> </w:t>
      </w:r>
    </w:p>
    <w:p w14:paraId="48DE7B9B" w14:textId="77777777" w:rsidR="00256244" w:rsidRPr="00256244" w:rsidRDefault="00256244" w:rsidP="00256244">
      <w:pPr>
        <w:spacing w:after="0" w:line="276" w:lineRule="auto"/>
        <w:jc w:val="both"/>
        <w:rPr>
          <w:rFonts w:ascii="Arial" w:eastAsia="Times New Roman" w:hAnsi="Arial" w:cs="Arial"/>
          <w:kern w:val="0"/>
          <w:sz w:val="22"/>
          <w:szCs w:val="22"/>
          <w:lang w:eastAsia="en-GB"/>
          <w14:ligatures w14:val="none"/>
        </w:rPr>
      </w:pPr>
      <w:r w:rsidRPr="00256244">
        <w:rPr>
          <w:rFonts w:ascii="Arial" w:eastAsia="Times New Roman" w:hAnsi="Arial" w:cs="Arial"/>
          <w:kern w:val="0"/>
          <w:sz w:val="22"/>
          <w:szCs w:val="22"/>
          <w:lang w:eastAsia="en-GB"/>
          <w14:ligatures w14:val="none"/>
        </w:rPr>
        <w:t xml:space="preserve">Policy P3 of the NPPF requires development to contribute positively to the creation of healthy, safe and inclusive places. </w:t>
      </w:r>
      <w:proofErr w:type="gramStart"/>
      <w:r w:rsidRPr="00256244">
        <w:rPr>
          <w:rFonts w:ascii="Arial" w:eastAsia="Times New Roman" w:hAnsi="Arial" w:cs="Arial"/>
          <w:kern w:val="0"/>
          <w:sz w:val="22"/>
          <w:szCs w:val="22"/>
          <w:lang w:eastAsia="en-GB"/>
          <w14:ligatures w14:val="none"/>
        </w:rPr>
        <w:t>In particular, Policy</w:t>
      </w:r>
      <w:proofErr w:type="gramEnd"/>
      <w:r w:rsidRPr="00256244">
        <w:rPr>
          <w:rFonts w:ascii="Arial" w:eastAsia="Times New Roman" w:hAnsi="Arial" w:cs="Arial"/>
          <w:kern w:val="0"/>
          <w:sz w:val="22"/>
          <w:szCs w:val="22"/>
          <w:lang w:eastAsia="en-GB"/>
          <w14:ligatures w14:val="none"/>
        </w:rPr>
        <w:t xml:space="preserve"> P3(b) seeks to ensure that development provides a high standard of amenity for existing and future users and safeguards the reasonable living conditions of neighbouring occupiers. In assessing amenity impacts, regard should be had to matters including privacy, outlook, daylight and sunlight, overbearing impacts, noise and disturbance, and the overall quality of the living environment created by the development. </w:t>
      </w:r>
    </w:p>
    <w:p w14:paraId="1A38D38F" w14:textId="77777777" w:rsidR="00256244" w:rsidRPr="00256244" w:rsidRDefault="00256244" w:rsidP="00256244">
      <w:pPr>
        <w:spacing w:after="0" w:line="276" w:lineRule="auto"/>
        <w:jc w:val="both"/>
        <w:rPr>
          <w:rFonts w:ascii="Arial" w:eastAsia="Times New Roman" w:hAnsi="Arial" w:cs="Arial"/>
          <w:kern w:val="0"/>
          <w:sz w:val="22"/>
          <w:szCs w:val="22"/>
          <w:lang w:eastAsia="en-GB"/>
          <w14:ligatures w14:val="none"/>
        </w:rPr>
      </w:pPr>
      <w:r w:rsidRPr="00256244">
        <w:rPr>
          <w:rFonts w:ascii="Arial" w:eastAsia="Times New Roman" w:hAnsi="Arial" w:cs="Arial"/>
          <w:kern w:val="0"/>
          <w:sz w:val="22"/>
          <w:szCs w:val="22"/>
          <w:lang w:eastAsia="en-GB"/>
          <w14:ligatures w14:val="none"/>
        </w:rPr>
        <w:t> </w:t>
      </w:r>
    </w:p>
    <w:p w14:paraId="1118DE28" w14:textId="77777777" w:rsidR="00256244" w:rsidRPr="00256244" w:rsidRDefault="00256244" w:rsidP="00256244">
      <w:pPr>
        <w:spacing w:after="0" w:line="276" w:lineRule="auto"/>
        <w:jc w:val="both"/>
        <w:rPr>
          <w:rFonts w:ascii="Arial" w:eastAsia="Times New Roman" w:hAnsi="Arial" w:cs="Arial"/>
          <w:kern w:val="0"/>
          <w:sz w:val="22"/>
          <w:szCs w:val="22"/>
          <w:lang w:eastAsia="en-GB"/>
          <w14:ligatures w14:val="none"/>
        </w:rPr>
      </w:pPr>
      <w:r w:rsidRPr="00256244">
        <w:rPr>
          <w:rFonts w:ascii="Arial" w:eastAsia="Times New Roman" w:hAnsi="Arial" w:cs="Arial"/>
          <w:kern w:val="0"/>
          <w:sz w:val="22"/>
          <w:szCs w:val="22"/>
          <w:lang w:eastAsia="en-GB"/>
          <w14:ligatures w14:val="none"/>
        </w:rPr>
        <w:t xml:space="preserve">The proposed development has been assessed in terms of its potential impact on the residential amenity of neighbouring properties, with </w:t>
      </w:r>
      <w:proofErr w:type="gramStart"/>
      <w:r w:rsidRPr="00256244">
        <w:rPr>
          <w:rFonts w:ascii="Arial" w:eastAsia="Times New Roman" w:hAnsi="Arial" w:cs="Arial"/>
          <w:kern w:val="0"/>
          <w:sz w:val="22"/>
          <w:szCs w:val="22"/>
          <w:lang w:eastAsia="en-GB"/>
          <w14:ligatures w14:val="none"/>
        </w:rPr>
        <w:t>particular regard</w:t>
      </w:r>
      <w:proofErr w:type="gramEnd"/>
      <w:r w:rsidRPr="00256244">
        <w:rPr>
          <w:rFonts w:ascii="Arial" w:eastAsia="Times New Roman" w:hAnsi="Arial" w:cs="Arial"/>
          <w:kern w:val="0"/>
          <w:sz w:val="22"/>
          <w:szCs w:val="22"/>
          <w:lang w:eastAsia="en-GB"/>
          <w14:ligatures w14:val="none"/>
        </w:rPr>
        <w:t xml:space="preserve"> to loss of light, overshadowing, loss of privacy, and overbearing effects.</w:t>
      </w:r>
      <w:r w:rsidRPr="00256244">
        <w:rPr>
          <w:rFonts w:ascii="Arial" w:eastAsia="Times New Roman" w:hAnsi="Arial" w:cs="Arial"/>
          <w:i/>
          <w:iCs/>
          <w:kern w:val="0"/>
          <w:sz w:val="22"/>
          <w:szCs w:val="22"/>
          <w:lang w:eastAsia="en-GB"/>
          <w14:ligatures w14:val="none"/>
        </w:rPr>
        <w:t> </w:t>
      </w:r>
      <w:r w:rsidRPr="00256244">
        <w:rPr>
          <w:rFonts w:ascii="Arial" w:eastAsia="Times New Roman" w:hAnsi="Arial" w:cs="Arial"/>
          <w:kern w:val="0"/>
          <w:sz w:val="22"/>
          <w:szCs w:val="22"/>
          <w:lang w:eastAsia="en-GB"/>
          <w14:ligatures w14:val="none"/>
        </w:rPr>
        <w:t> </w:t>
      </w:r>
    </w:p>
    <w:p w14:paraId="540FB946" w14:textId="14185433" w:rsidR="00DB13C3" w:rsidRDefault="00DB13C3" w:rsidP="00DB13C3">
      <w:pPr>
        <w:spacing w:after="0" w:line="276" w:lineRule="auto"/>
        <w:jc w:val="both"/>
        <w:rPr>
          <w:rFonts w:ascii="Arial" w:hAnsi="Arial" w:cs="Arial"/>
          <w:i/>
          <w:iCs/>
          <w:color w:val="000000" w:themeColor="text1"/>
          <w:sz w:val="22"/>
          <w:szCs w:val="22"/>
        </w:rPr>
      </w:pPr>
    </w:p>
    <w:p w14:paraId="3CA7219C" w14:textId="77777777" w:rsidR="003E01D5" w:rsidRDefault="003E01D5" w:rsidP="003E01D5">
      <w:pPr>
        <w:spacing w:after="0" w:line="276" w:lineRule="auto"/>
        <w:jc w:val="both"/>
        <w:rPr>
          <w:rFonts w:ascii="Arial" w:hAnsi="Arial" w:cs="Arial"/>
          <w:color w:val="000000" w:themeColor="text1"/>
          <w:sz w:val="22"/>
          <w:szCs w:val="22"/>
        </w:rPr>
      </w:pPr>
      <w:r w:rsidRPr="003E01D5">
        <w:rPr>
          <w:rFonts w:ascii="Arial" w:hAnsi="Arial" w:cs="Arial"/>
          <w:color w:val="000000" w:themeColor="text1"/>
          <w:sz w:val="22"/>
          <w:szCs w:val="22"/>
        </w:rPr>
        <w:t>The proposal comprises EV charging infrastructure of a limited scale and would not result in the construction of a building or other form of development capable of giving rise to unacceptable overlooking, loss of light, overshadowing or overbearing impacts. Furthermore, having regard to the scale and nature of the development, no unacceptable noise or disturbance impacts on neighbouring occupiers are anticipated.</w:t>
      </w:r>
    </w:p>
    <w:p w14:paraId="15193DF2" w14:textId="77777777" w:rsidR="003E01D5" w:rsidRPr="003E01D5" w:rsidRDefault="003E01D5" w:rsidP="003E01D5">
      <w:pPr>
        <w:spacing w:after="0" w:line="276" w:lineRule="auto"/>
        <w:jc w:val="both"/>
        <w:rPr>
          <w:rFonts w:ascii="Arial" w:hAnsi="Arial" w:cs="Arial"/>
          <w:color w:val="000000" w:themeColor="text1"/>
          <w:sz w:val="22"/>
          <w:szCs w:val="22"/>
        </w:rPr>
      </w:pPr>
    </w:p>
    <w:p w14:paraId="72C13EDA" w14:textId="77777777" w:rsidR="003E01D5" w:rsidRPr="003E01D5" w:rsidRDefault="003E01D5" w:rsidP="003E01D5">
      <w:pPr>
        <w:spacing w:after="0" w:line="276" w:lineRule="auto"/>
        <w:jc w:val="both"/>
        <w:rPr>
          <w:rFonts w:ascii="Arial" w:hAnsi="Arial" w:cs="Arial"/>
          <w:color w:val="000000" w:themeColor="text1"/>
          <w:sz w:val="22"/>
          <w:szCs w:val="22"/>
        </w:rPr>
      </w:pPr>
      <w:r w:rsidRPr="003E01D5">
        <w:rPr>
          <w:rFonts w:ascii="Arial" w:hAnsi="Arial" w:cs="Arial"/>
          <w:color w:val="000000" w:themeColor="text1"/>
          <w:sz w:val="22"/>
          <w:szCs w:val="22"/>
        </w:rPr>
        <w:t>Accordingly, the proposal would safeguard the amenities of neighbouring occupiers and complies with criterion vii of Core Policy 57 of the Wiltshire Core Strategy and the guidance contained within Appendix D of the Wiltshire Design Guide.</w:t>
      </w:r>
    </w:p>
    <w:p w14:paraId="0021B07F" w14:textId="77777777" w:rsidR="00256244" w:rsidRDefault="00256244"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DCF3088" w14:textId="264C8B6F"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p>
    <w:p w14:paraId="1B265742" w14:textId="77777777" w:rsidR="00782389" w:rsidRPr="006705B5" w:rsidRDefault="00782389"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BC1D564" w14:textId="77777777"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 </w:t>
      </w:r>
    </w:p>
    <w:p w14:paraId="7624178B" w14:textId="77777777"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 </w:t>
      </w:r>
    </w:p>
    <w:p w14:paraId="61A834DE" w14:textId="77777777"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The transport policies of the NPPF seek to ensure that development provides safe and suitable access for all users and that any impacts on highway safety are appropriately considered. </w:t>
      </w:r>
    </w:p>
    <w:p w14:paraId="34CAFD5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161816F" w14:textId="00467AD4" w:rsidR="00A660FD" w:rsidRDefault="004B043C" w:rsidP="004B043C">
      <w:pPr>
        <w:spacing w:after="0" w:line="276" w:lineRule="auto"/>
        <w:jc w:val="both"/>
        <w:rPr>
          <w:rFonts w:ascii="Arial" w:eastAsia="Times New Roman" w:hAnsi="Arial" w:cs="Arial"/>
          <w:color w:val="000000" w:themeColor="text1"/>
          <w:kern w:val="0"/>
          <w:sz w:val="22"/>
          <w:szCs w:val="22"/>
          <w:lang w:eastAsia="en-GB"/>
          <w14:ligatures w14:val="none"/>
        </w:rPr>
      </w:pPr>
      <w:r w:rsidRPr="004B043C">
        <w:rPr>
          <w:rFonts w:ascii="Arial" w:eastAsia="Times New Roman" w:hAnsi="Arial" w:cs="Arial"/>
          <w:color w:val="000000" w:themeColor="text1"/>
          <w:kern w:val="0"/>
          <w:sz w:val="22"/>
          <w:szCs w:val="22"/>
          <w:lang w:eastAsia="en-GB"/>
          <w14:ligatures w14:val="none"/>
        </w:rPr>
        <w:t xml:space="preserve">The proposal comprises the installation of EV charging infrastructure and does not involve any material alterations to the existing vehicular access arrangements serving the site. </w:t>
      </w:r>
      <w:r w:rsidR="00A660FD" w:rsidRPr="00A660FD">
        <w:rPr>
          <w:rFonts w:ascii="Arial" w:eastAsia="Times New Roman" w:hAnsi="Arial" w:cs="Arial"/>
          <w:color w:val="000000" w:themeColor="text1"/>
          <w:kern w:val="0"/>
          <w:sz w:val="22"/>
          <w:szCs w:val="22"/>
          <w:lang w:eastAsia="en-GB"/>
          <w14:ligatures w14:val="none"/>
        </w:rPr>
        <w:t>The charger would be located within the existing domestic parking area and, having regard to its modest dimensions, would not materially reduce the availability of on-site parking or interfere with safe access to and from the highway.</w:t>
      </w:r>
    </w:p>
    <w:p w14:paraId="409E6FBF" w14:textId="77777777" w:rsidR="00A660FD" w:rsidRDefault="00A660FD" w:rsidP="004B043C">
      <w:pPr>
        <w:spacing w:after="0" w:line="276" w:lineRule="auto"/>
        <w:jc w:val="both"/>
        <w:rPr>
          <w:rFonts w:ascii="Arial" w:eastAsia="Times New Roman" w:hAnsi="Arial" w:cs="Arial"/>
          <w:color w:val="000000" w:themeColor="text1"/>
          <w:kern w:val="0"/>
          <w:sz w:val="22"/>
          <w:szCs w:val="22"/>
          <w:lang w:eastAsia="en-GB"/>
          <w14:ligatures w14:val="none"/>
        </w:rPr>
      </w:pPr>
    </w:p>
    <w:p w14:paraId="54F728F7" w14:textId="34AF3559" w:rsidR="004B043C" w:rsidRPr="004B043C" w:rsidRDefault="004B043C" w:rsidP="004B043C">
      <w:pPr>
        <w:spacing w:after="0" w:line="276" w:lineRule="auto"/>
        <w:jc w:val="both"/>
        <w:rPr>
          <w:rFonts w:ascii="Arial" w:eastAsia="Times New Roman" w:hAnsi="Arial" w:cs="Arial"/>
          <w:color w:val="000000" w:themeColor="text1"/>
          <w:kern w:val="0"/>
          <w:sz w:val="22"/>
          <w:szCs w:val="22"/>
          <w:lang w:eastAsia="en-GB"/>
          <w14:ligatures w14:val="none"/>
        </w:rPr>
      </w:pPr>
      <w:r w:rsidRPr="004B043C">
        <w:rPr>
          <w:rFonts w:ascii="Arial" w:eastAsia="Times New Roman" w:hAnsi="Arial" w:cs="Arial"/>
          <w:color w:val="000000" w:themeColor="text1"/>
          <w:kern w:val="0"/>
          <w:sz w:val="22"/>
          <w:szCs w:val="22"/>
          <w:lang w:eastAsia="en-GB"/>
          <w14:ligatures w14:val="none"/>
        </w:rPr>
        <w:t>The development would not result in a</w:t>
      </w:r>
      <w:r>
        <w:rPr>
          <w:rFonts w:ascii="Arial" w:eastAsia="Times New Roman" w:hAnsi="Arial" w:cs="Arial"/>
          <w:color w:val="000000" w:themeColor="text1"/>
          <w:kern w:val="0"/>
          <w:sz w:val="22"/>
          <w:szCs w:val="22"/>
          <w:lang w:eastAsia="en-GB"/>
          <w14:ligatures w14:val="none"/>
        </w:rPr>
        <w:t>ny material</w:t>
      </w:r>
      <w:r w:rsidRPr="004B043C">
        <w:rPr>
          <w:rFonts w:ascii="Arial" w:eastAsia="Times New Roman" w:hAnsi="Arial" w:cs="Arial"/>
          <w:color w:val="000000" w:themeColor="text1"/>
          <w:kern w:val="0"/>
          <w:sz w:val="22"/>
          <w:szCs w:val="22"/>
          <w:lang w:eastAsia="en-GB"/>
          <w14:ligatures w14:val="none"/>
        </w:rPr>
        <w:t xml:space="preserve"> increase in vehicle movements and would not give rise to any highway safety concerns. Furthermore, the proposal would support the transition to low-emission transport infrastructure and assist in facilitating the use of electric vehicles.</w:t>
      </w:r>
    </w:p>
    <w:p w14:paraId="26B6FE32" w14:textId="77777777" w:rsid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 </w:t>
      </w:r>
    </w:p>
    <w:p w14:paraId="5BEA0F4F" w14:textId="139C7C7E" w:rsidR="00F74391" w:rsidRDefault="00F74391"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F74391">
        <w:rPr>
          <w:rFonts w:ascii="Arial" w:eastAsia="Times New Roman" w:hAnsi="Arial" w:cs="Arial"/>
          <w:color w:val="000000" w:themeColor="text1"/>
          <w:kern w:val="0"/>
          <w:sz w:val="22"/>
          <w:szCs w:val="22"/>
          <w:lang w:eastAsia="en-GB"/>
          <w14:ligatures w14:val="none"/>
        </w:rPr>
        <w:t>Having regard to the scale and nature of the proposal, it is considered that the development would not have an unacceptable impact on the operation of the local highway network or on highway safety.</w:t>
      </w:r>
    </w:p>
    <w:p w14:paraId="45741DEB" w14:textId="77777777" w:rsidR="00F74391" w:rsidRPr="007A493B" w:rsidRDefault="00F74391" w:rsidP="007A493B">
      <w:pPr>
        <w:spacing w:after="0" w:line="276" w:lineRule="auto"/>
        <w:jc w:val="both"/>
        <w:rPr>
          <w:rFonts w:ascii="Arial" w:eastAsia="Times New Roman" w:hAnsi="Arial" w:cs="Arial"/>
          <w:color w:val="000000" w:themeColor="text1"/>
          <w:kern w:val="0"/>
          <w:sz w:val="22"/>
          <w:szCs w:val="22"/>
          <w:lang w:eastAsia="en-GB"/>
          <w14:ligatures w14:val="none"/>
        </w:rPr>
      </w:pPr>
    </w:p>
    <w:p w14:paraId="55427A56" w14:textId="77777777" w:rsidR="007A493B" w:rsidRPr="007A493B" w:rsidRDefault="007A493B" w:rsidP="007A493B">
      <w:pPr>
        <w:spacing w:after="0" w:line="276" w:lineRule="auto"/>
        <w:jc w:val="both"/>
        <w:rPr>
          <w:rFonts w:ascii="Arial" w:eastAsia="Times New Roman" w:hAnsi="Arial" w:cs="Arial"/>
          <w:color w:val="000000" w:themeColor="text1"/>
          <w:kern w:val="0"/>
          <w:sz w:val="22"/>
          <w:szCs w:val="22"/>
          <w:lang w:eastAsia="en-GB"/>
          <w14:ligatures w14:val="none"/>
        </w:rPr>
      </w:pPr>
      <w:r w:rsidRPr="007A493B">
        <w:rPr>
          <w:rFonts w:ascii="Arial" w:eastAsia="Times New Roman" w:hAnsi="Arial" w:cs="Arial"/>
          <w:color w:val="000000" w:themeColor="text1"/>
          <w:kern w:val="0"/>
          <w:sz w:val="22"/>
          <w:szCs w:val="22"/>
          <w:lang w:eastAsia="en-GB"/>
          <w14:ligatures w14:val="none"/>
        </w:rPr>
        <w:t>The proposal is therefore considered to comply with Core Policies 57 (xiv), 61 and 64 of the Wiltshire Core Strategy, the NPPF, and the Wiltshire Local Transport Plan. </w:t>
      </w:r>
    </w:p>
    <w:p w14:paraId="6DFF10D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541F2B" w14:textId="209099B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72754714" w14:textId="77777777" w:rsidR="00A6119B" w:rsidRPr="00F40F2D" w:rsidRDefault="00A6119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2715FF4" w14:textId="77777777" w:rsidR="00D14A5E" w:rsidRPr="00D14A5E" w:rsidRDefault="00D14A5E" w:rsidP="00D14A5E">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D14A5E">
        <w:rPr>
          <w:rFonts w:ascii="Arial" w:eastAsia="Times New Roman" w:hAnsi="Arial" w:cs="Arial"/>
          <w:color w:val="000000" w:themeColor="text1"/>
          <w:kern w:val="0"/>
          <w:sz w:val="22"/>
          <w:szCs w:val="22"/>
          <w:lang w:eastAsia="en-GB"/>
          <w14:ligatures w14:val="none"/>
        </w:rPr>
        <w:t>particular weight</w:t>
      </w:r>
      <w:proofErr w:type="gramEnd"/>
      <w:r w:rsidRPr="00D14A5E">
        <w:rPr>
          <w:rFonts w:ascii="Arial" w:eastAsia="Times New Roman" w:hAnsi="Arial" w:cs="Arial"/>
          <w:color w:val="000000" w:themeColor="text1"/>
          <w:kern w:val="0"/>
          <w:sz w:val="22"/>
          <w:szCs w:val="22"/>
          <w:lang w:eastAsia="en-GB"/>
          <w14:ligatures w14:val="none"/>
        </w:rPr>
        <w:t xml:space="preserve"> to designated areas such as National Landscapes. </w:t>
      </w:r>
    </w:p>
    <w:p w14:paraId="027B0E14" w14:textId="77777777" w:rsidR="00D14A5E" w:rsidRPr="00D14A5E" w:rsidRDefault="00D14A5E" w:rsidP="00D14A5E">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 </w:t>
      </w:r>
    </w:p>
    <w:p w14:paraId="45D7C140" w14:textId="77777777" w:rsidR="00D14A5E" w:rsidRPr="00D14A5E" w:rsidRDefault="00D14A5E" w:rsidP="00D14A5E">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Policy N4 of the NPPF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 </w:t>
      </w:r>
    </w:p>
    <w:p w14:paraId="011D7FA2" w14:textId="77777777" w:rsidR="00D14A5E" w:rsidRPr="00D14A5E" w:rsidRDefault="00D14A5E" w:rsidP="00D14A5E">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 </w:t>
      </w:r>
    </w:p>
    <w:p w14:paraId="63B629FD" w14:textId="77777777" w:rsidR="00D14A5E" w:rsidRPr="00D14A5E" w:rsidRDefault="00D14A5E" w:rsidP="00D14A5E">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Under Section 245 of the Levelling</w:t>
      </w:r>
      <w:r w:rsidRPr="00D14A5E">
        <w:rPr>
          <w:rFonts w:ascii="Arial" w:eastAsia="Times New Roman" w:hAnsi="Arial" w:cs="Arial"/>
          <w:color w:val="000000" w:themeColor="text1"/>
          <w:kern w:val="0"/>
          <w:sz w:val="22"/>
          <w:szCs w:val="22"/>
          <w:lang w:eastAsia="en-GB"/>
          <w14:ligatures w14:val="none"/>
        </w:rPr>
        <w:noBreakHyphen/>
        <w:t>Up and Regeneration Act 2023, the Council must now ‘seek to further’ the purposes of the National Landscapes in its decision making. This legislative change strengthens the duty under Section 85 of the Countryside and Rights of Way Act 2000, which originally required that authorities ‘have regard to’ their conservation purpose. In assessing this proposal, the Council has actively considered how it will conserve and enhance the natural beauty of the National Landscape, in line with national legislation and the area's Management Plan. </w:t>
      </w:r>
    </w:p>
    <w:p w14:paraId="4C6CA2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EB1E22F" w14:textId="21DBEF52" w:rsidR="00F40F2D" w:rsidRPr="00003537" w:rsidRDefault="0000353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003537">
        <w:rPr>
          <w:rFonts w:ascii="Arial" w:eastAsia="Times New Roman" w:hAnsi="Arial" w:cs="Arial"/>
          <w:color w:val="000000" w:themeColor="text1"/>
          <w:kern w:val="0"/>
          <w:sz w:val="22"/>
          <w:szCs w:val="22"/>
          <w:lang w:eastAsia="en-GB"/>
          <w14:ligatures w14:val="none"/>
        </w:rPr>
        <w:lastRenderedPageBreak/>
        <w:t xml:space="preserve">The proposed works are limited to the addition of an EV charger to the front of the property. The proposed works are extremely minor and would be read in context with the existing dwelling within the established residential curtilage of the site. There is therefore no landscape harm identified </w:t>
      </w:r>
      <w:proofErr w:type="gramStart"/>
      <w:r w:rsidRPr="00003537">
        <w:rPr>
          <w:rFonts w:ascii="Arial" w:eastAsia="Times New Roman" w:hAnsi="Arial" w:cs="Arial"/>
          <w:color w:val="000000" w:themeColor="text1"/>
          <w:kern w:val="0"/>
          <w:sz w:val="22"/>
          <w:szCs w:val="22"/>
          <w:lang w:eastAsia="en-GB"/>
          <w14:ligatures w14:val="none"/>
        </w:rPr>
        <w:t>in regard to</w:t>
      </w:r>
      <w:proofErr w:type="gramEnd"/>
      <w:r w:rsidRPr="00003537">
        <w:rPr>
          <w:rFonts w:ascii="Arial" w:eastAsia="Times New Roman" w:hAnsi="Arial" w:cs="Arial"/>
          <w:color w:val="000000" w:themeColor="text1"/>
          <w:kern w:val="0"/>
          <w:sz w:val="22"/>
          <w:szCs w:val="22"/>
          <w:lang w:eastAsia="en-GB"/>
          <w14:ligatures w14:val="none"/>
        </w:rPr>
        <w:t xml:space="preserve"> the proposal and there are no concerns raised regarding impact upon the North Wessex </w:t>
      </w:r>
      <w:r w:rsidR="006A791A">
        <w:rPr>
          <w:rFonts w:ascii="Arial" w:eastAsia="Times New Roman" w:hAnsi="Arial" w:cs="Arial"/>
          <w:color w:val="000000" w:themeColor="text1"/>
          <w:kern w:val="0"/>
          <w:sz w:val="22"/>
          <w:szCs w:val="22"/>
          <w:lang w:eastAsia="en-GB"/>
          <w14:ligatures w14:val="none"/>
        </w:rPr>
        <w:t>D</w:t>
      </w:r>
      <w:r w:rsidRPr="00003537">
        <w:rPr>
          <w:rFonts w:ascii="Arial" w:eastAsia="Times New Roman" w:hAnsi="Arial" w:cs="Arial"/>
          <w:color w:val="000000" w:themeColor="text1"/>
          <w:kern w:val="0"/>
          <w:sz w:val="22"/>
          <w:szCs w:val="22"/>
          <w:lang w:eastAsia="en-GB"/>
          <w14:ligatures w14:val="none"/>
        </w:rPr>
        <w:t>owns National Landscape.</w:t>
      </w:r>
    </w:p>
    <w:p w14:paraId="093F31B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09023C4" w14:textId="4D154DBB" w:rsidR="00404C92" w:rsidRPr="00404C92" w:rsidRDefault="00404C92" w:rsidP="00404C92">
      <w:pPr>
        <w:spacing w:after="0" w:line="276" w:lineRule="auto"/>
        <w:jc w:val="both"/>
        <w:rPr>
          <w:rFonts w:ascii="Arial" w:eastAsia="Times New Roman" w:hAnsi="Arial" w:cs="Arial"/>
          <w:color w:val="000000" w:themeColor="text1"/>
          <w:kern w:val="0"/>
          <w:sz w:val="22"/>
          <w:szCs w:val="22"/>
          <w:lang w:eastAsia="en-GB"/>
          <w14:ligatures w14:val="none"/>
        </w:rPr>
      </w:pPr>
      <w:r w:rsidRPr="00404C92">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w:t>
      </w:r>
      <w:r>
        <w:rPr>
          <w:rFonts w:ascii="Arial" w:eastAsia="Times New Roman" w:hAnsi="Arial" w:cs="Arial"/>
          <w:color w:val="000000" w:themeColor="text1"/>
          <w:kern w:val="0"/>
          <w:sz w:val="22"/>
          <w:szCs w:val="22"/>
          <w:lang w:eastAsia="en-GB"/>
          <w14:ligatures w14:val="none"/>
        </w:rPr>
        <w:t>s</w:t>
      </w:r>
      <w:r w:rsidRPr="00404C92">
        <w:rPr>
          <w:rFonts w:ascii="Arial" w:eastAsia="Times New Roman" w:hAnsi="Arial" w:cs="Arial"/>
          <w:color w:val="000000" w:themeColor="text1"/>
          <w:kern w:val="0"/>
          <w:sz w:val="22"/>
          <w:szCs w:val="22"/>
          <w:lang w:eastAsia="en-GB"/>
          <w14:ligatures w14:val="none"/>
        </w:rPr>
        <w:t xml:space="preserve"> National Landscape.</w:t>
      </w:r>
    </w:p>
    <w:p w14:paraId="14B9015B" w14:textId="77777777" w:rsidR="00404C92" w:rsidRPr="00404C92" w:rsidRDefault="00404C92" w:rsidP="00404C92">
      <w:pPr>
        <w:spacing w:after="0" w:line="276" w:lineRule="auto"/>
        <w:jc w:val="both"/>
        <w:rPr>
          <w:rFonts w:ascii="Arial" w:eastAsia="Times New Roman" w:hAnsi="Arial" w:cs="Arial"/>
          <w:color w:val="000000" w:themeColor="text1"/>
          <w:kern w:val="0"/>
          <w:sz w:val="22"/>
          <w:szCs w:val="22"/>
          <w:lang w:eastAsia="en-GB"/>
          <w14:ligatures w14:val="none"/>
        </w:rPr>
      </w:pPr>
      <w:r w:rsidRPr="00404C92">
        <w:rPr>
          <w:rFonts w:ascii="Arial" w:eastAsia="Times New Roman" w:hAnsi="Arial" w:cs="Arial"/>
          <w:color w:val="000000" w:themeColor="text1"/>
          <w:kern w:val="0"/>
          <w:sz w:val="22"/>
          <w:szCs w:val="22"/>
          <w:lang w:eastAsia="en-GB"/>
          <w14:ligatures w14:val="none"/>
        </w:rPr>
        <w:t> </w:t>
      </w:r>
    </w:p>
    <w:p w14:paraId="1875A9CC" w14:textId="77777777" w:rsidR="00404C92" w:rsidRPr="00404C92" w:rsidRDefault="00404C92" w:rsidP="00404C92">
      <w:pPr>
        <w:spacing w:after="0" w:line="276" w:lineRule="auto"/>
        <w:jc w:val="both"/>
        <w:rPr>
          <w:rFonts w:ascii="Arial" w:eastAsia="Times New Roman" w:hAnsi="Arial" w:cs="Arial"/>
          <w:color w:val="000000" w:themeColor="text1"/>
          <w:kern w:val="0"/>
          <w:sz w:val="22"/>
          <w:szCs w:val="22"/>
          <w:lang w:eastAsia="en-GB"/>
          <w14:ligatures w14:val="none"/>
        </w:rPr>
      </w:pPr>
      <w:r w:rsidRPr="00404C92">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Policy N4 of the NPPF in having a broadly neutral impact upon the National Landscape. </w:t>
      </w:r>
    </w:p>
    <w:p w14:paraId="58D94631"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66B585" w14:textId="23126D60"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736D3B9A" w14:textId="77777777" w:rsidR="00782389" w:rsidRPr="001B34A3" w:rsidRDefault="0078238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3F0C0B7" w14:textId="5542716F" w:rsidR="001B34A3" w:rsidRDefault="00D14A5E"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Core Policy 67 of the Wiltshire Core Strategy seeks to ensure that development does not increase flood risk on-site or elsewhere and incorporates appropriate drainage measures where necessary. Policies F7 and F8 of the National Planning Policy Framework require development to appropriately manage surface water and flood risk, ensure that drainage arrangements are effective and sustainable, and demonstrate that development will be safe for its lifetime without increasing flood risk elsewhere. Householder development is generally exempt from the Sequential and Exception Tests. </w:t>
      </w:r>
    </w:p>
    <w:p w14:paraId="66C6FCFD" w14:textId="77777777" w:rsidR="00D14A5E" w:rsidRPr="001B34A3" w:rsidRDefault="00D14A5E"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4832B1C" w14:textId="77777777" w:rsidR="00F374A9" w:rsidRPr="00F374A9" w:rsidRDefault="00F374A9" w:rsidP="00F374A9">
      <w:pPr>
        <w:spacing w:after="0" w:line="276" w:lineRule="auto"/>
        <w:jc w:val="both"/>
        <w:rPr>
          <w:rFonts w:ascii="Arial" w:eastAsia="Times New Roman" w:hAnsi="Arial" w:cs="Arial"/>
          <w:color w:val="000000" w:themeColor="text1"/>
          <w:kern w:val="0"/>
          <w:sz w:val="22"/>
          <w:szCs w:val="22"/>
          <w:lang w:eastAsia="en-GB"/>
          <w14:ligatures w14:val="none"/>
        </w:rPr>
      </w:pPr>
      <w:r w:rsidRPr="00F374A9">
        <w:rPr>
          <w:rFonts w:ascii="Arial" w:eastAsia="Times New Roman" w:hAnsi="Arial" w:cs="Arial"/>
          <w:color w:val="000000" w:themeColor="text1"/>
          <w:kern w:val="0"/>
          <w:sz w:val="22"/>
          <w:szCs w:val="22"/>
          <w:lang w:eastAsia="en-GB"/>
          <w14:ligatures w14:val="none"/>
        </w:rPr>
        <w:t>Whilst the site lies within Flood Zones 2 and 3, the proposal is limited to the installation of a small domestic EV charging unit within the existing residential curtilage. It would not introduce a materially greater footprint, would not materially alter surface water drainage arrangements, and would not increase flood risk on-site or elsewhere.</w:t>
      </w:r>
    </w:p>
    <w:p w14:paraId="4DB68083"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E6137BD" w14:textId="54C50D58" w:rsidR="00200044" w:rsidRDefault="00D14A5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14A5E">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policy in the NPPF, ensuring that flood risk is not increased and that surface water drainage is appropriately managed.</w:t>
      </w:r>
    </w:p>
    <w:p w14:paraId="0F389A80" w14:textId="77777777" w:rsidR="00D14A5E" w:rsidRPr="00394AB3" w:rsidRDefault="00D14A5E" w:rsidP="009C1702">
      <w:pPr>
        <w:spacing w:after="0" w:line="276" w:lineRule="auto"/>
        <w:jc w:val="both"/>
        <w:rPr>
          <w:rFonts w:ascii="Arial" w:eastAsia="Times New Roman" w:hAnsi="Arial" w:cs="Arial"/>
          <w:i/>
          <w:iCs/>
          <w:color w:val="FF0000"/>
          <w:kern w:val="0"/>
          <w:sz w:val="22"/>
          <w:szCs w:val="22"/>
          <w:lang w:eastAsia="en-GB"/>
          <w14:ligatures w14:val="none"/>
        </w:rPr>
      </w:pPr>
    </w:p>
    <w:p w14:paraId="32A41D3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D025CE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bookmarkEnd w:id="1"/>
    <w:p w14:paraId="7A64A19E" w14:textId="289A9E23" w:rsidR="00D30109" w:rsidRDefault="00BF1CA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F1CA1">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 </w:t>
      </w:r>
    </w:p>
    <w:p w14:paraId="0229EFB1" w14:textId="77777777" w:rsidR="00BF1CA1" w:rsidRPr="009C1702" w:rsidRDefault="00BF1CA1" w:rsidP="009C1702">
      <w:pPr>
        <w:spacing w:after="0" w:line="276" w:lineRule="auto"/>
        <w:jc w:val="both"/>
        <w:rPr>
          <w:rFonts w:ascii="Arial" w:eastAsia="Times New Roman" w:hAnsi="Arial" w:cs="Arial"/>
          <w:color w:val="FF0000"/>
          <w:kern w:val="0"/>
          <w:sz w:val="22"/>
          <w:szCs w:val="22"/>
          <w:lang w:eastAsia="en-GB"/>
          <w14:ligatures w14:val="none"/>
        </w:rPr>
      </w:pPr>
    </w:p>
    <w:p w14:paraId="0199310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CFB5C9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D78AB93" w14:textId="1ABCEA2E" w:rsidR="00FC5AB6" w:rsidRDefault="00FC5AB6" w:rsidP="00FC5AB6">
      <w:pPr>
        <w:spacing w:after="0" w:line="276" w:lineRule="auto"/>
        <w:jc w:val="both"/>
        <w:rPr>
          <w:rFonts w:ascii="Arial" w:eastAsia="Times New Roman" w:hAnsi="Arial" w:cs="Arial"/>
          <w:color w:val="000000" w:themeColor="text1"/>
          <w:kern w:val="0"/>
          <w:sz w:val="22"/>
          <w:szCs w:val="22"/>
          <w:lang w:eastAsia="en-GB"/>
          <w14:ligatures w14:val="none"/>
        </w:rPr>
      </w:pPr>
      <w:r w:rsidRPr="00FC5AB6">
        <w:rPr>
          <w:rFonts w:ascii="Arial" w:eastAsia="Times New Roman" w:hAnsi="Arial" w:cs="Arial"/>
          <w:color w:val="000000" w:themeColor="text1"/>
          <w:kern w:val="0"/>
          <w:sz w:val="22"/>
          <w:szCs w:val="22"/>
          <w:lang w:eastAsia="en-GB"/>
          <w14:ligatures w14:val="none"/>
        </w:rPr>
        <w:t xml:space="preserve">The proposed development is considered acceptable in terms of its design, scale and relationship with the surrounding area. By reason of its modest dimensions, recessed design and siting within the existing residential curtilage, it would preserve the significance of the Grade II listed building and its setting, would not harm the character or scenic quality of the North Wessex Downs National Landscape, and would not result in unacceptable impacts upon neighbouring amenity, highway safety, </w:t>
      </w:r>
      <w:r w:rsidR="0092782C">
        <w:rPr>
          <w:rFonts w:ascii="Arial" w:eastAsia="Times New Roman" w:hAnsi="Arial" w:cs="Arial"/>
          <w:color w:val="000000" w:themeColor="text1"/>
          <w:kern w:val="0"/>
          <w:sz w:val="22"/>
          <w:szCs w:val="22"/>
          <w:lang w:eastAsia="en-GB"/>
          <w14:ligatures w14:val="none"/>
        </w:rPr>
        <w:t xml:space="preserve">or </w:t>
      </w:r>
      <w:r w:rsidRPr="00FC5AB6">
        <w:rPr>
          <w:rFonts w:ascii="Arial" w:eastAsia="Times New Roman" w:hAnsi="Arial" w:cs="Arial"/>
          <w:color w:val="000000" w:themeColor="text1"/>
          <w:kern w:val="0"/>
          <w:sz w:val="22"/>
          <w:szCs w:val="22"/>
          <w:lang w:eastAsia="en-GB"/>
          <w14:ligatures w14:val="none"/>
        </w:rPr>
        <w:t>flood ris</w:t>
      </w:r>
      <w:r w:rsidR="0092782C">
        <w:rPr>
          <w:rFonts w:ascii="Arial" w:eastAsia="Times New Roman" w:hAnsi="Arial" w:cs="Arial"/>
          <w:color w:val="000000" w:themeColor="text1"/>
          <w:kern w:val="0"/>
          <w:sz w:val="22"/>
          <w:szCs w:val="22"/>
          <w:lang w:eastAsia="en-GB"/>
          <w14:ligatures w14:val="none"/>
        </w:rPr>
        <w:t>k.</w:t>
      </w:r>
    </w:p>
    <w:p w14:paraId="4EBD18FC" w14:textId="77777777" w:rsidR="00FC5AB6" w:rsidRPr="00FC5AB6" w:rsidRDefault="00FC5AB6" w:rsidP="00FC5AB6">
      <w:pPr>
        <w:spacing w:after="0" w:line="276" w:lineRule="auto"/>
        <w:jc w:val="both"/>
        <w:rPr>
          <w:rFonts w:ascii="Arial" w:eastAsia="Times New Roman" w:hAnsi="Arial" w:cs="Arial"/>
          <w:color w:val="000000" w:themeColor="text1"/>
          <w:kern w:val="0"/>
          <w:sz w:val="22"/>
          <w:szCs w:val="22"/>
          <w:lang w:eastAsia="en-GB"/>
          <w14:ligatures w14:val="none"/>
        </w:rPr>
      </w:pPr>
    </w:p>
    <w:p w14:paraId="795B0855" w14:textId="77777777" w:rsidR="00FC5AB6" w:rsidRPr="00FC5AB6" w:rsidRDefault="00FC5AB6" w:rsidP="00FC5AB6">
      <w:pPr>
        <w:spacing w:after="0" w:line="276" w:lineRule="auto"/>
        <w:jc w:val="both"/>
        <w:rPr>
          <w:rFonts w:ascii="Arial" w:eastAsia="Times New Roman" w:hAnsi="Arial" w:cs="Arial"/>
          <w:color w:val="000000" w:themeColor="text1"/>
          <w:kern w:val="0"/>
          <w:sz w:val="22"/>
          <w:szCs w:val="22"/>
          <w:lang w:eastAsia="en-GB"/>
          <w14:ligatures w14:val="none"/>
        </w:rPr>
      </w:pPr>
      <w:r w:rsidRPr="00FC5AB6">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Design Guide and the National Planning Policy Framework. In </w:t>
      </w:r>
      <w:r w:rsidRPr="00FC5AB6">
        <w:rPr>
          <w:rFonts w:ascii="Arial" w:eastAsia="Times New Roman" w:hAnsi="Arial" w:cs="Arial"/>
          <w:color w:val="000000" w:themeColor="text1"/>
          <w:kern w:val="0"/>
          <w:sz w:val="22"/>
          <w:szCs w:val="22"/>
          <w:lang w:eastAsia="en-GB"/>
          <w14:ligatures w14:val="none"/>
        </w:rPr>
        <w:lastRenderedPageBreak/>
        <w:t>accordance with Section 38(6) of the Planning and Compulsory Purchase Act 2004, the application is recommended for approval, subject to conditions.</w:t>
      </w:r>
    </w:p>
    <w:p w14:paraId="1174991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AE306A0" w14:textId="46896AE2" w:rsidR="009B7AD7" w:rsidRPr="00A6119B"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281E771"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537"/>
    <w:rsid w:val="00003A12"/>
    <w:rsid w:val="00011496"/>
    <w:rsid w:val="000143A5"/>
    <w:rsid w:val="000148E7"/>
    <w:rsid w:val="00015ADB"/>
    <w:rsid w:val="000221CB"/>
    <w:rsid w:val="00033847"/>
    <w:rsid w:val="00036B7E"/>
    <w:rsid w:val="0003767F"/>
    <w:rsid w:val="00043B9C"/>
    <w:rsid w:val="00045C88"/>
    <w:rsid w:val="000610AC"/>
    <w:rsid w:val="00063A02"/>
    <w:rsid w:val="00063D1C"/>
    <w:rsid w:val="0006701C"/>
    <w:rsid w:val="00071E19"/>
    <w:rsid w:val="0007377C"/>
    <w:rsid w:val="0007735A"/>
    <w:rsid w:val="000815DE"/>
    <w:rsid w:val="0008454F"/>
    <w:rsid w:val="00085C56"/>
    <w:rsid w:val="00091944"/>
    <w:rsid w:val="00093398"/>
    <w:rsid w:val="00097010"/>
    <w:rsid w:val="000A0990"/>
    <w:rsid w:val="000B4864"/>
    <w:rsid w:val="000B66D7"/>
    <w:rsid w:val="000B6B01"/>
    <w:rsid w:val="000C7F98"/>
    <w:rsid w:val="000D0858"/>
    <w:rsid w:val="000D16FB"/>
    <w:rsid w:val="000D5836"/>
    <w:rsid w:val="000E063D"/>
    <w:rsid w:val="000E18EB"/>
    <w:rsid w:val="000E6021"/>
    <w:rsid w:val="000E7462"/>
    <w:rsid w:val="000F3916"/>
    <w:rsid w:val="000F3A08"/>
    <w:rsid w:val="001044B1"/>
    <w:rsid w:val="00111D21"/>
    <w:rsid w:val="00130B7C"/>
    <w:rsid w:val="00134D23"/>
    <w:rsid w:val="00141929"/>
    <w:rsid w:val="0014198B"/>
    <w:rsid w:val="0015260A"/>
    <w:rsid w:val="00152901"/>
    <w:rsid w:val="0016162B"/>
    <w:rsid w:val="00162405"/>
    <w:rsid w:val="00175052"/>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57DF"/>
    <w:rsid w:val="00200044"/>
    <w:rsid w:val="002056F3"/>
    <w:rsid w:val="002100CF"/>
    <w:rsid w:val="00210821"/>
    <w:rsid w:val="00211930"/>
    <w:rsid w:val="00212556"/>
    <w:rsid w:val="0021435E"/>
    <w:rsid w:val="002175E1"/>
    <w:rsid w:val="002215A6"/>
    <w:rsid w:val="00221D04"/>
    <w:rsid w:val="00223925"/>
    <w:rsid w:val="00247CD5"/>
    <w:rsid w:val="00255AAB"/>
    <w:rsid w:val="00256244"/>
    <w:rsid w:val="00257DD1"/>
    <w:rsid w:val="0026037A"/>
    <w:rsid w:val="00276C28"/>
    <w:rsid w:val="00284692"/>
    <w:rsid w:val="00296162"/>
    <w:rsid w:val="002A39E0"/>
    <w:rsid w:val="002B0890"/>
    <w:rsid w:val="002B3C19"/>
    <w:rsid w:val="002B67AF"/>
    <w:rsid w:val="002B7220"/>
    <w:rsid w:val="002C39F8"/>
    <w:rsid w:val="002C5B77"/>
    <w:rsid w:val="002C64FD"/>
    <w:rsid w:val="002C7D54"/>
    <w:rsid w:val="002D20C0"/>
    <w:rsid w:val="002D6A96"/>
    <w:rsid w:val="002D764D"/>
    <w:rsid w:val="002E6C51"/>
    <w:rsid w:val="0030007E"/>
    <w:rsid w:val="00302D05"/>
    <w:rsid w:val="003030A4"/>
    <w:rsid w:val="00307390"/>
    <w:rsid w:val="00312C7F"/>
    <w:rsid w:val="00315AE0"/>
    <w:rsid w:val="00331E7A"/>
    <w:rsid w:val="00332D09"/>
    <w:rsid w:val="003342BE"/>
    <w:rsid w:val="00335B14"/>
    <w:rsid w:val="003415BB"/>
    <w:rsid w:val="00344752"/>
    <w:rsid w:val="00362D8F"/>
    <w:rsid w:val="00364013"/>
    <w:rsid w:val="00371103"/>
    <w:rsid w:val="00371C0F"/>
    <w:rsid w:val="003727C5"/>
    <w:rsid w:val="00372E76"/>
    <w:rsid w:val="0037425B"/>
    <w:rsid w:val="003774FF"/>
    <w:rsid w:val="0038668B"/>
    <w:rsid w:val="00391B04"/>
    <w:rsid w:val="00393433"/>
    <w:rsid w:val="00394AB3"/>
    <w:rsid w:val="003A202C"/>
    <w:rsid w:val="003A2DD3"/>
    <w:rsid w:val="003A6C95"/>
    <w:rsid w:val="003A7995"/>
    <w:rsid w:val="003C7574"/>
    <w:rsid w:val="003E01D5"/>
    <w:rsid w:val="003E08E2"/>
    <w:rsid w:val="003E2BA9"/>
    <w:rsid w:val="003F076A"/>
    <w:rsid w:val="003F5922"/>
    <w:rsid w:val="00400FB2"/>
    <w:rsid w:val="00404C9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43C"/>
    <w:rsid w:val="004B0B23"/>
    <w:rsid w:val="004B1E0E"/>
    <w:rsid w:val="004B3C0C"/>
    <w:rsid w:val="004D3857"/>
    <w:rsid w:val="004D3BA9"/>
    <w:rsid w:val="004D6134"/>
    <w:rsid w:val="004E7970"/>
    <w:rsid w:val="004F635C"/>
    <w:rsid w:val="004F65E7"/>
    <w:rsid w:val="00503219"/>
    <w:rsid w:val="00515980"/>
    <w:rsid w:val="0051645C"/>
    <w:rsid w:val="0052069C"/>
    <w:rsid w:val="00520E30"/>
    <w:rsid w:val="0054068B"/>
    <w:rsid w:val="00540D13"/>
    <w:rsid w:val="00550749"/>
    <w:rsid w:val="005542CC"/>
    <w:rsid w:val="00561A9C"/>
    <w:rsid w:val="00582EB0"/>
    <w:rsid w:val="0059326C"/>
    <w:rsid w:val="0059524B"/>
    <w:rsid w:val="00597BBB"/>
    <w:rsid w:val="005A2832"/>
    <w:rsid w:val="005A2CD7"/>
    <w:rsid w:val="005A5492"/>
    <w:rsid w:val="005B0FD5"/>
    <w:rsid w:val="005B6C9B"/>
    <w:rsid w:val="005C1D3F"/>
    <w:rsid w:val="005D04A7"/>
    <w:rsid w:val="005D12A1"/>
    <w:rsid w:val="005D13DC"/>
    <w:rsid w:val="005D24B8"/>
    <w:rsid w:val="005D30AB"/>
    <w:rsid w:val="005E0776"/>
    <w:rsid w:val="005E0F78"/>
    <w:rsid w:val="005E2BAD"/>
    <w:rsid w:val="00607C59"/>
    <w:rsid w:val="00610090"/>
    <w:rsid w:val="00615302"/>
    <w:rsid w:val="006164A3"/>
    <w:rsid w:val="00616DC2"/>
    <w:rsid w:val="0062234B"/>
    <w:rsid w:val="006242FB"/>
    <w:rsid w:val="00631B2E"/>
    <w:rsid w:val="0063206F"/>
    <w:rsid w:val="006407C9"/>
    <w:rsid w:val="00640FEC"/>
    <w:rsid w:val="00643C57"/>
    <w:rsid w:val="00647E0D"/>
    <w:rsid w:val="00652ABF"/>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A791A"/>
    <w:rsid w:val="006B1193"/>
    <w:rsid w:val="006B6C79"/>
    <w:rsid w:val="006C2EF8"/>
    <w:rsid w:val="006C5A72"/>
    <w:rsid w:val="006D1073"/>
    <w:rsid w:val="006D4A80"/>
    <w:rsid w:val="006D59BB"/>
    <w:rsid w:val="006E139C"/>
    <w:rsid w:val="00702D0A"/>
    <w:rsid w:val="00711058"/>
    <w:rsid w:val="00714FE5"/>
    <w:rsid w:val="00715057"/>
    <w:rsid w:val="007235F5"/>
    <w:rsid w:val="00742C35"/>
    <w:rsid w:val="00744E80"/>
    <w:rsid w:val="00750FD1"/>
    <w:rsid w:val="00753994"/>
    <w:rsid w:val="00755B0D"/>
    <w:rsid w:val="007638C3"/>
    <w:rsid w:val="00771C95"/>
    <w:rsid w:val="00782389"/>
    <w:rsid w:val="00790038"/>
    <w:rsid w:val="00793652"/>
    <w:rsid w:val="007A493B"/>
    <w:rsid w:val="007B70B8"/>
    <w:rsid w:val="007C1403"/>
    <w:rsid w:val="007C28D5"/>
    <w:rsid w:val="007C6DE3"/>
    <w:rsid w:val="007D187B"/>
    <w:rsid w:val="007D390B"/>
    <w:rsid w:val="007D4B14"/>
    <w:rsid w:val="007D5706"/>
    <w:rsid w:val="007D6521"/>
    <w:rsid w:val="007E229B"/>
    <w:rsid w:val="007E4274"/>
    <w:rsid w:val="007E4322"/>
    <w:rsid w:val="007F0CAA"/>
    <w:rsid w:val="007F1CFA"/>
    <w:rsid w:val="007F3ABA"/>
    <w:rsid w:val="00802C50"/>
    <w:rsid w:val="00810B9F"/>
    <w:rsid w:val="00812272"/>
    <w:rsid w:val="008176BD"/>
    <w:rsid w:val="00823F2A"/>
    <w:rsid w:val="0083213E"/>
    <w:rsid w:val="008376A8"/>
    <w:rsid w:val="0084670A"/>
    <w:rsid w:val="00852CAC"/>
    <w:rsid w:val="00855117"/>
    <w:rsid w:val="0085527B"/>
    <w:rsid w:val="00862AEC"/>
    <w:rsid w:val="0086379F"/>
    <w:rsid w:val="0086741B"/>
    <w:rsid w:val="00867EFD"/>
    <w:rsid w:val="0087005A"/>
    <w:rsid w:val="008703A2"/>
    <w:rsid w:val="008718B4"/>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1717C"/>
    <w:rsid w:val="00921A38"/>
    <w:rsid w:val="0092325F"/>
    <w:rsid w:val="00924221"/>
    <w:rsid w:val="0092586B"/>
    <w:rsid w:val="0092782C"/>
    <w:rsid w:val="00932A4E"/>
    <w:rsid w:val="009350D4"/>
    <w:rsid w:val="00961C4E"/>
    <w:rsid w:val="00965A06"/>
    <w:rsid w:val="00967DCB"/>
    <w:rsid w:val="00970A8A"/>
    <w:rsid w:val="00972DD7"/>
    <w:rsid w:val="00974EA2"/>
    <w:rsid w:val="00981221"/>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5073"/>
    <w:rsid w:val="009F684B"/>
    <w:rsid w:val="00A050F1"/>
    <w:rsid w:val="00A10D10"/>
    <w:rsid w:val="00A23603"/>
    <w:rsid w:val="00A241C0"/>
    <w:rsid w:val="00A24AEC"/>
    <w:rsid w:val="00A3010D"/>
    <w:rsid w:val="00A34EB7"/>
    <w:rsid w:val="00A4593E"/>
    <w:rsid w:val="00A46019"/>
    <w:rsid w:val="00A55952"/>
    <w:rsid w:val="00A6119B"/>
    <w:rsid w:val="00A660FD"/>
    <w:rsid w:val="00A6662C"/>
    <w:rsid w:val="00A71295"/>
    <w:rsid w:val="00A772D3"/>
    <w:rsid w:val="00A81CF7"/>
    <w:rsid w:val="00A8272D"/>
    <w:rsid w:val="00A85226"/>
    <w:rsid w:val="00AB52C2"/>
    <w:rsid w:val="00AC01A4"/>
    <w:rsid w:val="00AD2BC0"/>
    <w:rsid w:val="00AD39FA"/>
    <w:rsid w:val="00AE028B"/>
    <w:rsid w:val="00AE04FE"/>
    <w:rsid w:val="00AF2650"/>
    <w:rsid w:val="00AF2AF9"/>
    <w:rsid w:val="00B01936"/>
    <w:rsid w:val="00B0198D"/>
    <w:rsid w:val="00B111D2"/>
    <w:rsid w:val="00B16D71"/>
    <w:rsid w:val="00B1710B"/>
    <w:rsid w:val="00B3075F"/>
    <w:rsid w:val="00B44C99"/>
    <w:rsid w:val="00B44EC9"/>
    <w:rsid w:val="00B54DA2"/>
    <w:rsid w:val="00B633AB"/>
    <w:rsid w:val="00B71530"/>
    <w:rsid w:val="00B71D0E"/>
    <w:rsid w:val="00B7214D"/>
    <w:rsid w:val="00B82691"/>
    <w:rsid w:val="00B915D4"/>
    <w:rsid w:val="00BA2753"/>
    <w:rsid w:val="00BB5ECE"/>
    <w:rsid w:val="00BB7690"/>
    <w:rsid w:val="00BD6B4D"/>
    <w:rsid w:val="00BE579C"/>
    <w:rsid w:val="00BE5F7B"/>
    <w:rsid w:val="00BF1CA1"/>
    <w:rsid w:val="00BF1DB2"/>
    <w:rsid w:val="00BF7456"/>
    <w:rsid w:val="00C03688"/>
    <w:rsid w:val="00C1522E"/>
    <w:rsid w:val="00C21B1F"/>
    <w:rsid w:val="00C224C6"/>
    <w:rsid w:val="00C24723"/>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C7F7F"/>
    <w:rsid w:val="00CD3C78"/>
    <w:rsid w:val="00CD745F"/>
    <w:rsid w:val="00CE6A0B"/>
    <w:rsid w:val="00CE7093"/>
    <w:rsid w:val="00CF4F6C"/>
    <w:rsid w:val="00CF7529"/>
    <w:rsid w:val="00D06D32"/>
    <w:rsid w:val="00D14841"/>
    <w:rsid w:val="00D14A5E"/>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494D"/>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A798F"/>
    <w:rsid w:val="00EB421A"/>
    <w:rsid w:val="00EC2E4E"/>
    <w:rsid w:val="00EC4E9E"/>
    <w:rsid w:val="00EC7118"/>
    <w:rsid w:val="00EE0D84"/>
    <w:rsid w:val="00EE47DB"/>
    <w:rsid w:val="00EE5C03"/>
    <w:rsid w:val="00EE6AA5"/>
    <w:rsid w:val="00EE7315"/>
    <w:rsid w:val="00EF02A7"/>
    <w:rsid w:val="00EF0DA4"/>
    <w:rsid w:val="00F005A4"/>
    <w:rsid w:val="00F01283"/>
    <w:rsid w:val="00F07D8C"/>
    <w:rsid w:val="00F1263F"/>
    <w:rsid w:val="00F1491F"/>
    <w:rsid w:val="00F15E48"/>
    <w:rsid w:val="00F17D1C"/>
    <w:rsid w:val="00F2477F"/>
    <w:rsid w:val="00F272A5"/>
    <w:rsid w:val="00F335B4"/>
    <w:rsid w:val="00F33A0F"/>
    <w:rsid w:val="00F374A9"/>
    <w:rsid w:val="00F400B5"/>
    <w:rsid w:val="00F40F2D"/>
    <w:rsid w:val="00F50F61"/>
    <w:rsid w:val="00F7017C"/>
    <w:rsid w:val="00F74391"/>
    <w:rsid w:val="00F7609E"/>
    <w:rsid w:val="00F77540"/>
    <w:rsid w:val="00F83CDC"/>
    <w:rsid w:val="00F85D5A"/>
    <w:rsid w:val="00F86303"/>
    <w:rsid w:val="00F9178A"/>
    <w:rsid w:val="00F932D6"/>
    <w:rsid w:val="00FA3D27"/>
    <w:rsid w:val="00FA3DF1"/>
    <w:rsid w:val="00FA5EC3"/>
    <w:rsid w:val="00FB193A"/>
    <w:rsid w:val="00FC07FD"/>
    <w:rsid w:val="00FC5AB6"/>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879B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7</Pages>
  <Words>2316</Words>
  <Characters>13065</Characters>
  <Application>Microsoft Office Word</Application>
  <DocSecurity>0</DocSecurity>
  <Lines>296</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salesforceId:b228d8b8-999b-436d-8152-5d12251cbc69</dc:subject>
  <dc:creator>O'Donoghue, Ruaridh</dc:creator>
  <cp:keywords/>
  <dc:description/>
  <cp:lastModifiedBy>Leesam, Joe</cp:lastModifiedBy>
  <cp:revision>67</cp:revision>
  <dcterms:created xsi:type="dcterms:W3CDTF">2026-07-15T15:07:00Z</dcterms:created>
  <dcterms:modified xsi:type="dcterms:W3CDTF">2026-08-18T15:29:00Z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069Q300000RbwiJIAR</vt:lpwstr>
  </property>
</Properties>
</file>