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9568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4D4B4A">
        <w:rPr>
          <w:rFonts w:ascii="Arial" w:eastAsia="Times New Roman" w:hAnsi="Arial" w:cs="Arial"/>
          <w:b/>
          <w:bCs/>
          <w:kern w:val="0"/>
          <w:sz w:val="28"/>
          <w:szCs w:val="28"/>
          <w:lang w:eastAsia="en-GB"/>
          <w14:ligatures w14:val="none"/>
        </w:rPr>
        <w:t xml:space="preserve">ANNEXED ACCOMODATION </w:t>
      </w:r>
    </w:p>
    <w:p w14:paraId="66A99172"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23DADC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CC86052" w14:textId="77777777" w:rsidTr="00683C17">
        <w:tc>
          <w:tcPr>
            <w:tcW w:w="3681" w:type="dxa"/>
          </w:tcPr>
          <w:p w14:paraId="6340DD0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A6C0353"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PL/2026/02544</w:t>
            </w:r>
          </w:p>
        </w:tc>
      </w:tr>
      <w:tr w:rsidR="00097010" w14:paraId="7D88BEBC" w14:textId="77777777" w:rsidTr="00683C17">
        <w:tc>
          <w:tcPr>
            <w:tcW w:w="3681" w:type="dxa"/>
          </w:tcPr>
          <w:p w14:paraId="1E23E31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1CC8149"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Householder planning permission</w:t>
            </w:r>
          </w:p>
        </w:tc>
      </w:tr>
      <w:tr w:rsidR="00097010" w14:paraId="5273DF67" w14:textId="77777777" w:rsidTr="00683C17">
        <w:tc>
          <w:tcPr>
            <w:tcW w:w="3681" w:type="dxa"/>
          </w:tcPr>
          <w:p w14:paraId="020A1DC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923EE25"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49 White Street, West Lavington, Devizes, SN10 4LP</w:t>
            </w:r>
          </w:p>
        </w:tc>
      </w:tr>
      <w:tr w:rsidR="00097010" w14:paraId="05EEFB99" w14:textId="77777777" w:rsidTr="00683C17">
        <w:tc>
          <w:tcPr>
            <w:tcW w:w="3681" w:type="dxa"/>
          </w:tcPr>
          <w:p w14:paraId="424E5AB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2FB18B0" w14:textId="77777777" w:rsidR="00097010" w:rsidRPr="00FC4953" w:rsidRDefault="00FC4953"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FC4953">
              <w:rPr>
                <w:rFonts w:ascii="Arial" w:eastAsia="Times New Roman" w:hAnsi="Arial" w:cs="Arial"/>
                <w:kern w:val="0"/>
                <w:sz w:val="22"/>
                <w:szCs w:val="22"/>
                <w:lang w:eastAsia="en-GB"/>
                <w14:ligatures w14:val="none"/>
              </w:rPr>
              <w:t>Log cabin in rear of garden to be used as an annexe</w:t>
            </w:r>
          </w:p>
        </w:tc>
      </w:tr>
      <w:tr w:rsidR="00097010" w14:paraId="6BCD770C" w14:textId="77777777" w:rsidTr="00683C17">
        <w:tc>
          <w:tcPr>
            <w:tcW w:w="3681" w:type="dxa"/>
          </w:tcPr>
          <w:p w14:paraId="3C36C00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B717CCD" w14:textId="0EB15826" w:rsidR="00680DA9" w:rsidRDefault="001A11A6" w:rsidP="00680DA9">
            <w:pPr>
              <w:spacing w:line="276" w:lineRule="auto"/>
              <w:rPr>
                <w:rFonts w:ascii="Arial" w:eastAsia="Times New Roman" w:hAnsi="Arial" w:cs="Arial"/>
                <w:b/>
                <w:bCs/>
                <w:kern w:val="0"/>
                <w:sz w:val="22"/>
                <w:szCs w:val="22"/>
                <w:lang w:eastAsia="en-GB"/>
                <w14:ligatures w14:val="none"/>
              </w:rPr>
            </w:pPr>
            <w:r w:rsidRPr="001A11A6">
              <w:rPr>
                <w:rFonts w:ascii="Arial" w:eastAsia="Times New Roman" w:hAnsi="Arial" w:cs="Arial"/>
                <w:b/>
                <w:bCs/>
                <w:kern w:val="0"/>
                <w:sz w:val="22"/>
                <w:szCs w:val="22"/>
                <w:lang w:val="en-US" w:eastAsia="en-GB"/>
                <w14:ligatures w14:val="none"/>
              </w:rPr>
              <w:t>That Planning Permission be GRANTED subject to conditions</w:t>
            </w:r>
            <w:r w:rsidRPr="001A11A6">
              <w:rPr>
                <w:rFonts w:ascii="Arial" w:eastAsia="Times New Roman" w:hAnsi="Arial" w:cs="Arial"/>
                <w:b/>
                <w:bCs/>
                <w:kern w:val="0"/>
                <w:sz w:val="22"/>
                <w:szCs w:val="22"/>
                <w:lang w:eastAsia="en-GB"/>
                <w14:ligatures w14:val="none"/>
              </w:rPr>
              <w:t> </w:t>
            </w:r>
          </w:p>
        </w:tc>
      </w:tr>
    </w:tbl>
    <w:p w14:paraId="445CF88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DB62B2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A168A8"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538FE90" w14:textId="77777777" w:rsid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The application seeks householder planning permission for the erection of a detached timber log cabin within the rear garden of 49 White Street, West Lavington. The building would be used as ancillary annexed accommodation associated with the host dwelling, primarily to provide supported independent living space for the applicant’s disabled adult son, while enabling care and support to continue from within the same family household.</w:t>
      </w:r>
      <w:r w:rsidRPr="001A11A6">
        <w:rPr>
          <w:rFonts w:ascii="Arial" w:eastAsia="Times New Roman" w:hAnsi="Arial" w:cs="Arial"/>
          <w:color w:val="000000" w:themeColor="text1"/>
          <w:kern w:val="0"/>
          <w:sz w:val="22"/>
          <w:szCs w:val="22"/>
          <w:lang w:eastAsia="en-GB"/>
          <w14:ligatures w14:val="none"/>
        </w:rPr>
        <w:t> </w:t>
      </w:r>
    </w:p>
    <w:p w14:paraId="3EA4B170" w14:textId="77777777" w:rsidR="001A11A6" w:rsidRP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68A835F" w14:textId="77777777" w:rsid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The submitted plans show a single-storey cabin measuring approximately 7.40 metres by 3.60 metres, with an overall height of approximately 2.94 metres. The accommodation includes sleeping space, sanitary facilities and an open plan living area. The submitted details indicate timber cladding, anthracite grey windows and doors, anthracite steel roof sheets and black rainwater goods.</w:t>
      </w:r>
      <w:r w:rsidRPr="001A11A6">
        <w:rPr>
          <w:rFonts w:ascii="Arial" w:eastAsia="Times New Roman" w:hAnsi="Arial" w:cs="Arial"/>
          <w:color w:val="000000" w:themeColor="text1"/>
          <w:kern w:val="0"/>
          <w:sz w:val="22"/>
          <w:szCs w:val="22"/>
          <w:lang w:eastAsia="en-GB"/>
          <w14:ligatures w14:val="none"/>
        </w:rPr>
        <w:t> </w:t>
      </w:r>
    </w:p>
    <w:p w14:paraId="0D0CB5F4" w14:textId="77777777" w:rsid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8D5141E" w14:textId="2171BC0F" w:rsid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kern w:val="0"/>
          <w:sz w:val="22"/>
          <w:szCs w:val="22"/>
          <w:lang w:val="en-US" w:eastAsia="en-GB"/>
          <w14:ligatures w14:val="none"/>
        </w:rPr>
        <w:t>The proposed annexe would be located within the rear garden area of the property and would be accessed from the existing dwelling through the established garden.</w:t>
      </w:r>
    </w:p>
    <w:p w14:paraId="31542F8D" w14:textId="77777777" w:rsidR="001A11A6" w:rsidRP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DEC208" w14:textId="77777777" w:rsidR="001A11A6" w:rsidRPr="001A11A6" w:rsidRDefault="001A11A6" w:rsidP="001A11A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Additional information was submitted during the application, including a Design and Access Statement, a planning statement, a statement explaining the applicant’s personal circumstances, further foundation/subframe details and amended plans. The applicant has confirmed acceptance of a condition to ensure the annexe remains ancillary to the main dwelling and is not used as a separate dwelling.</w:t>
      </w:r>
      <w:r w:rsidRPr="001A11A6">
        <w:rPr>
          <w:rFonts w:ascii="Arial" w:eastAsia="Times New Roman" w:hAnsi="Arial" w:cs="Arial"/>
          <w:color w:val="000000" w:themeColor="text1"/>
          <w:kern w:val="0"/>
          <w:sz w:val="22"/>
          <w:szCs w:val="22"/>
          <w:lang w:eastAsia="en-GB"/>
          <w14:ligatures w14:val="none"/>
        </w:rPr>
        <w:t> </w:t>
      </w:r>
    </w:p>
    <w:p w14:paraId="6AA1F27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606FA43" w14:textId="77777777" w:rsidR="00A44263" w:rsidRPr="00A44263" w:rsidRDefault="00A44263" w:rsidP="00A44263">
      <w:pPr>
        <w:spacing w:after="0" w:line="276" w:lineRule="auto"/>
        <w:jc w:val="both"/>
        <w:outlineLvl w:val="2"/>
        <w:rPr>
          <w:rFonts w:ascii="Arial" w:eastAsia="Times New Roman" w:hAnsi="Arial" w:cs="Arial"/>
          <w:kern w:val="0"/>
          <w:sz w:val="22"/>
          <w:szCs w:val="22"/>
          <w:lang w:eastAsia="en-GB"/>
          <w14:ligatures w14:val="none"/>
        </w:rPr>
      </w:pPr>
      <w:r w:rsidRPr="00A44263">
        <w:rPr>
          <w:rFonts w:ascii="Arial" w:eastAsia="Times New Roman" w:hAnsi="Arial" w:cs="Arial"/>
          <w:kern w:val="0"/>
          <w:sz w:val="22"/>
          <w:szCs w:val="22"/>
          <w:lang w:eastAsia="en-GB"/>
          <w14:ligatures w14:val="none"/>
        </w:rPr>
        <w:t>Whilst the submitted site plan does not scale precisely, the location of the proposed annexe can be clearly understood from the submitted drawings and accompanying marked-up site photograph. The exact siting of the structure within the rear garden is not critical to the acceptability of the development in planning terms and sufficient information has been provided to identify the approved location. As such, it would not be reasonable or necessary to require further plans before determination.</w:t>
      </w:r>
    </w:p>
    <w:p w14:paraId="3671C2EE" w14:textId="77777777" w:rsidR="00A44263" w:rsidRDefault="00A44263" w:rsidP="009C1702">
      <w:pPr>
        <w:spacing w:after="0" w:line="276" w:lineRule="auto"/>
        <w:jc w:val="both"/>
        <w:outlineLvl w:val="2"/>
        <w:rPr>
          <w:rFonts w:ascii="Arial" w:eastAsia="Times New Roman" w:hAnsi="Arial" w:cs="Arial"/>
          <w:b/>
          <w:bCs/>
          <w:kern w:val="0"/>
          <w:sz w:val="22"/>
          <w:szCs w:val="22"/>
          <w:lang w:eastAsia="en-GB"/>
          <w14:ligatures w14:val="none"/>
        </w:rPr>
      </w:pPr>
    </w:p>
    <w:p w14:paraId="61E0DBD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A5F6C1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9C1F6FD"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73A2A49" w14:textId="4C47F1AD" w:rsidR="001A11A6" w:rsidRDefault="001A11A6" w:rsidP="001A11A6">
      <w:pPr>
        <w:spacing w:after="0" w:line="276" w:lineRule="auto"/>
        <w:jc w:val="both"/>
        <w:outlineLvl w:val="2"/>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val="en-US" w:eastAsia="en-GB"/>
          <w14:ligatures w14:val="none"/>
        </w:rPr>
        <w:t>The application site comprises a residential property at 49 White Street, West Lavington. The property is accessed from White Street via a short section of bridleway, WLAV34.</w:t>
      </w:r>
      <w:r w:rsidRPr="001A11A6">
        <w:rPr>
          <w:rFonts w:ascii="Arial" w:eastAsia="Times New Roman" w:hAnsi="Arial" w:cs="Arial"/>
          <w:kern w:val="0"/>
          <w:sz w:val="22"/>
          <w:szCs w:val="22"/>
          <w:lang w:eastAsia="en-GB"/>
          <w14:ligatures w14:val="none"/>
        </w:rPr>
        <w:t> </w:t>
      </w:r>
    </w:p>
    <w:p w14:paraId="70CAA2EE" w14:textId="77777777" w:rsidR="001A11A6" w:rsidRPr="001A11A6" w:rsidRDefault="001A11A6" w:rsidP="001A11A6">
      <w:pPr>
        <w:spacing w:after="0" w:line="276" w:lineRule="auto"/>
        <w:jc w:val="both"/>
        <w:outlineLvl w:val="2"/>
        <w:rPr>
          <w:rFonts w:ascii="Arial" w:eastAsia="Times New Roman" w:hAnsi="Arial" w:cs="Arial"/>
          <w:kern w:val="0"/>
          <w:sz w:val="22"/>
          <w:szCs w:val="22"/>
          <w:lang w:eastAsia="en-GB"/>
          <w14:ligatures w14:val="none"/>
        </w:rPr>
      </w:pPr>
    </w:p>
    <w:p w14:paraId="0D75386B" w14:textId="23485A5A" w:rsidR="001A11A6" w:rsidRDefault="001A11A6" w:rsidP="001A11A6">
      <w:pPr>
        <w:spacing w:after="0" w:line="276" w:lineRule="auto"/>
        <w:jc w:val="both"/>
        <w:outlineLvl w:val="2"/>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val="en-US" w:eastAsia="en-GB"/>
          <w14:ligatures w14:val="none"/>
        </w:rPr>
        <w:lastRenderedPageBreak/>
        <w:t xml:space="preserve">The site lies within the West Lavington Conservation Area. The wider setting is residential in character, with open land to the west/southwest of the site. </w:t>
      </w:r>
    </w:p>
    <w:p w14:paraId="08AA9A1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3E569C7"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317A479"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2BAE" w:rsidRPr="009C2BAE" w14:paraId="2F5D53BC" w14:textId="77777777" w:rsidTr="009C2BAE">
        <w:trPr>
          <w:trHeight w:val="364"/>
        </w:trPr>
        <w:tc>
          <w:tcPr>
            <w:tcW w:w="8921" w:type="dxa"/>
            <w:tcBorders>
              <w:top w:val="single" w:sz="4" w:space="0" w:color="auto"/>
              <w:left w:val="single" w:sz="4" w:space="0" w:color="auto"/>
              <w:bottom w:val="single" w:sz="12" w:space="0" w:color="auto"/>
              <w:right w:val="single" w:sz="4" w:space="0" w:color="auto"/>
            </w:tcBorders>
            <w:vAlign w:val="center"/>
            <w:hideMark/>
          </w:tcPr>
          <w:p w14:paraId="1D0DA41B" w14:textId="77777777" w:rsidR="009C2BAE" w:rsidRPr="009C2BAE" w:rsidRDefault="009C2BAE" w:rsidP="009C2BAE">
            <w:pPr>
              <w:spacing w:after="0" w:line="276" w:lineRule="auto"/>
              <w:jc w:val="both"/>
              <w:rPr>
                <w:rFonts w:ascii="Arial" w:eastAsia="Times New Roman" w:hAnsi="Arial" w:cs="Arial"/>
                <w:b/>
                <w:bCs/>
                <w:kern w:val="0"/>
                <w:sz w:val="22"/>
                <w:szCs w:val="22"/>
                <w:lang w:eastAsia="en-GB"/>
                <w14:ligatures w14:val="none"/>
              </w:rPr>
            </w:pPr>
            <w:bookmarkStart w:id="0" w:name="_bc9eaa23_7b84_4e11_8860_67eb8bbe0c9e"/>
            <w:r w:rsidRPr="009C2BAE">
              <w:rPr>
                <w:rFonts w:ascii="Arial" w:eastAsia="Times New Roman" w:hAnsi="Arial" w:cs="Arial"/>
                <w:b/>
                <w:bCs/>
                <w:kern w:val="0"/>
                <w:sz w:val="22"/>
                <w:szCs w:val="22"/>
                <w:lang w:eastAsia="en-GB"/>
                <w14:ligatures w14:val="none"/>
              </w:rPr>
              <w:t>Proposal / Summary</w:t>
            </w:r>
          </w:p>
        </w:tc>
      </w:tr>
      <w:tr w:rsidR="009C2BAE" w:rsidRPr="009C2BAE" w14:paraId="12B5518A" w14:textId="77777777" w:rsidTr="009C2BAE">
        <w:tc>
          <w:tcPr>
            <w:tcW w:w="8921" w:type="dxa"/>
            <w:tcBorders>
              <w:top w:val="single" w:sz="6" w:space="0" w:color="auto"/>
              <w:left w:val="single" w:sz="4" w:space="0" w:color="auto"/>
              <w:bottom w:val="single" w:sz="12" w:space="0" w:color="auto"/>
              <w:right w:val="single" w:sz="4" w:space="0" w:color="auto"/>
            </w:tcBorders>
            <w:vAlign w:val="center"/>
            <w:hideMark/>
          </w:tcPr>
          <w:p w14:paraId="2A62286B" w14:textId="77777777" w:rsidR="009C2BAE" w:rsidRPr="009C2BAE" w:rsidRDefault="009C2BAE" w:rsidP="009C2BAE">
            <w:pPr>
              <w:spacing w:after="0" w:line="276" w:lineRule="auto"/>
              <w:jc w:val="both"/>
              <w:rPr>
                <w:rFonts w:ascii="Arial" w:eastAsia="Times New Roman" w:hAnsi="Arial" w:cs="Arial"/>
                <w:kern w:val="0"/>
                <w:sz w:val="22"/>
                <w:szCs w:val="22"/>
                <w:lang w:eastAsia="en-GB"/>
                <w14:ligatures w14:val="none"/>
              </w:rPr>
            </w:pPr>
            <w:r w:rsidRPr="009C2BAE">
              <w:rPr>
                <w:rFonts w:ascii="Arial" w:eastAsia="Times New Roman" w:hAnsi="Arial" w:cs="Arial"/>
                <w:kern w:val="0"/>
                <w:sz w:val="22"/>
                <w:szCs w:val="22"/>
                <w:lang w:eastAsia="en-GB"/>
                <w14:ligatures w14:val="none"/>
              </w:rPr>
              <w:t>K/83/0159 - Full planning permission Decision - Approve with Conditions Date: 4/5/1983 – Extension and car port</w:t>
            </w:r>
          </w:p>
        </w:tc>
      </w:tr>
      <w:bookmarkEnd w:id="0"/>
    </w:tbl>
    <w:p w14:paraId="5B32E1EA"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27DC036"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D43AE29"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87D2CD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52F0F8D" w14:textId="77777777" w:rsidR="008B578F" w:rsidRPr="006D5804" w:rsidRDefault="008B578F" w:rsidP="009C1702">
      <w:pPr>
        <w:spacing w:after="0" w:line="276" w:lineRule="auto"/>
        <w:jc w:val="both"/>
        <w:rPr>
          <w:rFonts w:ascii="Arial" w:eastAsia="Times New Roman" w:hAnsi="Arial" w:cs="Arial"/>
          <w:kern w:val="0"/>
          <w:sz w:val="22"/>
          <w:szCs w:val="22"/>
          <w:u w:val="single"/>
          <w:lang w:eastAsia="en-GB"/>
          <w14:ligatures w14:val="none"/>
        </w:rPr>
      </w:pPr>
      <w:r w:rsidRPr="006D5804">
        <w:rPr>
          <w:rFonts w:ascii="Arial" w:eastAsia="Times New Roman" w:hAnsi="Arial" w:cs="Arial"/>
          <w:kern w:val="0"/>
          <w:sz w:val="22"/>
          <w:szCs w:val="22"/>
          <w:u w:val="single"/>
          <w:lang w:eastAsia="en-GB"/>
          <w14:ligatures w14:val="none"/>
        </w:rPr>
        <w:t>Wiltshire Core Strategy:</w:t>
      </w:r>
    </w:p>
    <w:p w14:paraId="697451F6"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E793DFC" w14:textId="77777777" w:rsidR="00720FFB" w:rsidRPr="001A11A6"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Core Policy 1: Settlement Strategy</w:t>
      </w:r>
    </w:p>
    <w:p w14:paraId="7C4BAA6F" w14:textId="77777777" w:rsidR="00720FFB" w:rsidRPr="001A11A6" w:rsidRDefault="00720FF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Core Policy 2: Delivery Strategy</w:t>
      </w:r>
    </w:p>
    <w:p w14:paraId="7DD665DF" w14:textId="77777777" w:rsidR="00134D23" w:rsidRPr="001A11A6"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Core Policy 57</w:t>
      </w:r>
      <w:r w:rsidR="0056765A" w:rsidRPr="001A11A6">
        <w:rPr>
          <w:rFonts w:ascii="Arial" w:eastAsia="Times New Roman" w:hAnsi="Arial" w:cs="Arial"/>
          <w:kern w:val="0"/>
          <w:sz w:val="22"/>
          <w:szCs w:val="22"/>
          <w:lang w:eastAsia="en-GB"/>
          <w14:ligatures w14:val="none"/>
        </w:rPr>
        <w:t>:</w:t>
      </w:r>
      <w:r w:rsidRPr="001A11A6">
        <w:rPr>
          <w:rFonts w:ascii="Arial" w:eastAsia="Times New Roman" w:hAnsi="Arial" w:cs="Arial"/>
          <w:kern w:val="0"/>
          <w:sz w:val="22"/>
          <w:szCs w:val="22"/>
          <w:lang w:eastAsia="en-GB"/>
          <w14:ligatures w14:val="none"/>
        </w:rPr>
        <w:t xml:space="preserve"> Ensuring High Quality Design and Place Shaping</w:t>
      </w:r>
    </w:p>
    <w:p w14:paraId="22D297A6" w14:textId="77777777" w:rsidR="00683C17" w:rsidRPr="001A11A6"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Core Policy 58</w:t>
      </w:r>
      <w:r w:rsidR="0056765A" w:rsidRPr="001A11A6">
        <w:rPr>
          <w:rFonts w:ascii="Arial" w:eastAsia="Times New Roman" w:hAnsi="Arial" w:cs="Arial"/>
          <w:kern w:val="0"/>
          <w:sz w:val="22"/>
          <w:szCs w:val="22"/>
          <w:lang w:eastAsia="en-GB"/>
          <w14:ligatures w14:val="none"/>
        </w:rPr>
        <w:t>:</w:t>
      </w:r>
      <w:r w:rsidR="00580F63" w:rsidRPr="001A11A6">
        <w:rPr>
          <w:rFonts w:ascii="Arial" w:eastAsia="Times New Roman" w:hAnsi="Arial" w:cs="Arial"/>
          <w:kern w:val="0"/>
          <w:sz w:val="22"/>
          <w:szCs w:val="22"/>
          <w:lang w:eastAsia="en-GB"/>
          <w14:ligatures w14:val="none"/>
        </w:rPr>
        <w:t xml:space="preserve"> </w:t>
      </w:r>
      <w:r w:rsidR="00315AE0" w:rsidRPr="001A11A6">
        <w:rPr>
          <w:rFonts w:ascii="Arial" w:eastAsia="Times New Roman" w:hAnsi="Arial" w:cs="Arial"/>
          <w:kern w:val="0"/>
          <w:sz w:val="22"/>
          <w:szCs w:val="22"/>
          <w:lang w:eastAsia="en-GB"/>
          <w14:ligatures w14:val="none"/>
        </w:rPr>
        <w:t xml:space="preserve">Ensuring the Conservation of the Historic Environment </w:t>
      </w:r>
    </w:p>
    <w:p w14:paraId="041090A7" w14:textId="77777777" w:rsidR="009F684B" w:rsidRPr="001A11A6"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Core Policy 61</w:t>
      </w:r>
      <w:r w:rsidR="0056765A" w:rsidRPr="001A11A6">
        <w:rPr>
          <w:rFonts w:ascii="Arial" w:eastAsia="Times New Roman" w:hAnsi="Arial" w:cs="Arial"/>
          <w:kern w:val="0"/>
          <w:sz w:val="22"/>
          <w:szCs w:val="22"/>
          <w:lang w:eastAsia="en-GB"/>
          <w14:ligatures w14:val="none"/>
        </w:rPr>
        <w:t>:</w:t>
      </w:r>
      <w:r w:rsidR="00580F63" w:rsidRPr="001A11A6">
        <w:rPr>
          <w:rFonts w:ascii="Arial" w:eastAsia="Times New Roman" w:hAnsi="Arial" w:cs="Arial"/>
          <w:kern w:val="0"/>
          <w:sz w:val="22"/>
          <w:szCs w:val="22"/>
          <w:lang w:eastAsia="en-GB"/>
          <w14:ligatures w14:val="none"/>
        </w:rPr>
        <w:t xml:space="preserve"> </w:t>
      </w:r>
      <w:r w:rsidRPr="001A11A6">
        <w:rPr>
          <w:rFonts w:ascii="Arial" w:eastAsia="Times New Roman" w:hAnsi="Arial" w:cs="Arial"/>
          <w:kern w:val="0"/>
          <w:sz w:val="22"/>
          <w:szCs w:val="22"/>
          <w:lang w:eastAsia="en-GB"/>
          <w14:ligatures w14:val="none"/>
        </w:rPr>
        <w:t>Transport and New Development</w:t>
      </w:r>
    </w:p>
    <w:p w14:paraId="0A8A05E0" w14:textId="77777777" w:rsidR="009F684B" w:rsidRPr="001A11A6"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Core Policy 64</w:t>
      </w:r>
      <w:r w:rsidR="0056765A" w:rsidRPr="001A11A6">
        <w:rPr>
          <w:rFonts w:ascii="Arial" w:eastAsia="Times New Roman" w:hAnsi="Arial" w:cs="Arial"/>
          <w:kern w:val="0"/>
          <w:sz w:val="22"/>
          <w:szCs w:val="22"/>
          <w:lang w:eastAsia="en-GB"/>
          <w14:ligatures w14:val="none"/>
        </w:rPr>
        <w:t>:</w:t>
      </w:r>
      <w:r w:rsidR="00580F63" w:rsidRPr="001A11A6">
        <w:rPr>
          <w:rFonts w:ascii="Arial" w:eastAsia="Times New Roman" w:hAnsi="Arial" w:cs="Arial"/>
          <w:kern w:val="0"/>
          <w:sz w:val="22"/>
          <w:szCs w:val="22"/>
          <w:lang w:eastAsia="en-GB"/>
          <w14:ligatures w14:val="none"/>
        </w:rPr>
        <w:t xml:space="preserve"> </w:t>
      </w:r>
      <w:r w:rsidRPr="001A11A6">
        <w:rPr>
          <w:rFonts w:ascii="Arial" w:eastAsia="Times New Roman" w:hAnsi="Arial" w:cs="Arial"/>
          <w:kern w:val="0"/>
          <w:sz w:val="22"/>
          <w:szCs w:val="22"/>
          <w:lang w:eastAsia="en-GB"/>
          <w14:ligatures w14:val="none"/>
        </w:rPr>
        <w:t>Demand Management</w:t>
      </w:r>
    </w:p>
    <w:p w14:paraId="35264D0E"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07879911" w14:textId="0B5CCB79" w:rsidR="001A11A6" w:rsidRPr="001A11A6" w:rsidRDefault="001A11A6" w:rsidP="009C1702">
      <w:pPr>
        <w:spacing w:after="0" w:line="276" w:lineRule="auto"/>
        <w:jc w:val="both"/>
        <w:rPr>
          <w:rFonts w:ascii="Arial" w:eastAsia="Times New Roman" w:hAnsi="Arial" w:cs="Arial"/>
          <w:kern w:val="0"/>
          <w:sz w:val="22"/>
          <w:szCs w:val="22"/>
          <w:lang w:eastAsia="en-GB"/>
          <w14:ligatures w14:val="none"/>
        </w:rPr>
      </w:pPr>
      <w:r w:rsidRPr="001A11A6">
        <w:rPr>
          <w:rFonts w:ascii="Arial" w:eastAsia="Times New Roman" w:hAnsi="Arial" w:cs="Arial"/>
          <w:kern w:val="0"/>
          <w:sz w:val="22"/>
          <w:szCs w:val="22"/>
          <w:lang w:eastAsia="en-GB"/>
          <w14:ligatures w14:val="none"/>
        </w:rPr>
        <w:t>West Lavington Neighbourhood Plan</w:t>
      </w:r>
      <w:r w:rsidR="00904B1D">
        <w:rPr>
          <w:rFonts w:ascii="Arial" w:eastAsia="Times New Roman" w:hAnsi="Arial" w:cs="Arial"/>
          <w:kern w:val="0"/>
          <w:sz w:val="22"/>
          <w:szCs w:val="22"/>
          <w:lang w:eastAsia="en-GB"/>
          <w14:ligatures w14:val="none"/>
        </w:rPr>
        <w:t xml:space="preserve"> (June 2019)</w:t>
      </w:r>
    </w:p>
    <w:p w14:paraId="7A6F5361" w14:textId="77777777" w:rsidR="001A11A6" w:rsidRDefault="001A11A6" w:rsidP="009C1702">
      <w:pPr>
        <w:spacing w:after="0" w:line="276" w:lineRule="auto"/>
        <w:jc w:val="both"/>
        <w:rPr>
          <w:rFonts w:ascii="Arial" w:eastAsia="Times New Roman" w:hAnsi="Arial" w:cs="Arial"/>
          <w:color w:val="FF0000"/>
          <w:kern w:val="0"/>
          <w:sz w:val="22"/>
          <w:szCs w:val="22"/>
          <w:lang w:eastAsia="en-GB"/>
          <w14:ligatures w14:val="none"/>
        </w:rPr>
      </w:pPr>
    </w:p>
    <w:p w14:paraId="06BCDD15" w14:textId="77777777" w:rsidR="001A11A6" w:rsidRDefault="001A11A6" w:rsidP="001A11A6">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A11A6">
        <w:rPr>
          <w:rFonts w:ascii="Arial" w:eastAsia="Times New Roman" w:hAnsi="Arial" w:cs="Arial"/>
          <w:color w:val="000000" w:themeColor="text1"/>
          <w:kern w:val="0"/>
          <w:sz w:val="22"/>
          <w:szCs w:val="22"/>
          <w:u w:val="single"/>
          <w:lang w:val="en-US" w:eastAsia="en-GB"/>
          <w14:ligatures w14:val="none"/>
        </w:rPr>
        <w:t>Other material considerations:</w:t>
      </w:r>
      <w:r w:rsidRPr="001A11A6">
        <w:rPr>
          <w:rFonts w:ascii="Arial" w:eastAsia="Times New Roman" w:hAnsi="Arial" w:cs="Arial"/>
          <w:color w:val="000000" w:themeColor="text1"/>
          <w:kern w:val="0"/>
          <w:sz w:val="22"/>
          <w:szCs w:val="22"/>
          <w:u w:val="single"/>
          <w:lang w:eastAsia="en-GB"/>
          <w14:ligatures w14:val="none"/>
        </w:rPr>
        <w:t> </w:t>
      </w:r>
    </w:p>
    <w:p w14:paraId="4766B7B9" w14:textId="77777777" w:rsidR="001A11A6" w:rsidRPr="001A11A6" w:rsidRDefault="001A11A6" w:rsidP="001A11A6">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7A27CD" w14:textId="77777777" w:rsidR="001A11A6" w:rsidRPr="001A11A6" w:rsidRDefault="001A11A6" w:rsidP="001A11A6">
      <w:pPr>
        <w:numPr>
          <w:ilvl w:val="0"/>
          <w:numId w:val="29"/>
        </w:numPr>
        <w:spacing w:after="0" w:line="276" w:lineRule="auto"/>
        <w:jc w:val="both"/>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Wiltshire Design Guide.</w:t>
      </w:r>
      <w:r w:rsidRPr="001A11A6">
        <w:rPr>
          <w:rFonts w:ascii="Arial" w:eastAsia="Times New Roman" w:hAnsi="Arial" w:cs="Arial"/>
          <w:color w:val="000000" w:themeColor="text1"/>
          <w:kern w:val="0"/>
          <w:sz w:val="22"/>
          <w:szCs w:val="22"/>
          <w:lang w:eastAsia="en-GB"/>
          <w14:ligatures w14:val="none"/>
        </w:rPr>
        <w:t> </w:t>
      </w:r>
    </w:p>
    <w:p w14:paraId="6755ADA6" w14:textId="77777777" w:rsidR="001A11A6" w:rsidRPr="001A11A6" w:rsidRDefault="001A11A6" w:rsidP="001A11A6">
      <w:pPr>
        <w:numPr>
          <w:ilvl w:val="0"/>
          <w:numId w:val="30"/>
        </w:numPr>
        <w:spacing w:after="0" w:line="276" w:lineRule="auto"/>
        <w:jc w:val="both"/>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National Planning Policy Framework, December 2024.</w:t>
      </w:r>
      <w:r w:rsidRPr="001A11A6">
        <w:rPr>
          <w:rFonts w:ascii="Arial" w:eastAsia="Times New Roman" w:hAnsi="Arial" w:cs="Arial"/>
          <w:color w:val="000000" w:themeColor="text1"/>
          <w:kern w:val="0"/>
          <w:sz w:val="22"/>
          <w:szCs w:val="22"/>
          <w:lang w:eastAsia="en-GB"/>
          <w14:ligatures w14:val="none"/>
        </w:rPr>
        <w:t> </w:t>
      </w:r>
    </w:p>
    <w:p w14:paraId="5CF3B2C3" w14:textId="77777777" w:rsidR="001A11A6" w:rsidRPr="001A11A6" w:rsidRDefault="001A11A6" w:rsidP="001A11A6">
      <w:pPr>
        <w:numPr>
          <w:ilvl w:val="0"/>
          <w:numId w:val="31"/>
        </w:numPr>
        <w:spacing w:after="0" w:line="276" w:lineRule="auto"/>
        <w:jc w:val="both"/>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National Design Guide.</w:t>
      </w:r>
      <w:r w:rsidRPr="001A11A6">
        <w:rPr>
          <w:rFonts w:ascii="Arial" w:eastAsia="Times New Roman" w:hAnsi="Arial" w:cs="Arial"/>
          <w:color w:val="000000" w:themeColor="text1"/>
          <w:kern w:val="0"/>
          <w:sz w:val="22"/>
          <w:szCs w:val="22"/>
          <w:lang w:eastAsia="en-GB"/>
          <w14:ligatures w14:val="none"/>
        </w:rPr>
        <w:t> </w:t>
      </w:r>
    </w:p>
    <w:p w14:paraId="0C1DCD8B" w14:textId="77777777" w:rsidR="001A11A6" w:rsidRPr="001A11A6" w:rsidRDefault="001A11A6" w:rsidP="001A11A6">
      <w:pPr>
        <w:numPr>
          <w:ilvl w:val="0"/>
          <w:numId w:val="32"/>
        </w:numPr>
        <w:spacing w:after="0" w:line="276" w:lineRule="auto"/>
        <w:jc w:val="both"/>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Planning Practice Guidance.</w:t>
      </w:r>
      <w:r w:rsidRPr="001A11A6">
        <w:rPr>
          <w:rFonts w:ascii="Arial" w:eastAsia="Times New Roman" w:hAnsi="Arial" w:cs="Arial"/>
          <w:color w:val="000000" w:themeColor="text1"/>
          <w:kern w:val="0"/>
          <w:sz w:val="22"/>
          <w:szCs w:val="22"/>
          <w:lang w:eastAsia="en-GB"/>
          <w14:ligatures w14:val="none"/>
        </w:rPr>
        <w:t> </w:t>
      </w:r>
    </w:p>
    <w:p w14:paraId="6E62F3C8" w14:textId="77777777" w:rsidR="001A11A6" w:rsidRPr="001A11A6" w:rsidRDefault="001A11A6" w:rsidP="001A11A6">
      <w:pPr>
        <w:numPr>
          <w:ilvl w:val="0"/>
          <w:numId w:val="33"/>
        </w:numPr>
        <w:spacing w:after="0" w:line="276" w:lineRule="auto"/>
        <w:jc w:val="both"/>
        <w:rPr>
          <w:rFonts w:ascii="Arial" w:eastAsia="Times New Roman" w:hAnsi="Arial" w:cs="Arial"/>
          <w:color w:val="000000" w:themeColor="text1"/>
          <w:kern w:val="0"/>
          <w:sz w:val="22"/>
          <w:szCs w:val="22"/>
          <w:lang w:eastAsia="en-GB"/>
          <w14:ligatures w14:val="none"/>
        </w:rPr>
      </w:pPr>
      <w:r w:rsidRPr="001A11A6">
        <w:rPr>
          <w:rFonts w:ascii="Arial" w:eastAsia="Times New Roman" w:hAnsi="Arial" w:cs="Arial"/>
          <w:color w:val="000000" w:themeColor="text1"/>
          <w:kern w:val="0"/>
          <w:sz w:val="22"/>
          <w:szCs w:val="22"/>
          <w:lang w:val="en-US" w:eastAsia="en-GB"/>
          <w14:ligatures w14:val="none"/>
        </w:rPr>
        <w:t>Planning (Listed Buildings and Conservation Areas) Act 1990, section 72.</w:t>
      </w:r>
      <w:r w:rsidRPr="001A11A6">
        <w:rPr>
          <w:rFonts w:ascii="Arial" w:eastAsia="Times New Roman" w:hAnsi="Arial" w:cs="Arial"/>
          <w:color w:val="000000" w:themeColor="text1"/>
          <w:kern w:val="0"/>
          <w:sz w:val="22"/>
          <w:szCs w:val="22"/>
          <w:lang w:eastAsia="en-GB"/>
          <w14:ligatures w14:val="none"/>
        </w:rPr>
        <w:t> </w:t>
      </w:r>
    </w:p>
    <w:p w14:paraId="10B22FD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EE1325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0548C5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498D1AE" w14:textId="77777777" w:rsidR="00904B1D" w:rsidRDefault="00904B1D" w:rsidP="00904B1D">
      <w:pPr>
        <w:spacing w:after="0" w:line="276" w:lineRule="auto"/>
        <w:jc w:val="both"/>
        <w:rPr>
          <w:rFonts w:ascii="Arial" w:eastAsia="Times New Roman" w:hAnsi="Arial" w:cs="Arial"/>
          <w:kern w:val="0"/>
          <w:sz w:val="22"/>
          <w:szCs w:val="22"/>
          <w:u w:val="single"/>
          <w:lang w:eastAsia="en-GB"/>
          <w14:ligatures w14:val="none"/>
        </w:rPr>
      </w:pPr>
      <w:r w:rsidRPr="00904B1D">
        <w:rPr>
          <w:rFonts w:ascii="Arial" w:eastAsia="Times New Roman" w:hAnsi="Arial" w:cs="Arial"/>
          <w:kern w:val="0"/>
          <w:sz w:val="22"/>
          <w:szCs w:val="22"/>
          <w:u w:val="single"/>
          <w:lang w:val="en-US" w:eastAsia="en-GB"/>
          <w14:ligatures w14:val="none"/>
        </w:rPr>
        <w:t>West Lavington Parish Council:</w:t>
      </w:r>
      <w:r w:rsidRPr="00904B1D">
        <w:rPr>
          <w:rFonts w:ascii="Arial" w:eastAsia="Times New Roman" w:hAnsi="Arial" w:cs="Arial"/>
          <w:kern w:val="0"/>
          <w:sz w:val="22"/>
          <w:szCs w:val="22"/>
          <w:lang w:val="en-US" w:eastAsia="en-GB"/>
          <w14:ligatures w14:val="none"/>
        </w:rPr>
        <w:t xml:space="preserve"> Following the submission of amended documentation, the Parish Council raised no objection and expressed support for the application, referring to the benefit of the annexe in supporting the applicant’s disabled young adult son to gain semi-independent living skills while remaining within parental care. The Parish Council also stated its understanding that no additional parking would be required.</w:t>
      </w:r>
      <w:r w:rsidRPr="00904B1D">
        <w:rPr>
          <w:rFonts w:ascii="Arial" w:eastAsia="Times New Roman" w:hAnsi="Arial" w:cs="Arial"/>
          <w:kern w:val="0"/>
          <w:sz w:val="22"/>
          <w:szCs w:val="22"/>
          <w:lang w:eastAsia="en-GB"/>
          <w14:ligatures w14:val="none"/>
        </w:rPr>
        <w:t> </w:t>
      </w:r>
    </w:p>
    <w:p w14:paraId="7063B4E7" w14:textId="77777777" w:rsidR="00904B1D" w:rsidRPr="00904B1D" w:rsidRDefault="00904B1D" w:rsidP="00904B1D">
      <w:pPr>
        <w:spacing w:after="0" w:line="276" w:lineRule="auto"/>
        <w:jc w:val="both"/>
        <w:rPr>
          <w:rFonts w:ascii="Arial" w:eastAsia="Times New Roman" w:hAnsi="Arial" w:cs="Arial"/>
          <w:kern w:val="0"/>
          <w:sz w:val="22"/>
          <w:szCs w:val="22"/>
          <w:u w:val="single"/>
          <w:lang w:eastAsia="en-GB"/>
          <w14:ligatures w14:val="none"/>
        </w:rPr>
      </w:pPr>
    </w:p>
    <w:p w14:paraId="15B0D45C" w14:textId="77777777" w:rsidR="00904B1D" w:rsidRDefault="00904B1D" w:rsidP="00904B1D">
      <w:pPr>
        <w:spacing w:after="0" w:line="276" w:lineRule="auto"/>
        <w:jc w:val="both"/>
        <w:rPr>
          <w:rFonts w:ascii="Arial" w:eastAsia="Times New Roman" w:hAnsi="Arial" w:cs="Arial"/>
          <w:kern w:val="0"/>
          <w:sz w:val="22"/>
          <w:szCs w:val="22"/>
          <w:u w:val="single"/>
          <w:lang w:eastAsia="en-GB"/>
          <w14:ligatures w14:val="none"/>
        </w:rPr>
      </w:pPr>
      <w:r w:rsidRPr="00904B1D">
        <w:rPr>
          <w:rFonts w:ascii="Arial" w:eastAsia="Times New Roman" w:hAnsi="Arial" w:cs="Arial"/>
          <w:kern w:val="0"/>
          <w:sz w:val="22"/>
          <w:szCs w:val="22"/>
          <w:u w:val="single"/>
          <w:lang w:val="en-US" w:eastAsia="en-GB"/>
          <w14:ligatures w14:val="none"/>
        </w:rPr>
        <w:t>Wiltshire Council Highways:</w:t>
      </w:r>
      <w:r w:rsidRPr="00904B1D">
        <w:rPr>
          <w:rFonts w:ascii="Arial" w:eastAsia="Times New Roman" w:hAnsi="Arial" w:cs="Arial"/>
          <w:kern w:val="0"/>
          <w:sz w:val="22"/>
          <w:szCs w:val="22"/>
          <w:lang w:val="en-US" w:eastAsia="en-GB"/>
          <w14:ligatures w14:val="none"/>
        </w:rPr>
        <w:t xml:space="preserve"> No objection. The Highways Officer noted that there is no on-site parking associated with No. 49 White Street and therefore no increased parking demand or highway network use issue arising from the annexe. The Officer also noted existing informal vehicular movements/access arrangements and advised that rights of way should be consulted because access is via bridleway WLAV34.</w:t>
      </w:r>
      <w:r w:rsidRPr="00904B1D">
        <w:rPr>
          <w:rFonts w:ascii="Arial" w:eastAsia="Times New Roman" w:hAnsi="Arial" w:cs="Arial"/>
          <w:kern w:val="0"/>
          <w:sz w:val="22"/>
          <w:szCs w:val="22"/>
          <w:lang w:eastAsia="en-GB"/>
          <w14:ligatures w14:val="none"/>
        </w:rPr>
        <w:t> </w:t>
      </w:r>
    </w:p>
    <w:p w14:paraId="2FB6D6C6" w14:textId="77777777" w:rsidR="00904B1D" w:rsidRPr="00904B1D" w:rsidRDefault="00904B1D" w:rsidP="00904B1D">
      <w:pPr>
        <w:spacing w:after="0" w:line="276" w:lineRule="auto"/>
        <w:jc w:val="both"/>
        <w:rPr>
          <w:rFonts w:ascii="Arial" w:eastAsia="Times New Roman" w:hAnsi="Arial" w:cs="Arial"/>
          <w:kern w:val="0"/>
          <w:sz w:val="22"/>
          <w:szCs w:val="22"/>
          <w:u w:val="single"/>
          <w:lang w:eastAsia="en-GB"/>
          <w14:ligatures w14:val="none"/>
        </w:rPr>
      </w:pPr>
    </w:p>
    <w:p w14:paraId="3BCF8039" w14:textId="77777777" w:rsidR="00904B1D" w:rsidRPr="00904B1D" w:rsidRDefault="00904B1D" w:rsidP="00904B1D">
      <w:pPr>
        <w:spacing w:after="0" w:line="276" w:lineRule="auto"/>
        <w:jc w:val="both"/>
        <w:rPr>
          <w:rFonts w:ascii="Arial" w:eastAsia="Times New Roman" w:hAnsi="Arial" w:cs="Arial"/>
          <w:kern w:val="0"/>
          <w:sz w:val="22"/>
          <w:szCs w:val="22"/>
          <w:u w:val="single"/>
          <w:lang w:eastAsia="en-GB"/>
          <w14:ligatures w14:val="none"/>
        </w:rPr>
      </w:pPr>
      <w:r w:rsidRPr="00904B1D">
        <w:rPr>
          <w:rFonts w:ascii="Arial" w:eastAsia="Times New Roman" w:hAnsi="Arial" w:cs="Arial"/>
          <w:kern w:val="0"/>
          <w:sz w:val="22"/>
          <w:szCs w:val="22"/>
          <w:u w:val="single"/>
          <w:lang w:val="en-US" w:eastAsia="en-GB"/>
          <w14:ligatures w14:val="none"/>
        </w:rPr>
        <w:t>Wiltshire Council Public Rights of Way:</w:t>
      </w:r>
      <w:r w:rsidRPr="00904B1D">
        <w:rPr>
          <w:rFonts w:ascii="Arial" w:eastAsia="Times New Roman" w:hAnsi="Arial" w:cs="Arial"/>
          <w:kern w:val="0"/>
          <w:sz w:val="22"/>
          <w:szCs w:val="22"/>
          <w:lang w:val="en-US" w:eastAsia="en-GB"/>
          <w14:ligatures w14:val="none"/>
        </w:rPr>
        <w:t xml:space="preserve"> No objection to construction of the log cabin. The Rights of Way Officer advised that there is no recorded vehicular public right of way over </w:t>
      </w:r>
      <w:r w:rsidRPr="00904B1D">
        <w:rPr>
          <w:rFonts w:ascii="Arial" w:eastAsia="Times New Roman" w:hAnsi="Arial" w:cs="Arial"/>
          <w:kern w:val="0"/>
          <w:sz w:val="22"/>
          <w:szCs w:val="22"/>
          <w:lang w:val="en-US" w:eastAsia="en-GB"/>
          <w14:ligatures w14:val="none"/>
        </w:rPr>
        <w:lastRenderedPageBreak/>
        <w:t xml:space="preserve">bridleway WLAV34 and that the applicant would need to ensure they have a private vehicular right of access to drive along it. The Officer objected to the creation of proposed parking spaces on the </w:t>
      </w:r>
      <w:proofErr w:type="gramStart"/>
      <w:r w:rsidRPr="00904B1D">
        <w:rPr>
          <w:rFonts w:ascii="Arial" w:eastAsia="Times New Roman" w:hAnsi="Arial" w:cs="Arial"/>
          <w:kern w:val="0"/>
          <w:sz w:val="22"/>
          <w:szCs w:val="22"/>
          <w:lang w:val="en-US" w:eastAsia="en-GB"/>
          <w14:ligatures w14:val="none"/>
        </w:rPr>
        <w:t>bridleway verge</w:t>
      </w:r>
      <w:proofErr w:type="gramEnd"/>
      <w:r w:rsidRPr="00904B1D">
        <w:rPr>
          <w:rFonts w:ascii="Arial" w:eastAsia="Times New Roman" w:hAnsi="Arial" w:cs="Arial"/>
          <w:kern w:val="0"/>
          <w:sz w:val="22"/>
          <w:szCs w:val="22"/>
          <w:lang w:val="en-US" w:eastAsia="en-GB"/>
          <w14:ligatures w14:val="none"/>
        </w:rPr>
        <w:t xml:space="preserve"> because the verge forms part of the bridleway, is not within the property title, and the applicant has no authority to disturb the highway surface or create exclusive parking spaces on it.</w:t>
      </w:r>
      <w:r w:rsidRPr="00904B1D">
        <w:rPr>
          <w:rFonts w:ascii="Arial" w:eastAsia="Times New Roman" w:hAnsi="Arial" w:cs="Arial"/>
          <w:kern w:val="0"/>
          <w:sz w:val="22"/>
          <w:szCs w:val="22"/>
          <w:lang w:eastAsia="en-GB"/>
          <w14:ligatures w14:val="none"/>
        </w:rPr>
        <w:t> </w:t>
      </w:r>
    </w:p>
    <w:p w14:paraId="58E39DFD"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F30CFB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E9EAE3F"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88F9B4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3D5D61" w14:textId="4F44B10C" w:rsidR="008D7802" w:rsidRDefault="00904B1D" w:rsidP="009C1702">
      <w:pPr>
        <w:spacing w:after="0" w:line="276" w:lineRule="auto"/>
        <w:jc w:val="both"/>
        <w:rPr>
          <w:rFonts w:ascii="Arial" w:eastAsia="Times New Roman" w:hAnsi="Arial" w:cs="Arial"/>
          <w:b/>
          <w:bCs/>
          <w:color w:val="FF0000"/>
          <w:kern w:val="0"/>
          <w:sz w:val="22"/>
          <w:szCs w:val="22"/>
          <w:lang w:eastAsia="en-GB"/>
          <w14:ligatures w14:val="none"/>
        </w:rPr>
      </w:pPr>
      <w:r w:rsidRPr="00904B1D">
        <w:rPr>
          <w:rFonts w:ascii="Arial" w:eastAsia="Times New Roman" w:hAnsi="Arial" w:cs="Arial"/>
          <w:color w:val="000000" w:themeColor="text1"/>
          <w:kern w:val="0"/>
          <w:sz w:val="22"/>
          <w:szCs w:val="22"/>
          <w:lang w:val="en-US" w:eastAsia="en-GB"/>
          <w14:ligatures w14:val="none"/>
        </w:rPr>
        <w:t xml:space="preserve">Two local representations of support were received. The representations supported the proposal on the basis that it would assist the applicant’s disabled son by providing an opportunity for semi-independent living while remaining close to his parent and support network. No objections from </w:t>
      </w:r>
      <w:proofErr w:type="gramStart"/>
      <w:r w:rsidRPr="00904B1D">
        <w:rPr>
          <w:rFonts w:ascii="Arial" w:eastAsia="Times New Roman" w:hAnsi="Arial" w:cs="Arial"/>
          <w:color w:val="000000" w:themeColor="text1"/>
          <w:kern w:val="0"/>
          <w:sz w:val="22"/>
          <w:szCs w:val="22"/>
          <w:lang w:val="en-US" w:eastAsia="en-GB"/>
          <w14:ligatures w14:val="none"/>
        </w:rPr>
        <w:t>local residents</w:t>
      </w:r>
      <w:proofErr w:type="gramEnd"/>
      <w:r w:rsidRPr="00904B1D">
        <w:rPr>
          <w:rFonts w:ascii="Arial" w:eastAsia="Times New Roman" w:hAnsi="Arial" w:cs="Arial"/>
          <w:color w:val="000000" w:themeColor="text1"/>
          <w:kern w:val="0"/>
          <w:sz w:val="22"/>
          <w:szCs w:val="22"/>
          <w:lang w:val="en-US" w:eastAsia="en-GB"/>
          <w14:ligatures w14:val="none"/>
        </w:rPr>
        <w:t xml:space="preserve"> are reported in this assessment.</w:t>
      </w:r>
      <w:r w:rsidRPr="00904B1D">
        <w:rPr>
          <w:rFonts w:ascii="Arial" w:eastAsia="Times New Roman" w:hAnsi="Arial" w:cs="Arial"/>
          <w:color w:val="000000" w:themeColor="text1"/>
          <w:kern w:val="0"/>
          <w:sz w:val="22"/>
          <w:szCs w:val="22"/>
          <w:lang w:eastAsia="en-GB"/>
          <w14:ligatures w14:val="none"/>
        </w:rPr>
        <w:t> </w:t>
      </w:r>
    </w:p>
    <w:p w14:paraId="2934157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E27B3F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431019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7171AC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C6A459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FC85C6"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9A4E78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53F85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E6B25E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F9AECC2" w14:textId="77777777" w:rsidR="00110335" w:rsidRDefault="00110335" w:rsidP="00110335">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p>
    <w:p w14:paraId="0579AB64" w14:textId="77777777" w:rsidR="00A93E7A" w:rsidRPr="00A93E7A" w:rsidRDefault="00A93E7A" w:rsidP="00110335">
      <w:pPr>
        <w:spacing w:after="0" w:line="276" w:lineRule="auto"/>
        <w:jc w:val="both"/>
        <w:rPr>
          <w:rFonts w:ascii="Arial" w:eastAsia="Times New Roman" w:hAnsi="Arial" w:cs="Arial"/>
          <w:i/>
          <w:iCs/>
          <w:color w:val="000000" w:themeColor="text1"/>
          <w:kern w:val="0"/>
          <w:sz w:val="22"/>
          <w:szCs w:val="22"/>
          <w:lang w:eastAsia="en-GB"/>
          <w14:ligatures w14:val="none"/>
        </w:rPr>
      </w:pPr>
      <w:r w:rsidRPr="00A93E7A">
        <w:rPr>
          <w:rFonts w:ascii="Arial" w:eastAsia="Times New Roman" w:hAnsi="Arial" w:cs="Arial"/>
          <w:i/>
          <w:iCs/>
          <w:color w:val="000000" w:themeColor="text1"/>
          <w:kern w:val="0"/>
          <w:sz w:val="22"/>
          <w:szCs w:val="22"/>
          <w:lang w:eastAsia="en-GB"/>
          <w14:ligatures w14:val="none"/>
        </w:rPr>
        <w:t>Policy Context</w:t>
      </w:r>
    </w:p>
    <w:p w14:paraId="27B0D7CC"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465376FD"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0B08A580"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Th</w:t>
      </w:r>
      <w:r w:rsidR="00953325">
        <w:rPr>
          <w:rFonts w:ascii="Arial" w:eastAsia="Times New Roman" w:hAnsi="Arial" w:cs="Arial"/>
          <w:color w:val="000000" w:themeColor="text1"/>
          <w:kern w:val="0"/>
          <w:sz w:val="22"/>
          <w:szCs w:val="22"/>
          <w:lang w:eastAsia="en-GB"/>
          <w14:ligatures w14:val="none"/>
        </w:rPr>
        <w:t xml:space="preserve">is means </w:t>
      </w:r>
      <w:r w:rsidRPr="00247590">
        <w:rPr>
          <w:rFonts w:ascii="Arial" w:eastAsia="Times New Roman" w:hAnsi="Arial" w:cs="Arial"/>
          <w:color w:val="000000" w:themeColor="text1"/>
          <w:kern w:val="0"/>
          <w:sz w:val="22"/>
          <w:szCs w:val="22"/>
          <w:lang w:eastAsia="en-GB"/>
          <w14:ligatures w14:val="none"/>
        </w:rPr>
        <w:t>consider</w:t>
      </w:r>
      <w:r w:rsidR="00953325">
        <w:rPr>
          <w:rFonts w:ascii="Arial" w:eastAsia="Times New Roman" w:hAnsi="Arial" w:cs="Arial"/>
          <w:color w:val="000000" w:themeColor="text1"/>
          <w:kern w:val="0"/>
          <w:sz w:val="22"/>
          <w:szCs w:val="22"/>
          <w:lang w:eastAsia="en-GB"/>
          <w14:ligatures w14:val="none"/>
        </w:rPr>
        <w:t>ing</w:t>
      </w:r>
      <w:r w:rsidRPr="00247590">
        <w:rPr>
          <w:rFonts w:ascii="Arial" w:eastAsia="Times New Roman" w:hAnsi="Arial" w:cs="Arial"/>
          <w:color w:val="000000" w:themeColor="text1"/>
          <w:kern w:val="0"/>
          <w:sz w:val="22"/>
          <w:szCs w:val="22"/>
          <w:lang w:eastAsia="en-GB"/>
          <w14:ligatures w14:val="none"/>
        </w:rPr>
        <w:t>:</w:t>
      </w:r>
    </w:p>
    <w:p w14:paraId="65C1CDF4" w14:textId="77777777" w:rsidR="00247590" w:rsidRPr="00247590" w:rsidRDefault="00247590" w:rsidP="0024759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5706FB28" w14:textId="77777777" w:rsidR="00247590" w:rsidRPr="00247590" w:rsidRDefault="00247590" w:rsidP="00247590">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w:t>
      </w:r>
      <w:r w:rsidR="00900A5B">
        <w:rPr>
          <w:rFonts w:ascii="Arial" w:eastAsia="Times New Roman" w:hAnsi="Arial" w:cs="Arial"/>
          <w:color w:val="000000" w:themeColor="text1"/>
          <w:kern w:val="0"/>
          <w:sz w:val="22"/>
          <w:szCs w:val="22"/>
          <w:lang w:eastAsia="en-GB"/>
          <w14:ligatures w14:val="none"/>
        </w:rPr>
        <w:t xml:space="preserve"> such as provision of care</w:t>
      </w:r>
      <w:r w:rsidRPr="00247590">
        <w:rPr>
          <w:rFonts w:ascii="Arial" w:eastAsia="Times New Roman" w:hAnsi="Arial" w:cs="Arial"/>
          <w:color w:val="000000" w:themeColor="text1"/>
          <w:kern w:val="0"/>
          <w:sz w:val="22"/>
          <w:szCs w:val="22"/>
          <w:lang w:eastAsia="en-GB"/>
          <w14:ligatures w14:val="none"/>
        </w:rPr>
        <w:t>.</w:t>
      </w:r>
    </w:p>
    <w:p w14:paraId="41DE0E7D" w14:textId="77777777" w:rsidR="00247590" w:rsidRPr="00247590" w:rsidRDefault="00247590" w:rsidP="00247590">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7EDEACE5"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3F9BC514" w14:textId="77777777" w:rsidR="00247590" w:rsidRPr="00247590"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p>
    <w:p w14:paraId="55E45BB8" w14:textId="77777777" w:rsidR="000F68CC" w:rsidRDefault="00247590" w:rsidP="00247590">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lastRenderedPageBreak/>
        <w:t>Where the proposed accommodation does not demonstrate a clear physical or functional relationship with the host dwelling, it may constitute a new dwelling</w:t>
      </w:r>
      <w:r w:rsidR="00993FDE">
        <w:rPr>
          <w:rFonts w:ascii="Arial" w:eastAsia="Times New Roman" w:hAnsi="Arial" w:cs="Arial"/>
          <w:color w:val="000000" w:themeColor="text1"/>
          <w:kern w:val="0"/>
          <w:sz w:val="22"/>
          <w:szCs w:val="22"/>
          <w:lang w:eastAsia="en-GB"/>
          <w14:ligatures w14:val="none"/>
        </w:rPr>
        <w:t xml:space="preserve"> and therefore not in accordance with the terms of what has been applied for </w:t>
      </w:r>
      <w:r w:rsidR="00A11383">
        <w:rPr>
          <w:rFonts w:ascii="Arial" w:eastAsia="Times New Roman" w:hAnsi="Arial" w:cs="Arial"/>
          <w:color w:val="000000" w:themeColor="text1"/>
          <w:kern w:val="0"/>
          <w:sz w:val="22"/>
          <w:szCs w:val="22"/>
          <w:lang w:eastAsia="en-GB"/>
          <w14:ligatures w14:val="none"/>
        </w:rPr>
        <w:t>i.e., ancillary accommodation</w:t>
      </w:r>
      <w:r w:rsidRPr="00247590">
        <w:rPr>
          <w:rFonts w:ascii="Arial" w:eastAsia="Times New Roman" w:hAnsi="Arial" w:cs="Arial"/>
          <w:color w:val="000000" w:themeColor="text1"/>
          <w:kern w:val="0"/>
          <w:sz w:val="22"/>
          <w:szCs w:val="22"/>
          <w:lang w:eastAsia="en-GB"/>
          <w14:ligatures w14:val="none"/>
        </w:rPr>
        <w:t xml:space="preserve">. </w:t>
      </w:r>
    </w:p>
    <w:p w14:paraId="64D76010" w14:textId="77777777" w:rsidR="006741DE" w:rsidRDefault="006741DE" w:rsidP="00141A98">
      <w:pPr>
        <w:spacing w:after="0" w:line="276" w:lineRule="auto"/>
        <w:jc w:val="both"/>
        <w:rPr>
          <w:rFonts w:ascii="Arial" w:eastAsia="Times New Roman" w:hAnsi="Arial" w:cs="Arial"/>
          <w:color w:val="000000" w:themeColor="text1"/>
          <w:kern w:val="0"/>
          <w:sz w:val="22"/>
          <w:szCs w:val="22"/>
          <w:lang w:eastAsia="en-GB"/>
          <w14:ligatures w14:val="none"/>
        </w:rPr>
      </w:pPr>
    </w:p>
    <w:p w14:paraId="358D3F33" w14:textId="77777777" w:rsidR="006936AD" w:rsidRDefault="006936AD" w:rsidP="00141A98">
      <w:pPr>
        <w:spacing w:after="0" w:line="276" w:lineRule="auto"/>
        <w:jc w:val="both"/>
        <w:rPr>
          <w:rFonts w:ascii="Arial" w:eastAsia="Times New Roman" w:hAnsi="Arial" w:cs="Arial"/>
          <w:i/>
          <w:iCs/>
          <w:color w:val="000000" w:themeColor="text1"/>
          <w:kern w:val="0"/>
          <w:sz w:val="22"/>
          <w:szCs w:val="22"/>
          <w:lang w:eastAsia="en-GB"/>
          <w14:ligatures w14:val="none"/>
        </w:rPr>
      </w:pPr>
      <w:r w:rsidRPr="006936AD">
        <w:rPr>
          <w:rFonts w:ascii="Arial" w:eastAsia="Times New Roman" w:hAnsi="Arial" w:cs="Arial"/>
          <w:i/>
          <w:iCs/>
          <w:color w:val="000000" w:themeColor="text1"/>
          <w:kern w:val="0"/>
          <w:sz w:val="22"/>
          <w:szCs w:val="22"/>
          <w:lang w:eastAsia="en-GB"/>
          <w14:ligatures w14:val="none"/>
        </w:rPr>
        <w:t>Assessment</w:t>
      </w:r>
    </w:p>
    <w:p w14:paraId="7B9C904F" w14:textId="1C1299B0" w:rsidR="00904B1D" w:rsidRDefault="00904B1D" w:rsidP="00904B1D">
      <w:pPr>
        <w:spacing w:after="0" w:line="276" w:lineRule="auto"/>
        <w:jc w:val="both"/>
        <w:rPr>
          <w:rFonts w:ascii="Arial" w:eastAsia="Times New Roman" w:hAnsi="Arial" w:cs="Arial"/>
          <w:kern w:val="0"/>
          <w:sz w:val="22"/>
          <w:szCs w:val="22"/>
          <w:lang w:eastAsia="en-GB"/>
          <w14:ligatures w14:val="none"/>
        </w:rPr>
      </w:pPr>
      <w:r w:rsidRPr="00904B1D">
        <w:rPr>
          <w:rFonts w:ascii="Arial" w:eastAsia="Times New Roman" w:hAnsi="Arial" w:cs="Arial"/>
          <w:kern w:val="0"/>
          <w:sz w:val="22"/>
          <w:szCs w:val="22"/>
          <w:lang w:val="en-US" w:eastAsia="en-GB"/>
          <w14:ligatures w14:val="none"/>
        </w:rPr>
        <w:t>The key issue is whether the proposed building would function as annexed accommodation ancillary to the host dwelling, or whether it would amount to a separate residential unit. The proposal is for a detached cabin in the rear garden of the host dwelling. Although the layout includes self-contained living elements, the submitted information explains that the intended occupant is the applicant’s disabled adult son and that the purpose of the accommodation is to provide supported independence while remaining within the family household</w:t>
      </w:r>
      <w:r w:rsidR="005D3A79">
        <w:rPr>
          <w:rFonts w:ascii="Arial" w:eastAsia="Times New Roman" w:hAnsi="Arial" w:cs="Arial"/>
          <w:kern w:val="0"/>
          <w:sz w:val="22"/>
          <w:szCs w:val="22"/>
          <w:lang w:val="en-US" w:eastAsia="en-GB"/>
          <w14:ligatures w14:val="none"/>
        </w:rPr>
        <w:t xml:space="preserve"> i.e., it remains functionally linked. </w:t>
      </w:r>
      <w:r w:rsidR="005D3A79" w:rsidRPr="00904B1D">
        <w:rPr>
          <w:rFonts w:ascii="Arial" w:eastAsia="Times New Roman" w:hAnsi="Arial" w:cs="Arial"/>
          <w:kern w:val="0"/>
          <w:sz w:val="22"/>
          <w:szCs w:val="22"/>
          <w:lang w:eastAsia="en-GB"/>
          <w14:ligatures w14:val="none"/>
        </w:rPr>
        <w:t> </w:t>
      </w:r>
    </w:p>
    <w:p w14:paraId="5683AE2E" w14:textId="77777777" w:rsidR="00904B1D" w:rsidRPr="00904B1D" w:rsidRDefault="00904B1D" w:rsidP="00904B1D">
      <w:pPr>
        <w:spacing w:after="0" w:line="276" w:lineRule="auto"/>
        <w:jc w:val="both"/>
        <w:rPr>
          <w:rFonts w:ascii="Arial" w:eastAsia="Times New Roman" w:hAnsi="Arial" w:cs="Arial"/>
          <w:kern w:val="0"/>
          <w:sz w:val="22"/>
          <w:szCs w:val="22"/>
          <w:lang w:eastAsia="en-GB"/>
          <w14:ligatures w14:val="none"/>
        </w:rPr>
      </w:pPr>
    </w:p>
    <w:p w14:paraId="40593031" w14:textId="77777777" w:rsidR="00904B1D" w:rsidRDefault="00904B1D" w:rsidP="00904B1D">
      <w:pPr>
        <w:spacing w:after="0" w:line="276" w:lineRule="auto"/>
        <w:jc w:val="both"/>
        <w:rPr>
          <w:rFonts w:ascii="Arial" w:eastAsia="Times New Roman" w:hAnsi="Arial" w:cs="Arial"/>
          <w:kern w:val="0"/>
          <w:sz w:val="22"/>
          <w:szCs w:val="22"/>
          <w:lang w:eastAsia="en-GB"/>
          <w14:ligatures w14:val="none"/>
        </w:rPr>
      </w:pPr>
      <w:r w:rsidRPr="00904B1D">
        <w:rPr>
          <w:rFonts w:ascii="Arial" w:eastAsia="Times New Roman" w:hAnsi="Arial" w:cs="Arial"/>
          <w:kern w:val="0"/>
          <w:sz w:val="22"/>
          <w:szCs w:val="22"/>
          <w:lang w:val="en-US" w:eastAsia="en-GB"/>
          <w14:ligatures w14:val="none"/>
        </w:rPr>
        <w:t>The applicant’s supporting information explains that the annexe would allow her son to build confidence and independence over time, while remaining close to household support. The Wiltshire Council Disabilities Team has also provided support for the proposal, explaining that the intended occupant is supported by the Children and Young People’s Disabilities Team, is reliant on parental support for day-to-day needs, and would benefit from a safe, supported space in which to develop independence as he moves into adult life.</w:t>
      </w:r>
      <w:r w:rsidRPr="00904B1D">
        <w:rPr>
          <w:rFonts w:ascii="Arial" w:eastAsia="Times New Roman" w:hAnsi="Arial" w:cs="Arial"/>
          <w:kern w:val="0"/>
          <w:sz w:val="22"/>
          <w:szCs w:val="22"/>
          <w:lang w:eastAsia="en-GB"/>
          <w14:ligatures w14:val="none"/>
        </w:rPr>
        <w:t> </w:t>
      </w:r>
    </w:p>
    <w:p w14:paraId="5963B3FA" w14:textId="77777777" w:rsidR="00904B1D" w:rsidRPr="00904B1D" w:rsidRDefault="00904B1D" w:rsidP="00904B1D">
      <w:pPr>
        <w:spacing w:after="0" w:line="276" w:lineRule="auto"/>
        <w:jc w:val="both"/>
        <w:rPr>
          <w:rFonts w:ascii="Arial" w:eastAsia="Times New Roman" w:hAnsi="Arial" w:cs="Arial"/>
          <w:kern w:val="0"/>
          <w:sz w:val="22"/>
          <w:szCs w:val="22"/>
          <w:lang w:eastAsia="en-GB"/>
          <w14:ligatures w14:val="none"/>
        </w:rPr>
      </w:pPr>
    </w:p>
    <w:p w14:paraId="389AADA1" w14:textId="77777777" w:rsidR="00904B1D" w:rsidRPr="00904B1D" w:rsidRDefault="00904B1D" w:rsidP="00904B1D">
      <w:pPr>
        <w:spacing w:after="0" w:line="276" w:lineRule="auto"/>
        <w:jc w:val="both"/>
        <w:rPr>
          <w:rFonts w:ascii="Arial" w:eastAsia="Times New Roman" w:hAnsi="Arial" w:cs="Arial"/>
          <w:kern w:val="0"/>
          <w:sz w:val="22"/>
          <w:szCs w:val="22"/>
          <w:lang w:eastAsia="en-GB"/>
          <w14:ligatures w14:val="none"/>
        </w:rPr>
      </w:pPr>
      <w:r w:rsidRPr="00904B1D">
        <w:rPr>
          <w:rFonts w:ascii="Arial" w:eastAsia="Times New Roman" w:hAnsi="Arial" w:cs="Arial"/>
          <w:kern w:val="0"/>
          <w:sz w:val="22"/>
          <w:szCs w:val="22"/>
          <w:lang w:val="en-US" w:eastAsia="en-GB"/>
          <w14:ligatures w14:val="none"/>
        </w:rPr>
        <w:t xml:space="preserve">The building would be located within the rear garden of the host dwelling and would share the existing domestic access arrangements and garden context. It would not be acceptable for the unit to be occupied as a separate dwelling, particularly having regard to its relationship with the host dwelling and the access/parking context. However, these matters can be controlled by </w:t>
      </w:r>
      <w:proofErr w:type="gramStart"/>
      <w:r w:rsidRPr="00904B1D">
        <w:rPr>
          <w:rFonts w:ascii="Arial" w:eastAsia="Times New Roman" w:hAnsi="Arial" w:cs="Arial"/>
          <w:kern w:val="0"/>
          <w:sz w:val="22"/>
          <w:szCs w:val="22"/>
          <w:lang w:val="en-US" w:eastAsia="en-GB"/>
          <w14:ligatures w14:val="none"/>
        </w:rPr>
        <w:t>condition</w:t>
      </w:r>
      <w:proofErr w:type="gramEnd"/>
      <w:r w:rsidRPr="00904B1D">
        <w:rPr>
          <w:rFonts w:ascii="Arial" w:eastAsia="Times New Roman" w:hAnsi="Arial" w:cs="Arial"/>
          <w:kern w:val="0"/>
          <w:sz w:val="22"/>
          <w:szCs w:val="22"/>
          <w:lang w:val="en-US" w:eastAsia="en-GB"/>
          <w14:ligatures w14:val="none"/>
        </w:rPr>
        <w:t xml:space="preserve"> requiring the accommodation to remain ancillary to the host dwelling and within the same planning unit. On that basis, the proposal is acceptable in principle as ancillary annexed accommodation.</w:t>
      </w:r>
      <w:r w:rsidRPr="00904B1D">
        <w:rPr>
          <w:rFonts w:ascii="Arial" w:eastAsia="Times New Roman" w:hAnsi="Arial" w:cs="Arial"/>
          <w:kern w:val="0"/>
          <w:sz w:val="22"/>
          <w:szCs w:val="22"/>
          <w:lang w:eastAsia="en-GB"/>
          <w14:ligatures w14:val="none"/>
        </w:rPr>
        <w:t> </w:t>
      </w:r>
    </w:p>
    <w:p w14:paraId="1966ABB9" w14:textId="77777777" w:rsidR="00CA7BD5" w:rsidRDefault="00CA7BD5" w:rsidP="009C1702">
      <w:pPr>
        <w:spacing w:after="0" w:line="276" w:lineRule="auto"/>
        <w:jc w:val="both"/>
        <w:rPr>
          <w:rFonts w:ascii="Arial" w:eastAsia="Times New Roman" w:hAnsi="Arial" w:cs="Arial"/>
          <w:b/>
          <w:bCs/>
          <w:kern w:val="0"/>
          <w:sz w:val="22"/>
          <w:szCs w:val="22"/>
          <w:lang w:eastAsia="en-GB"/>
          <w14:ligatures w14:val="none"/>
        </w:rPr>
      </w:pPr>
    </w:p>
    <w:p w14:paraId="12D6889D" w14:textId="77777777" w:rsidR="00FC7DB3" w:rsidRPr="009C1702" w:rsidRDefault="00FC7DB3" w:rsidP="009C1702">
      <w:pPr>
        <w:spacing w:after="0" w:line="276" w:lineRule="auto"/>
        <w:jc w:val="both"/>
        <w:rPr>
          <w:rFonts w:ascii="Arial" w:eastAsia="Times New Roman" w:hAnsi="Arial" w:cs="Arial"/>
          <w:b/>
          <w:bCs/>
          <w:kern w:val="0"/>
          <w:sz w:val="22"/>
          <w:szCs w:val="22"/>
          <w:lang w:eastAsia="en-GB"/>
          <w14:ligatures w14:val="none"/>
        </w:rPr>
      </w:pPr>
    </w:p>
    <w:p w14:paraId="4B43AF8C" w14:textId="528B328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r w:rsidR="00904B1D">
        <w:rPr>
          <w:rFonts w:ascii="Arial" w:eastAsia="Times New Roman" w:hAnsi="Arial" w:cs="Arial"/>
          <w:kern w:val="0"/>
          <w:sz w:val="22"/>
          <w:szCs w:val="22"/>
          <w:u w:val="single"/>
          <w:lang w:eastAsia="en-GB"/>
          <w14:ligatures w14:val="none"/>
        </w:rPr>
        <w:t xml:space="preserve"> and Heritage Impact</w:t>
      </w:r>
    </w:p>
    <w:p w14:paraId="7EB276C1" w14:textId="77777777" w:rsidR="005B0FD5" w:rsidRPr="001635D2" w:rsidRDefault="001635D2" w:rsidP="00852CAC">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794D4383" w14:textId="7F0A0D29" w:rsidR="001635D2" w:rsidRDefault="00904B1D" w:rsidP="00852CAC">
      <w:pPr>
        <w:spacing w:after="0" w:line="276" w:lineRule="auto"/>
        <w:jc w:val="both"/>
        <w:rPr>
          <w:rFonts w:ascii="Arial" w:eastAsia="Times New Roman" w:hAnsi="Arial" w:cs="Arial"/>
          <w:kern w:val="0"/>
          <w:sz w:val="22"/>
          <w:szCs w:val="22"/>
          <w:lang w:eastAsia="en-GB"/>
          <w14:ligatures w14:val="none"/>
        </w:rPr>
      </w:pPr>
      <w:r w:rsidRPr="00904B1D">
        <w:rPr>
          <w:rFonts w:ascii="Arial" w:eastAsia="Times New Roman" w:hAnsi="Arial" w:cs="Arial"/>
          <w:kern w:val="0"/>
          <w:sz w:val="22"/>
          <w:szCs w:val="22"/>
          <w:lang w:val="en-US" w:eastAsia="en-GB"/>
          <w14:ligatures w14:val="none"/>
        </w:rPr>
        <w:t>Core Policy 57 requires development to be of </w:t>
      </w:r>
      <w:proofErr w:type="gramStart"/>
      <w:r w:rsidRPr="00904B1D">
        <w:rPr>
          <w:rFonts w:ascii="Arial" w:eastAsia="Times New Roman" w:hAnsi="Arial" w:cs="Arial"/>
          <w:kern w:val="0"/>
          <w:sz w:val="22"/>
          <w:szCs w:val="22"/>
          <w:lang w:val="en-US" w:eastAsia="en-GB"/>
          <w14:ligatures w14:val="none"/>
        </w:rPr>
        <w:t>high quality</w:t>
      </w:r>
      <w:proofErr w:type="gramEnd"/>
      <w:r w:rsidRPr="00904B1D">
        <w:rPr>
          <w:rFonts w:ascii="Arial" w:eastAsia="Times New Roman" w:hAnsi="Arial" w:cs="Arial"/>
          <w:kern w:val="0"/>
          <w:sz w:val="22"/>
          <w:szCs w:val="22"/>
          <w:lang w:val="en-US" w:eastAsia="en-GB"/>
          <w14:ligatures w14:val="none"/>
        </w:rPr>
        <w:t xml:space="preserve"> design and to respond positively to local character. Core Policy 58 </w:t>
      </w:r>
      <w:r>
        <w:rPr>
          <w:rFonts w:ascii="Arial" w:eastAsia="Times New Roman" w:hAnsi="Arial" w:cs="Arial"/>
          <w:kern w:val="0"/>
          <w:sz w:val="22"/>
          <w:szCs w:val="22"/>
          <w:lang w:eastAsia="en-GB"/>
          <w14:ligatures w14:val="none"/>
        </w:rPr>
        <w:t>requires d</w:t>
      </w:r>
      <w:r w:rsidRPr="00904B1D">
        <w:rPr>
          <w:rFonts w:ascii="Arial" w:eastAsia="Times New Roman" w:hAnsi="Arial" w:cs="Arial"/>
          <w:kern w:val="0"/>
          <w:sz w:val="22"/>
          <w:szCs w:val="22"/>
          <w:lang w:eastAsia="en-GB"/>
          <w14:ligatures w14:val="none"/>
        </w:rPr>
        <w:t xml:space="preserve">evelopment </w:t>
      </w:r>
      <w:r>
        <w:rPr>
          <w:rFonts w:ascii="Arial" w:eastAsia="Times New Roman" w:hAnsi="Arial" w:cs="Arial"/>
          <w:kern w:val="0"/>
          <w:sz w:val="22"/>
          <w:szCs w:val="22"/>
          <w:lang w:eastAsia="en-GB"/>
          <w14:ligatures w14:val="none"/>
        </w:rPr>
        <w:t>to</w:t>
      </w:r>
      <w:r w:rsidRPr="00904B1D">
        <w:rPr>
          <w:rFonts w:ascii="Arial" w:eastAsia="Times New Roman" w:hAnsi="Arial" w:cs="Arial"/>
          <w:kern w:val="0"/>
          <w:sz w:val="22"/>
          <w:szCs w:val="22"/>
          <w:lang w:eastAsia="en-GB"/>
          <w14:ligatures w14:val="none"/>
        </w:rPr>
        <w:t xml:space="preserve"> protect, conserve and where possible enhance the historic environment</w:t>
      </w:r>
      <w:r>
        <w:rPr>
          <w:rFonts w:ascii="Arial" w:eastAsia="Times New Roman" w:hAnsi="Arial" w:cs="Arial"/>
          <w:kern w:val="0"/>
          <w:sz w:val="22"/>
          <w:szCs w:val="22"/>
          <w:lang w:eastAsia="en-GB"/>
          <w14:ligatures w14:val="none"/>
        </w:rPr>
        <w:t>. Section</w:t>
      </w:r>
      <w:r w:rsidRPr="00904B1D">
        <w:rPr>
          <w:rFonts w:ascii="Arial" w:eastAsia="Times New Roman" w:hAnsi="Arial" w:cs="Arial"/>
          <w:kern w:val="0"/>
          <w:sz w:val="22"/>
          <w:szCs w:val="22"/>
          <w:lang w:val="en-US" w:eastAsia="en-GB"/>
          <w14:ligatures w14:val="none"/>
        </w:rPr>
        <w:t xml:space="preserve"> 72</w:t>
      </w:r>
      <w:r w:rsidR="005C3793">
        <w:rPr>
          <w:rFonts w:ascii="Arial" w:eastAsia="Times New Roman" w:hAnsi="Arial" w:cs="Arial"/>
          <w:kern w:val="0"/>
          <w:sz w:val="22"/>
          <w:szCs w:val="22"/>
          <w:lang w:val="en-US" w:eastAsia="en-GB"/>
          <w14:ligatures w14:val="none"/>
        </w:rPr>
        <w:t>(1)</w:t>
      </w:r>
      <w:r w:rsidRPr="00904B1D">
        <w:rPr>
          <w:rFonts w:ascii="Arial" w:eastAsia="Times New Roman" w:hAnsi="Arial" w:cs="Arial"/>
          <w:kern w:val="0"/>
          <w:sz w:val="22"/>
          <w:szCs w:val="22"/>
          <w:lang w:val="en-US" w:eastAsia="en-GB"/>
          <w14:ligatures w14:val="none"/>
        </w:rPr>
        <w:t xml:space="preserve"> of the Planning (Listed Buildings and Conservation Areas) Act 1990 require</w:t>
      </w:r>
      <w:r>
        <w:rPr>
          <w:rFonts w:ascii="Arial" w:eastAsia="Times New Roman" w:hAnsi="Arial" w:cs="Arial"/>
          <w:kern w:val="0"/>
          <w:sz w:val="22"/>
          <w:szCs w:val="22"/>
          <w:lang w:val="en-US" w:eastAsia="en-GB"/>
          <w14:ligatures w14:val="none"/>
        </w:rPr>
        <w:t>s</w:t>
      </w:r>
      <w:r w:rsidRPr="00904B1D">
        <w:rPr>
          <w:rFonts w:ascii="Arial" w:eastAsia="Times New Roman" w:hAnsi="Arial" w:cs="Arial"/>
          <w:kern w:val="0"/>
          <w:sz w:val="22"/>
          <w:szCs w:val="22"/>
          <w:lang w:val="en-US" w:eastAsia="en-GB"/>
          <w14:ligatures w14:val="none"/>
        </w:rPr>
        <w:t xml:space="preserve"> special attention to be paid to the desirability of preserving or enhancing the character or appearance of the Conservation Area.</w:t>
      </w:r>
      <w:r w:rsidRPr="00904B1D">
        <w:rPr>
          <w:rFonts w:ascii="Arial" w:eastAsia="Times New Roman" w:hAnsi="Arial" w:cs="Arial"/>
          <w:kern w:val="0"/>
          <w:sz w:val="22"/>
          <w:szCs w:val="22"/>
          <w:lang w:eastAsia="en-GB"/>
          <w14:ligatures w14:val="none"/>
        </w:rPr>
        <w:t> </w:t>
      </w:r>
    </w:p>
    <w:p w14:paraId="0D9B716E" w14:textId="77777777" w:rsidR="00904B1D" w:rsidRDefault="00904B1D" w:rsidP="00852CAC">
      <w:pPr>
        <w:spacing w:after="0" w:line="276" w:lineRule="auto"/>
        <w:jc w:val="both"/>
        <w:rPr>
          <w:rFonts w:ascii="Arial" w:eastAsia="Times New Roman" w:hAnsi="Arial" w:cs="Arial"/>
          <w:i/>
          <w:iCs/>
          <w:kern w:val="0"/>
          <w:sz w:val="22"/>
          <w:szCs w:val="22"/>
          <w:lang w:eastAsia="en-GB"/>
          <w14:ligatures w14:val="none"/>
        </w:rPr>
      </w:pPr>
    </w:p>
    <w:p w14:paraId="2423F2BA" w14:textId="3F648051" w:rsidR="001635D2" w:rsidRPr="001635D2" w:rsidRDefault="001635D2" w:rsidP="00852CAC">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Assessment</w:t>
      </w:r>
    </w:p>
    <w:p w14:paraId="1223800C"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1078C749" w14:textId="2010FCD8" w:rsidR="00904B1D" w:rsidRPr="00904B1D" w:rsidRDefault="00904B1D" w:rsidP="00904B1D">
      <w:pPr>
        <w:spacing w:after="0" w:line="276" w:lineRule="auto"/>
        <w:jc w:val="both"/>
        <w:rPr>
          <w:rFonts w:ascii="Arial" w:eastAsia="Times New Roman" w:hAnsi="Arial" w:cs="Arial"/>
          <w:kern w:val="0"/>
          <w:sz w:val="22"/>
          <w:szCs w:val="22"/>
          <w:lang w:eastAsia="en-GB"/>
          <w14:ligatures w14:val="none"/>
        </w:rPr>
      </w:pPr>
      <w:r w:rsidRPr="00904B1D">
        <w:rPr>
          <w:rFonts w:ascii="Arial" w:eastAsia="Times New Roman" w:hAnsi="Arial" w:cs="Arial"/>
          <w:kern w:val="0"/>
          <w:sz w:val="22"/>
          <w:szCs w:val="22"/>
          <w:lang w:val="en-US" w:eastAsia="en-GB"/>
          <w14:ligatures w14:val="none"/>
        </w:rPr>
        <w:t xml:space="preserve">The proposed annexe would be a modest, single-storey timber-clad structure positioned within the rear garden. The submitted elevations show a simple rectangular form with a pitched roof and limited overall height. The proposed materials, including treated timber cladding and anthracite grey doors, windows and roof finish, are considered appropriate for a small </w:t>
      </w:r>
      <w:r w:rsidR="00F910CB">
        <w:rPr>
          <w:rFonts w:ascii="Arial" w:eastAsia="Times New Roman" w:hAnsi="Arial" w:cs="Arial"/>
          <w:kern w:val="0"/>
          <w:sz w:val="22"/>
          <w:szCs w:val="22"/>
          <w:lang w:val="en-US" w:eastAsia="en-GB"/>
          <w14:ligatures w14:val="none"/>
        </w:rPr>
        <w:t>annexe</w:t>
      </w:r>
      <w:r w:rsidRPr="00904B1D">
        <w:rPr>
          <w:rFonts w:ascii="Arial" w:eastAsia="Times New Roman" w:hAnsi="Arial" w:cs="Arial"/>
          <w:kern w:val="0"/>
          <w:sz w:val="22"/>
          <w:szCs w:val="22"/>
          <w:lang w:val="en-US" w:eastAsia="en-GB"/>
          <w14:ligatures w14:val="none"/>
        </w:rPr>
        <w:t xml:space="preserve"> building in this rear garden context. The building would be visually subordinate to the host dwelling and would not appear as a dominant or incongruous addition.</w:t>
      </w:r>
      <w:r w:rsidRPr="00904B1D">
        <w:rPr>
          <w:rFonts w:ascii="Arial" w:eastAsia="Times New Roman" w:hAnsi="Arial" w:cs="Arial"/>
          <w:kern w:val="0"/>
          <w:sz w:val="22"/>
          <w:szCs w:val="22"/>
          <w:lang w:eastAsia="en-GB"/>
          <w14:ligatures w14:val="none"/>
        </w:rPr>
        <w:t> </w:t>
      </w:r>
    </w:p>
    <w:p w14:paraId="4286C629" w14:textId="77777777" w:rsidR="00904B1D" w:rsidRPr="00904B1D" w:rsidRDefault="00904B1D" w:rsidP="00904B1D">
      <w:pPr>
        <w:spacing w:after="0" w:line="276" w:lineRule="auto"/>
        <w:jc w:val="both"/>
        <w:rPr>
          <w:rFonts w:ascii="Arial" w:eastAsia="Times New Roman" w:hAnsi="Arial" w:cs="Arial"/>
          <w:kern w:val="0"/>
          <w:sz w:val="22"/>
          <w:szCs w:val="22"/>
          <w:lang w:eastAsia="en-GB"/>
          <w14:ligatures w14:val="none"/>
        </w:rPr>
      </w:pPr>
    </w:p>
    <w:p w14:paraId="38EDCED2" w14:textId="459C1DC7" w:rsidR="00F910CB" w:rsidRPr="00F910CB" w:rsidRDefault="00904B1D" w:rsidP="00F910CB">
      <w:pPr>
        <w:spacing w:after="0" w:line="276" w:lineRule="auto"/>
        <w:jc w:val="both"/>
        <w:rPr>
          <w:rFonts w:ascii="Arial" w:eastAsia="Times New Roman" w:hAnsi="Arial" w:cs="Arial"/>
          <w:kern w:val="0"/>
          <w:sz w:val="22"/>
          <w:szCs w:val="22"/>
          <w:lang w:eastAsia="en-GB"/>
          <w14:ligatures w14:val="none"/>
        </w:rPr>
      </w:pPr>
      <w:r w:rsidRPr="00904B1D">
        <w:rPr>
          <w:rFonts w:ascii="Arial" w:eastAsia="Times New Roman" w:hAnsi="Arial" w:cs="Arial"/>
          <w:kern w:val="0"/>
          <w:sz w:val="22"/>
          <w:szCs w:val="22"/>
          <w:lang w:val="en-US" w:eastAsia="en-GB"/>
          <w14:ligatures w14:val="none"/>
        </w:rPr>
        <w:t xml:space="preserve">The proposal would be set away from the main public street frontage and would be read as a garden structure associated with the host dwelling. Given its </w:t>
      </w:r>
      <w:proofErr w:type="gramStart"/>
      <w:r w:rsidRPr="00904B1D">
        <w:rPr>
          <w:rFonts w:ascii="Arial" w:eastAsia="Times New Roman" w:hAnsi="Arial" w:cs="Arial"/>
          <w:kern w:val="0"/>
          <w:sz w:val="22"/>
          <w:szCs w:val="22"/>
          <w:lang w:val="en-US" w:eastAsia="en-GB"/>
          <w14:ligatures w14:val="none"/>
        </w:rPr>
        <w:t>siting</w:t>
      </w:r>
      <w:proofErr w:type="gramEnd"/>
      <w:r w:rsidRPr="00904B1D">
        <w:rPr>
          <w:rFonts w:ascii="Arial" w:eastAsia="Times New Roman" w:hAnsi="Arial" w:cs="Arial"/>
          <w:kern w:val="0"/>
          <w:sz w:val="22"/>
          <w:szCs w:val="22"/>
          <w:lang w:val="en-US" w:eastAsia="en-GB"/>
          <w14:ligatures w14:val="none"/>
        </w:rPr>
        <w:t xml:space="preserve">, scale, design and </w:t>
      </w:r>
      <w:r w:rsidRPr="00904B1D">
        <w:rPr>
          <w:rFonts w:ascii="Arial" w:eastAsia="Times New Roman" w:hAnsi="Arial" w:cs="Arial"/>
          <w:kern w:val="0"/>
          <w:sz w:val="22"/>
          <w:szCs w:val="22"/>
          <w:lang w:val="en-US" w:eastAsia="en-GB"/>
          <w14:ligatures w14:val="none"/>
        </w:rPr>
        <w:lastRenderedPageBreak/>
        <w:t>materials, the development would preserve the character and appearance of the West Lavington Conservation Area. The proposal therefore complies with Core Policies 57 and 58 and the relevant heritage objectives of the NPPF.</w:t>
      </w:r>
      <w:r w:rsidRPr="00904B1D">
        <w:rPr>
          <w:rFonts w:ascii="Arial" w:eastAsia="Times New Roman" w:hAnsi="Arial" w:cs="Arial"/>
          <w:kern w:val="0"/>
          <w:sz w:val="22"/>
          <w:szCs w:val="22"/>
          <w:lang w:eastAsia="en-GB"/>
          <w14:ligatures w14:val="none"/>
        </w:rPr>
        <w:t> </w:t>
      </w:r>
      <w:r w:rsidR="00F910CB">
        <w:rPr>
          <w:rFonts w:ascii="Arial" w:eastAsia="Times New Roman" w:hAnsi="Arial" w:cs="Arial"/>
          <w:kern w:val="0"/>
          <w:sz w:val="22"/>
          <w:szCs w:val="22"/>
          <w:lang w:eastAsia="en-GB"/>
          <w14:ligatures w14:val="none"/>
        </w:rPr>
        <w:t xml:space="preserve">In accordance with </w:t>
      </w:r>
      <w:r w:rsidR="00F910CB" w:rsidRPr="00F910CB">
        <w:rPr>
          <w:rFonts w:ascii="Arial" w:eastAsia="Times New Roman" w:hAnsi="Arial" w:cs="Arial"/>
          <w:kern w:val="0"/>
          <w:sz w:val="22"/>
          <w:szCs w:val="22"/>
          <w:lang w:eastAsia="en-GB"/>
          <w14:ligatures w14:val="none"/>
        </w:rPr>
        <w:t>Section</w:t>
      </w:r>
      <w:r w:rsidR="00F910CB" w:rsidRPr="00F910CB">
        <w:rPr>
          <w:rFonts w:ascii="Arial" w:eastAsia="Times New Roman" w:hAnsi="Arial" w:cs="Arial"/>
          <w:kern w:val="0"/>
          <w:sz w:val="22"/>
          <w:szCs w:val="22"/>
          <w:lang w:val="en-US" w:eastAsia="en-GB"/>
          <w14:ligatures w14:val="none"/>
        </w:rPr>
        <w:t xml:space="preserve"> 72 of the Planning (Listed Buildings and Conservation Areas) Act 1990 </w:t>
      </w:r>
      <w:r w:rsidR="00F910CB">
        <w:rPr>
          <w:rFonts w:ascii="Arial" w:eastAsia="Times New Roman" w:hAnsi="Arial" w:cs="Arial"/>
          <w:kern w:val="0"/>
          <w:sz w:val="22"/>
          <w:szCs w:val="22"/>
          <w:lang w:val="en-US" w:eastAsia="en-GB"/>
          <w14:ligatures w14:val="none"/>
        </w:rPr>
        <w:t xml:space="preserve">the West </w:t>
      </w:r>
      <w:proofErr w:type="gramStart"/>
      <w:r w:rsidR="00F910CB">
        <w:rPr>
          <w:rFonts w:ascii="Arial" w:eastAsia="Times New Roman" w:hAnsi="Arial" w:cs="Arial"/>
          <w:kern w:val="0"/>
          <w:sz w:val="22"/>
          <w:szCs w:val="22"/>
          <w:lang w:val="en-US" w:eastAsia="en-GB"/>
          <w14:ligatures w14:val="none"/>
        </w:rPr>
        <w:t xml:space="preserve">Lavington </w:t>
      </w:r>
      <w:r w:rsidR="00F910CB" w:rsidRPr="00F910CB">
        <w:rPr>
          <w:rFonts w:ascii="Arial" w:eastAsia="Times New Roman" w:hAnsi="Arial" w:cs="Arial"/>
          <w:kern w:val="0"/>
          <w:sz w:val="22"/>
          <w:szCs w:val="22"/>
          <w:lang w:val="en-US" w:eastAsia="en-GB"/>
          <w14:ligatures w14:val="none"/>
        </w:rPr>
        <w:t xml:space="preserve"> Conservation</w:t>
      </w:r>
      <w:proofErr w:type="gramEnd"/>
      <w:r w:rsidR="00F910CB" w:rsidRPr="00F910CB">
        <w:rPr>
          <w:rFonts w:ascii="Arial" w:eastAsia="Times New Roman" w:hAnsi="Arial" w:cs="Arial"/>
          <w:kern w:val="0"/>
          <w:sz w:val="22"/>
          <w:szCs w:val="22"/>
          <w:lang w:val="en-US" w:eastAsia="en-GB"/>
          <w14:ligatures w14:val="none"/>
        </w:rPr>
        <w:t xml:space="preserve"> </w:t>
      </w:r>
      <w:proofErr w:type="gramStart"/>
      <w:r w:rsidR="00F910CB" w:rsidRPr="00F910CB">
        <w:rPr>
          <w:rFonts w:ascii="Arial" w:eastAsia="Times New Roman" w:hAnsi="Arial" w:cs="Arial"/>
          <w:kern w:val="0"/>
          <w:sz w:val="22"/>
          <w:szCs w:val="22"/>
          <w:lang w:val="en-US" w:eastAsia="en-GB"/>
          <w14:ligatures w14:val="none"/>
        </w:rPr>
        <w:t>Area</w:t>
      </w:r>
      <w:r w:rsidR="00F910CB" w:rsidRPr="00F910CB">
        <w:rPr>
          <w:rFonts w:ascii="Arial" w:eastAsia="Times New Roman" w:hAnsi="Arial" w:cs="Arial"/>
          <w:kern w:val="0"/>
          <w:sz w:val="22"/>
          <w:szCs w:val="22"/>
          <w:lang w:val="en-US" w:eastAsia="en-GB"/>
          <w14:ligatures w14:val="none"/>
        </w:rPr>
        <w:t xml:space="preserve"> </w:t>
      </w:r>
      <w:r w:rsidR="00F910CB">
        <w:rPr>
          <w:rFonts w:ascii="Arial" w:eastAsia="Times New Roman" w:hAnsi="Arial" w:cs="Arial"/>
          <w:kern w:val="0"/>
          <w:sz w:val="22"/>
          <w:szCs w:val="22"/>
          <w:lang w:val="en-US" w:eastAsia="en-GB"/>
          <w14:ligatures w14:val="none"/>
        </w:rPr>
        <w:t xml:space="preserve"> would</w:t>
      </w:r>
      <w:proofErr w:type="gramEnd"/>
      <w:r w:rsidR="00F910CB">
        <w:rPr>
          <w:rFonts w:ascii="Arial" w:eastAsia="Times New Roman" w:hAnsi="Arial" w:cs="Arial"/>
          <w:kern w:val="0"/>
          <w:sz w:val="22"/>
          <w:szCs w:val="22"/>
          <w:lang w:val="en-US" w:eastAsia="en-GB"/>
          <w14:ligatures w14:val="none"/>
        </w:rPr>
        <w:t xml:space="preserve"> </w:t>
      </w:r>
      <w:r w:rsidR="005D3A79">
        <w:rPr>
          <w:rFonts w:ascii="Arial" w:eastAsia="Times New Roman" w:hAnsi="Arial" w:cs="Arial"/>
          <w:kern w:val="0"/>
          <w:sz w:val="22"/>
          <w:szCs w:val="22"/>
          <w:lang w:val="en-US" w:eastAsia="en-GB"/>
          <w14:ligatures w14:val="none"/>
        </w:rPr>
        <w:t xml:space="preserve">therefore </w:t>
      </w:r>
      <w:r w:rsidR="00F910CB">
        <w:rPr>
          <w:rFonts w:ascii="Arial" w:eastAsia="Times New Roman" w:hAnsi="Arial" w:cs="Arial"/>
          <w:kern w:val="0"/>
          <w:sz w:val="22"/>
          <w:szCs w:val="22"/>
          <w:lang w:val="en-US" w:eastAsia="en-GB"/>
          <w14:ligatures w14:val="none"/>
        </w:rPr>
        <w:t xml:space="preserve">be </w:t>
      </w:r>
      <w:r w:rsidR="00F910CB" w:rsidRPr="00F910CB">
        <w:rPr>
          <w:rFonts w:ascii="Arial" w:eastAsia="Times New Roman" w:hAnsi="Arial" w:cs="Arial"/>
          <w:kern w:val="0"/>
          <w:sz w:val="22"/>
          <w:szCs w:val="22"/>
          <w:lang w:val="en-US" w:eastAsia="en-GB"/>
          <w14:ligatures w14:val="none"/>
        </w:rPr>
        <w:t>preserv</w:t>
      </w:r>
      <w:r w:rsidR="00F910CB">
        <w:rPr>
          <w:rFonts w:ascii="Arial" w:eastAsia="Times New Roman" w:hAnsi="Arial" w:cs="Arial"/>
          <w:kern w:val="0"/>
          <w:sz w:val="22"/>
          <w:szCs w:val="22"/>
          <w:lang w:val="en-US" w:eastAsia="en-GB"/>
          <w14:ligatures w14:val="none"/>
        </w:rPr>
        <w:t>ed.</w:t>
      </w:r>
    </w:p>
    <w:p w14:paraId="09F822ED" w14:textId="77777777" w:rsidR="00296211" w:rsidRDefault="00296211" w:rsidP="00A050F1">
      <w:pPr>
        <w:spacing w:after="0" w:line="276" w:lineRule="auto"/>
        <w:jc w:val="both"/>
        <w:rPr>
          <w:rFonts w:ascii="Arial" w:hAnsi="Arial" w:cs="Arial"/>
          <w:b/>
          <w:bCs/>
          <w:i/>
          <w:iCs/>
          <w:color w:val="FF0000"/>
          <w:sz w:val="22"/>
          <w:szCs w:val="22"/>
        </w:rPr>
      </w:pPr>
    </w:p>
    <w:p w14:paraId="0F609506" w14:textId="77777777" w:rsidR="00F64C5D" w:rsidRDefault="00F64C5D" w:rsidP="00A050F1">
      <w:pPr>
        <w:spacing w:after="0" w:line="276" w:lineRule="auto"/>
        <w:jc w:val="both"/>
        <w:rPr>
          <w:rFonts w:ascii="Arial" w:hAnsi="Arial" w:cs="Arial"/>
          <w:b/>
          <w:bCs/>
          <w:i/>
          <w:iCs/>
          <w:color w:val="FF0000"/>
          <w:sz w:val="22"/>
          <w:szCs w:val="22"/>
        </w:rPr>
      </w:pPr>
    </w:p>
    <w:p w14:paraId="5B7AC67F" w14:textId="77777777" w:rsidR="005D3A79" w:rsidRDefault="005D3A79" w:rsidP="00A050F1">
      <w:pPr>
        <w:spacing w:after="0" w:line="276" w:lineRule="auto"/>
        <w:jc w:val="both"/>
        <w:rPr>
          <w:rFonts w:ascii="Arial" w:hAnsi="Arial" w:cs="Arial"/>
          <w:b/>
          <w:bCs/>
          <w:i/>
          <w:iCs/>
          <w:color w:val="FF0000"/>
          <w:sz w:val="22"/>
          <w:szCs w:val="22"/>
        </w:rPr>
      </w:pPr>
    </w:p>
    <w:p w14:paraId="0741C021"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0746744"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0CAA54C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D83FFAE" w14:textId="77777777" w:rsidR="00393433" w:rsidRDefault="00393433" w:rsidP="00A050F1">
      <w:pPr>
        <w:spacing w:after="0" w:line="276" w:lineRule="auto"/>
        <w:jc w:val="both"/>
        <w:rPr>
          <w:rFonts w:ascii="Arial" w:hAnsi="Arial" w:cs="Arial"/>
          <w:color w:val="000000" w:themeColor="text1"/>
          <w:sz w:val="22"/>
          <w:szCs w:val="22"/>
        </w:rPr>
      </w:pPr>
    </w:p>
    <w:p w14:paraId="4BF4BF4B"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75B72E5"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5A537C14"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FCBF0A5" w14:textId="77777777" w:rsidR="00470975" w:rsidRDefault="00470975" w:rsidP="000610AC">
      <w:pPr>
        <w:spacing w:after="0" w:line="276" w:lineRule="auto"/>
        <w:jc w:val="both"/>
        <w:rPr>
          <w:rFonts w:ascii="Arial" w:hAnsi="Arial" w:cs="Arial"/>
          <w:i/>
          <w:iCs/>
          <w:color w:val="000000" w:themeColor="text1"/>
          <w:sz w:val="22"/>
          <w:szCs w:val="22"/>
        </w:rPr>
      </w:pPr>
    </w:p>
    <w:p w14:paraId="73CC3C1A" w14:textId="77777777" w:rsidR="005C3793" w:rsidRPr="005C3793" w:rsidRDefault="005C3793" w:rsidP="005C3793">
      <w:pPr>
        <w:spacing w:after="0" w:line="276" w:lineRule="auto"/>
        <w:jc w:val="both"/>
        <w:rPr>
          <w:rFonts w:ascii="Arial" w:eastAsia="Times New Roman" w:hAnsi="Arial" w:cs="Arial"/>
          <w:color w:val="000000" w:themeColor="text1"/>
          <w:kern w:val="0"/>
          <w:sz w:val="22"/>
          <w:szCs w:val="22"/>
          <w:lang w:eastAsia="en-GB"/>
          <w14:ligatures w14:val="none"/>
        </w:rPr>
      </w:pPr>
      <w:r w:rsidRPr="005C3793">
        <w:rPr>
          <w:rFonts w:ascii="Arial" w:eastAsia="Times New Roman" w:hAnsi="Arial" w:cs="Arial"/>
          <w:color w:val="000000" w:themeColor="text1"/>
          <w:kern w:val="0"/>
          <w:sz w:val="22"/>
          <w:szCs w:val="22"/>
          <w:lang w:val="en-US" w:eastAsia="en-GB"/>
          <w14:ligatures w14:val="none"/>
        </w:rPr>
        <w:t>The cabin would be single storey and modest in height. The submitted information states that the building has been positioned further from the shared boundary following discussions with the adjoining neighbour, to reduce any impact on neighbouring views and amenity.</w:t>
      </w:r>
      <w:r w:rsidRPr="005C3793">
        <w:rPr>
          <w:rFonts w:ascii="Arial" w:eastAsia="Times New Roman" w:hAnsi="Arial" w:cs="Arial"/>
          <w:color w:val="000000" w:themeColor="text1"/>
          <w:kern w:val="0"/>
          <w:sz w:val="22"/>
          <w:szCs w:val="22"/>
          <w:lang w:eastAsia="en-GB"/>
          <w14:ligatures w14:val="none"/>
        </w:rPr>
        <w:t> </w:t>
      </w:r>
    </w:p>
    <w:p w14:paraId="248D9531" w14:textId="77777777" w:rsidR="005C3793" w:rsidRPr="005C3793" w:rsidRDefault="005C3793" w:rsidP="005C3793">
      <w:pPr>
        <w:spacing w:after="0" w:line="276" w:lineRule="auto"/>
        <w:jc w:val="both"/>
        <w:rPr>
          <w:rFonts w:ascii="Arial" w:eastAsia="Times New Roman" w:hAnsi="Arial" w:cs="Arial"/>
          <w:color w:val="000000" w:themeColor="text1"/>
          <w:kern w:val="0"/>
          <w:sz w:val="22"/>
          <w:szCs w:val="22"/>
          <w:lang w:eastAsia="en-GB"/>
          <w14:ligatures w14:val="none"/>
        </w:rPr>
      </w:pPr>
    </w:p>
    <w:p w14:paraId="7D2AAEA6" w14:textId="77777777" w:rsidR="005C3793" w:rsidRPr="005C3793" w:rsidRDefault="005C3793" w:rsidP="005C3793">
      <w:pPr>
        <w:spacing w:after="0" w:line="276" w:lineRule="auto"/>
        <w:jc w:val="both"/>
        <w:rPr>
          <w:rFonts w:ascii="Arial" w:eastAsia="Times New Roman" w:hAnsi="Arial" w:cs="Arial"/>
          <w:color w:val="000000" w:themeColor="text1"/>
          <w:kern w:val="0"/>
          <w:sz w:val="22"/>
          <w:szCs w:val="22"/>
          <w:lang w:eastAsia="en-GB"/>
          <w14:ligatures w14:val="none"/>
        </w:rPr>
      </w:pPr>
      <w:r w:rsidRPr="005C3793">
        <w:rPr>
          <w:rFonts w:ascii="Arial" w:eastAsia="Times New Roman" w:hAnsi="Arial" w:cs="Arial"/>
          <w:color w:val="000000" w:themeColor="text1"/>
          <w:kern w:val="0"/>
          <w:sz w:val="22"/>
          <w:szCs w:val="22"/>
          <w:lang w:val="en-US" w:eastAsia="en-GB"/>
          <w14:ligatures w14:val="none"/>
        </w:rPr>
        <w:t xml:space="preserve">Having regard to its scale, </w:t>
      </w:r>
      <w:proofErr w:type="gramStart"/>
      <w:r w:rsidRPr="005C3793">
        <w:rPr>
          <w:rFonts w:ascii="Arial" w:eastAsia="Times New Roman" w:hAnsi="Arial" w:cs="Arial"/>
          <w:color w:val="000000" w:themeColor="text1"/>
          <w:kern w:val="0"/>
          <w:sz w:val="22"/>
          <w:szCs w:val="22"/>
          <w:lang w:val="en-US" w:eastAsia="en-GB"/>
          <w14:ligatures w14:val="none"/>
        </w:rPr>
        <w:t>siting</w:t>
      </w:r>
      <w:proofErr w:type="gramEnd"/>
      <w:r w:rsidRPr="005C3793">
        <w:rPr>
          <w:rFonts w:ascii="Arial" w:eastAsia="Times New Roman" w:hAnsi="Arial" w:cs="Arial"/>
          <w:color w:val="000000" w:themeColor="text1"/>
          <w:kern w:val="0"/>
          <w:sz w:val="22"/>
          <w:szCs w:val="22"/>
          <w:lang w:val="en-US" w:eastAsia="en-GB"/>
          <w14:ligatures w14:val="none"/>
        </w:rPr>
        <w:t xml:space="preserve"> and garden context, the proposal would not result in unacceptable loss of light, overshadowing, loss of privacy or overbearing impact </w:t>
      </w:r>
      <w:proofErr w:type="gramStart"/>
      <w:r w:rsidRPr="005C3793">
        <w:rPr>
          <w:rFonts w:ascii="Arial" w:eastAsia="Times New Roman" w:hAnsi="Arial" w:cs="Arial"/>
          <w:color w:val="000000" w:themeColor="text1"/>
          <w:kern w:val="0"/>
          <w:sz w:val="22"/>
          <w:szCs w:val="22"/>
          <w:lang w:val="en-US" w:eastAsia="en-GB"/>
          <w14:ligatures w14:val="none"/>
        </w:rPr>
        <w:t>to</w:t>
      </w:r>
      <w:proofErr w:type="gramEnd"/>
      <w:r w:rsidRPr="005C3793">
        <w:rPr>
          <w:rFonts w:ascii="Arial" w:eastAsia="Times New Roman" w:hAnsi="Arial" w:cs="Arial"/>
          <w:color w:val="000000" w:themeColor="text1"/>
          <w:kern w:val="0"/>
          <w:sz w:val="22"/>
          <w:szCs w:val="22"/>
          <w:lang w:val="en-US" w:eastAsia="en-GB"/>
          <w14:ligatures w14:val="none"/>
        </w:rPr>
        <w:t xml:space="preserve"> neighbouring occupiers. The proposed use as ancillary accommodation for a family member would remain within the residential use of the property and would not give rise to unacceptable disturbance. The proposal is therefore acceptable in amenity terms.</w:t>
      </w:r>
      <w:r w:rsidRPr="005C3793">
        <w:rPr>
          <w:rFonts w:ascii="Arial" w:eastAsia="Times New Roman" w:hAnsi="Arial" w:cs="Arial"/>
          <w:color w:val="000000" w:themeColor="text1"/>
          <w:kern w:val="0"/>
          <w:sz w:val="22"/>
          <w:szCs w:val="22"/>
          <w:lang w:eastAsia="en-GB"/>
          <w14:ligatures w14:val="none"/>
        </w:rPr>
        <w:t> </w:t>
      </w:r>
    </w:p>
    <w:p w14:paraId="3664EFAB"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594B53C7"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9D9DF45" w14:textId="54A925B9"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w:t>
      </w:r>
      <w:r w:rsidR="00E84653">
        <w:rPr>
          <w:rFonts w:ascii="Arial" w:eastAsia="Times New Roman" w:hAnsi="Arial" w:cs="Arial"/>
          <w:color w:val="000000" w:themeColor="text1"/>
          <w:kern w:val="0"/>
          <w:sz w:val="22"/>
          <w:szCs w:val="22"/>
          <w:u w:val="single"/>
          <w:lang w:eastAsia="en-GB"/>
          <w14:ligatures w14:val="none"/>
        </w:rPr>
        <w:t xml:space="preserve">, Parking and Public Rights of Way </w:t>
      </w:r>
      <w:r w:rsidRPr="006705B5">
        <w:rPr>
          <w:rFonts w:ascii="Arial" w:eastAsia="Times New Roman" w:hAnsi="Arial" w:cs="Arial"/>
          <w:color w:val="000000" w:themeColor="text1"/>
          <w:kern w:val="0"/>
          <w:sz w:val="22"/>
          <w:szCs w:val="22"/>
          <w:u w:val="single"/>
          <w:lang w:eastAsia="en-GB"/>
          <w14:ligatures w14:val="none"/>
        </w:rPr>
        <w:t>Impact</w:t>
      </w:r>
    </w:p>
    <w:p w14:paraId="76573C12"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0BA86ED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57B1AC3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627851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52A2437"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CBC2FCA" w14:textId="77777777" w:rsidR="006333F2" w:rsidRDefault="006333F2" w:rsidP="006705B5">
      <w:pPr>
        <w:spacing w:after="0" w:line="276" w:lineRule="auto"/>
        <w:jc w:val="both"/>
        <w:rPr>
          <w:rFonts w:ascii="Arial" w:eastAsia="Times New Roman" w:hAnsi="Arial" w:cs="Arial"/>
          <w:i/>
          <w:iCs/>
          <w:color w:val="000000" w:themeColor="text1"/>
          <w:kern w:val="0"/>
          <w:sz w:val="22"/>
          <w:szCs w:val="22"/>
          <w:lang w:eastAsia="en-GB"/>
          <w14:ligatures w14:val="none"/>
        </w:rPr>
      </w:pPr>
      <w:r w:rsidRPr="006333F2">
        <w:rPr>
          <w:rFonts w:ascii="Arial" w:eastAsia="Times New Roman" w:hAnsi="Arial" w:cs="Arial"/>
          <w:i/>
          <w:iCs/>
          <w:color w:val="000000" w:themeColor="text1"/>
          <w:kern w:val="0"/>
          <w:sz w:val="22"/>
          <w:szCs w:val="22"/>
          <w:lang w:eastAsia="en-GB"/>
          <w14:ligatures w14:val="none"/>
        </w:rPr>
        <w:t>Assessment</w:t>
      </w:r>
    </w:p>
    <w:p w14:paraId="7EDCC2D0" w14:textId="77777777" w:rsid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r w:rsidRPr="00975421">
        <w:rPr>
          <w:rFonts w:ascii="Arial" w:eastAsia="Times New Roman" w:hAnsi="Arial" w:cs="Arial"/>
          <w:color w:val="000000" w:themeColor="text1"/>
          <w:kern w:val="0"/>
          <w:sz w:val="22"/>
          <w:szCs w:val="22"/>
          <w:lang w:eastAsia="en-GB"/>
          <w14:ligatures w14:val="none"/>
        </w:rPr>
        <w:t xml:space="preserve">The annexe would be occupied by the applicant's disabled adult son as ancillary accommodation associated with the existing dwellinghouse. Whilst annexed accommodation can often generate a requirement for additional parking provision, particularly where it </w:t>
      </w:r>
      <w:proofErr w:type="gramStart"/>
      <w:r w:rsidRPr="00975421">
        <w:rPr>
          <w:rFonts w:ascii="Arial" w:eastAsia="Times New Roman" w:hAnsi="Arial" w:cs="Arial"/>
          <w:color w:val="000000" w:themeColor="text1"/>
          <w:kern w:val="0"/>
          <w:sz w:val="22"/>
          <w:szCs w:val="22"/>
          <w:lang w:eastAsia="en-GB"/>
          <w14:ligatures w14:val="none"/>
        </w:rPr>
        <w:t xml:space="preserve">is </w:t>
      </w:r>
      <w:r w:rsidRPr="00975421">
        <w:rPr>
          <w:rFonts w:ascii="Arial" w:eastAsia="Times New Roman" w:hAnsi="Arial" w:cs="Arial"/>
          <w:color w:val="000000" w:themeColor="text1"/>
          <w:kern w:val="0"/>
          <w:sz w:val="22"/>
          <w:szCs w:val="22"/>
          <w:lang w:eastAsia="en-GB"/>
          <w14:ligatures w14:val="none"/>
        </w:rPr>
        <w:lastRenderedPageBreak/>
        <w:t>capable of accommodating</w:t>
      </w:r>
      <w:proofErr w:type="gramEnd"/>
      <w:r w:rsidRPr="00975421">
        <w:rPr>
          <w:rFonts w:ascii="Arial" w:eastAsia="Times New Roman" w:hAnsi="Arial" w:cs="Arial"/>
          <w:color w:val="000000" w:themeColor="text1"/>
          <w:kern w:val="0"/>
          <w:sz w:val="22"/>
          <w:szCs w:val="22"/>
          <w:lang w:eastAsia="en-GB"/>
          <w14:ligatures w14:val="none"/>
        </w:rPr>
        <w:t xml:space="preserve"> an additional adult household member, the circumstances of this case are materially different.</w:t>
      </w:r>
    </w:p>
    <w:p w14:paraId="5A9F5D80" w14:textId="77777777" w:rsidR="00975421" w:rsidRP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p>
    <w:p w14:paraId="762AA397" w14:textId="207183D7" w:rsid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r w:rsidRPr="00975421">
        <w:rPr>
          <w:rFonts w:ascii="Arial" w:eastAsia="Times New Roman" w:hAnsi="Arial" w:cs="Arial"/>
          <w:color w:val="000000" w:themeColor="text1"/>
          <w:kern w:val="0"/>
          <w:sz w:val="22"/>
          <w:szCs w:val="22"/>
          <w:lang w:eastAsia="en-GB"/>
          <w14:ligatures w14:val="none"/>
        </w:rPr>
        <w:t xml:space="preserve">Evidence submitted in support of the application, including information from the applicant and the Council's Disabilities Team, confirms that the intended occupant has significant care and support needs and will remain reliant upon support from the main household. The annexe is proposed specifically to provide a degree of supported independence whilst remaining within the family unit. In these circumstances, the proposal would not create an additional independent household and is not anticipated to result in private vehicle ownership or additional parking demand associated with the annexe occupant. The accommodation will also remain tied to the main dwelling through condition, preventing its occupation as a separate residential unit. As such, notwithstanding the increase in accommodation, there is no planning justification for requiring an additional parking space in this instance. The Highways Officer has raised no objection and has confirmed that there is no increased parking demand or highway network use issue arising from the proposal. </w:t>
      </w:r>
      <w:r w:rsidR="005D3A79">
        <w:rPr>
          <w:rFonts w:ascii="Arial" w:eastAsia="Times New Roman" w:hAnsi="Arial" w:cs="Arial"/>
          <w:color w:val="000000" w:themeColor="text1"/>
          <w:kern w:val="0"/>
          <w:sz w:val="22"/>
          <w:szCs w:val="22"/>
          <w:lang w:eastAsia="en-GB"/>
          <w14:ligatures w14:val="none"/>
        </w:rPr>
        <w:t xml:space="preserve">In addition, supporting information from the applicant confirmed that Aster would seek removal of the cabin when no longer required. </w:t>
      </w:r>
    </w:p>
    <w:p w14:paraId="02FCE558" w14:textId="77777777" w:rsidR="00975421" w:rsidRP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p>
    <w:p w14:paraId="5CD2C5C6" w14:textId="77777777" w:rsid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r w:rsidRPr="00975421">
        <w:rPr>
          <w:rFonts w:ascii="Arial" w:eastAsia="Times New Roman" w:hAnsi="Arial" w:cs="Arial"/>
          <w:color w:val="000000" w:themeColor="text1"/>
          <w:kern w:val="0"/>
          <w:sz w:val="22"/>
          <w:szCs w:val="22"/>
          <w:lang w:eastAsia="en-GB"/>
          <w14:ligatures w14:val="none"/>
        </w:rPr>
        <w:t>The submitted plans indicate informal existing/proposed parking adjacent to the bridleway. Public Rights of Way has objected to the creation of parking spaces on the bridleway verge, explaining that the verge forms part of the bridleway and is not within the registered title of the property. This permission does not authorise the creation of parking spaces on the bridleway verge, any surfacing of that verge, any obstruction of WLAV34, or any private vehicular right over the bridleway. Those matters are separate from the acceptability of the annexe itself.</w:t>
      </w:r>
    </w:p>
    <w:p w14:paraId="338D6E74" w14:textId="77777777" w:rsidR="00975421" w:rsidRP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p>
    <w:p w14:paraId="1CFA28C1" w14:textId="77777777" w:rsidR="00975421" w:rsidRPr="00975421" w:rsidRDefault="00975421" w:rsidP="00975421">
      <w:pPr>
        <w:spacing w:after="0" w:line="276" w:lineRule="auto"/>
        <w:jc w:val="both"/>
        <w:rPr>
          <w:rFonts w:ascii="Arial" w:eastAsia="Times New Roman" w:hAnsi="Arial" w:cs="Arial"/>
          <w:color w:val="000000" w:themeColor="text1"/>
          <w:kern w:val="0"/>
          <w:sz w:val="22"/>
          <w:szCs w:val="22"/>
          <w:lang w:eastAsia="en-GB"/>
          <w14:ligatures w14:val="none"/>
        </w:rPr>
      </w:pPr>
      <w:r w:rsidRPr="00975421">
        <w:rPr>
          <w:rFonts w:ascii="Arial" w:eastAsia="Times New Roman" w:hAnsi="Arial" w:cs="Arial"/>
          <w:color w:val="000000" w:themeColor="text1"/>
          <w:kern w:val="0"/>
          <w:sz w:val="22"/>
          <w:szCs w:val="22"/>
          <w:lang w:eastAsia="en-GB"/>
          <w14:ligatures w14:val="none"/>
        </w:rPr>
        <w:t>The existing vehicular access arrangements via WLAV34 are historic and are not created by this application. Subject to informatives advising the applicant regarding private vehicular access rights and the protection of the public right of way, the proposal is acceptable in highway and rights of way terms.</w:t>
      </w:r>
    </w:p>
    <w:p w14:paraId="557D2136" w14:textId="77777777" w:rsidR="005C3793" w:rsidRDefault="005C3793"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94ED41" w14:textId="77777777" w:rsidR="0086049E" w:rsidRPr="006705B5" w:rsidRDefault="0086049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65E951A" w14:textId="37D8EEE4"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p>
    <w:p w14:paraId="258AF305"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5E99C1E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4BB1D3BA"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014619D" w14:textId="77777777" w:rsidR="003C3D4B"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8F16BC0" w14:textId="77777777" w:rsid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BF6291" w14:textId="77777777" w:rsidR="00B90F3A" w:rsidRP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B90F3A">
        <w:rPr>
          <w:rFonts w:ascii="Arial" w:eastAsia="Times New Roman" w:hAnsi="Arial" w:cs="Arial"/>
          <w:color w:val="000000" w:themeColor="text1"/>
          <w:kern w:val="0"/>
          <w:sz w:val="22"/>
          <w:szCs w:val="22"/>
          <w:lang w:eastAsia="en-GB"/>
          <w14:ligatures w14:val="none"/>
        </w:rPr>
        <w:t>The Environment Act 2021 introduces a statutory requirement for most developments to deliver a minimum 10% Biodiversity Net Gain (BNG).</w:t>
      </w:r>
    </w:p>
    <w:p w14:paraId="59353688" w14:textId="77777777" w:rsidR="00B90F3A" w:rsidRDefault="00B90F3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979E1C9" w14:textId="77777777" w:rsidR="003C3D4B" w:rsidRPr="003C3D4B" w:rsidRDefault="003C3D4B" w:rsidP="003C3D4B">
      <w:pPr>
        <w:spacing w:after="0" w:line="276" w:lineRule="auto"/>
        <w:jc w:val="both"/>
        <w:rPr>
          <w:rFonts w:ascii="Arial" w:eastAsia="Times New Roman" w:hAnsi="Arial" w:cs="Arial"/>
          <w:i/>
          <w:iCs/>
          <w:color w:val="000000" w:themeColor="text1"/>
          <w:kern w:val="0"/>
          <w:sz w:val="22"/>
          <w:szCs w:val="22"/>
          <w:lang w:eastAsia="en-GB"/>
          <w14:ligatures w14:val="none"/>
        </w:rPr>
      </w:pPr>
      <w:r w:rsidRPr="003C3D4B">
        <w:rPr>
          <w:rFonts w:ascii="Arial" w:eastAsia="Times New Roman" w:hAnsi="Arial" w:cs="Arial"/>
          <w:i/>
          <w:iCs/>
          <w:color w:val="000000" w:themeColor="text1"/>
          <w:kern w:val="0"/>
          <w:sz w:val="22"/>
          <w:szCs w:val="22"/>
          <w:lang w:eastAsia="en-GB"/>
          <w14:ligatures w14:val="none"/>
        </w:rPr>
        <w:t>Assessment</w:t>
      </w:r>
    </w:p>
    <w:p w14:paraId="18445EAD" w14:textId="77777777" w:rsidR="005C3793" w:rsidRDefault="005C3793" w:rsidP="005C3793">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2E2C123E" w14:textId="77777777" w:rsidR="005C3793" w:rsidRDefault="005C3793" w:rsidP="009C1702">
      <w:pPr>
        <w:spacing w:after="0" w:line="276" w:lineRule="auto"/>
        <w:jc w:val="both"/>
        <w:rPr>
          <w:rFonts w:ascii="Arial" w:eastAsia="Times New Roman" w:hAnsi="Arial" w:cs="Arial"/>
          <w:color w:val="000000" w:themeColor="text1"/>
          <w:kern w:val="0"/>
          <w:sz w:val="22"/>
          <w:szCs w:val="22"/>
          <w:lang w:val="en-US" w:eastAsia="en-GB"/>
          <w14:ligatures w14:val="none"/>
        </w:rPr>
      </w:pPr>
    </w:p>
    <w:p w14:paraId="143EE200" w14:textId="3562E65B" w:rsidR="00F87C01" w:rsidRDefault="005C379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C3793">
        <w:rPr>
          <w:rFonts w:ascii="Arial" w:eastAsia="Times New Roman" w:hAnsi="Arial" w:cs="Arial"/>
          <w:color w:val="000000" w:themeColor="text1"/>
          <w:kern w:val="0"/>
          <w:sz w:val="22"/>
          <w:szCs w:val="22"/>
          <w:lang w:val="en-US" w:eastAsia="en-GB"/>
          <w14:ligatures w14:val="none"/>
        </w:rPr>
        <w:t>The submitted application form states that no trees or hedges would be removed or pruned. The proposal would be located within a domestic garden and would be supported by a low-impact ground screw foundation system. Having regard to the nature and scale of the works, no unacceptable ecological impact is identified.</w:t>
      </w:r>
      <w:r w:rsidRPr="005C3793">
        <w:rPr>
          <w:rFonts w:ascii="Arial" w:eastAsia="Times New Roman" w:hAnsi="Arial" w:cs="Arial"/>
          <w:color w:val="000000" w:themeColor="text1"/>
          <w:kern w:val="0"/>
          <w:sz w:val="22"/>
          <w:szCs w:val="22"/>
          <w:lang w:eastAsia="en-GB"/>
          <w14:ligatures w14:val="none"/>
        </w:rPr>
        <w:t> </w:t>
      </w:r>
    </w:p>
    <w:p w14:paraId="6A36414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E727D48" w14:textId="77777777" w:rsidR="008A4A39" w:rsidRDefault="008A4A3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93D1A1C" w14:textId="377E28E6"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142CEA" w:rsidRPr="00247CD5">
        <w:rPr>
          <w:rFonts w:ascii="Arial" w:eastAsia="Times New Roman" w:hAnsi="Arial" w:cs="Arial"/>
          <w:color w:val="ED0000"/>
          <w:kern w:val="0"/>
          <w:sz w:val="22"/>
          <w:szCs w:val="22"/>
          <w:lang w:eastAsia="en-GB"/>
          <w14:ligatures w14:val="none"/>
        </w:rPr>
        <w:t xml:space="preserve"> </w:t>
      </w:r>
    </w:p>
    <w:p w14:paraId="481F6DAD" w14:textId="77777777" w:rsidR="001635D2" w:rsidRPr="001635D2" w:rsidRDefault="001635D2" w:rsidP="001635D2">
      <w:pPr>
        <w:spacing w:after="0" w:line="276" w:lineRule="auto"/>
        <w:jc w:val="both"/>
        <w:rPr>
          <w:rFonts w:ascii="Arial" w:eastAsia="Times New Roman" w:hAnsi="Arial" w:cs="Arial"/>
          <w:i/>
          <w:iCs/>
          <w:kern w:val="0"/>
          <w:sz w:val="22"/>
          <w:szCs w:val="22"/>
          <w:lang w:eastAsia="en-GB"/>
          <w14:ligatures w14:val="none"/>
        </w:rPr>
      </w:pPr>
      <w:r w:rsidRPr="001635D2">
        <w:rPr>
          <w:rFonts w:ascii="Arial" w:eastAsia="Times New Roman" w:hAnsi="Arial" w:cs="Arial"/>
          <w:i/>
          <w:iCs/>
          <w:kern w:val="0"/>
          <w:sz w:val="22"/>
          <w:szCs w:val="22"/>
          <w:lang w:eastAsia="en-GB"/>
          <w14:ligatures w14:val="none"/>
        </w:rPr>
        <w:t>Policy Context</w:t>
      </w:r>
    </w:p>
    <w:p w14:paraId="78BF66F4"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61DD8810"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2D72940A" w14:textId="5B8CDEBE" w:rsidR="001566BD" w:rsidRPr="005C3793" w:rsidRDefault="005C3793" w:rsidP="00A5308F">
      <w:pPr>
        <w:spacing w:after="0" w:line="276" w:lineRule="auto"/>
        <w:jc w:val="both"/>
        <w:rPr>
          <w:rFonts w:ascii="Arial" w:eastAsia="Times New Roman" w:hAnsi="Arial" w:cs="Arial"/>
          <w:kern w:val="0"/>
          <w:sz w:val="22"/>
          <w:szCs w:val="22"/>
          <w:lang w:eastAsia="en-GB"/>
          <w14:ligatures w14:val="none"/>
        </w:rPr>
      </w:pPr>
      <w:r w:rsidRPr="005C3793">
        <w:rPr>
          <w:rFonts w:ascii="Arial" w:eastAsia="Times New Roman" w:hAnsi="Arial" w:cs="Arial"/>
          <w:kern w:val="0"/>
          <w:sz w:val="22"/>
          <w:szCs w:val="22"/>
          <w:lang w:val="en-US" w:eastAsia="en-GB"/>
          <w14:ligatures w14:val="none"/>
        </w:rPr>
        <w:t>The proposal is a small-scale householder development within an existing residential garden. The submitted information indicates use of a ground screw foundation system which would minimise ground disturbance and avoid traditional concrete foundations. No specific drainage objection has been received. Given the scale and nature of the proposal, it is not considered to result in unacceptable flood risk or drainage impacts.</w:t>
      </w:r>
      <w:r w:rsidRPr="005C3793">
        <w:rPr>
          <w:rFonts w:ascii="Arial" w:eastAsia="Times New Roman" w:hAnsi="Arial" w:cs="Arial"/>
          <w:kern w:val="0"/>
          <w:sz w:val="22"/>
          <w:szCs w:val="22"/>
          <w:lang w:eastAsia="en-GB"/>
          <w14:ligatures w14:val="none"/>
        </w:rPr>
        <w:t> </w:t>
      </w:r>
    </w:p>
    <w:p w14:paraId="1FA61921" w14:textId="77777777" w:rsidR="00110335" w:rsidRPr="00A5308F" w:rsidRDefault="00110335" w:rsidP="00A5308F">
      <w:pPr>
        <w:spacing w:after="0" w:line="276" w:lineRule="auto"/>
        <w:jc w:val="both"/>
        <w:rPr>
          <w:rFonts w:ascii="Arial" w:eastAsia="Times New Roman" w:hAnsi="Arial" w:cs="Arial"/>
          <w:color w:val="ED0000"/>
          <w:kern w:val="0"/>
          <w:sz w:val="22"/>
          <w:szCs w:val="22"/>
          <w:lang w:eastAsia="en-GB"/>
          <w14:ligatures w14:val="none"/>
        </w:rPr>
      </w:pPr>
    </w:p>
    <w:p w14:paraId="421EC421"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31570838"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0FFD4216" w14:textId="6CC97301" w:rsidR="00995F68" w:rsidRPr="005C3793" w:rsidRDefault="005C3793" w:rsidP="009C1702">
      <w:pPr>
        <w:spacing w:after="0" w:line="276" w:lineRule="auto"/>
        <w:jc w:val="both"/>
        <w:rPr>
          <w:rFonts w:ascii="Arial" w:eastAsia="Times New Roman" w:hAnsi="Arial" w:cs="Arial"/>
          <w:kern w:val="0"/>
          <w:sz w:val="22"/>
          <w:szCs w:val="22"/>
          <w:lang w:eastAsia="en-GB"/>
          <w14:ligatures w14:val="none"/>
        </w:rPr>
      </w:pPr>
      <w:r w:rsidRPr="005C3793">
        <w:rPr>
          <w:rFonts w:ascii="Arial" w:eastAsia="Times New Roman" w:hAnsi="Arial" w:cs="Arial"/>
          <w:kern w:val="0"/>
          <w:sz w:val="22"/>
          <w:szCs w:val="22"/>
          <w:lang w:val="en-US" w:eastAsia="en-GB"/>
          <w14:ligatures w14:val="none"/>
        </w:rPr>
        <w:t>Matters relating to land ownership, landlord consent, private rights of access and the applicant’s ability to use or alter land outside the application site are not determinative planning matters. The application form confirms that Certificate B was served on Aster Housing Association. Aster has provided permission in principle for the applicant to progress the proposal, while making clear that further landlord approval, Building Control requirements and the future removal of the cabin at the end of the tenancy are matters for the applicant and landlord. Those controls provide further context, but the planning decision must be made on land use planning grounds.</w:t>
      </w:r>
      <w:r w:rsidRPr="005C3793">
        <w:rPr>
          <w:rFonts w:ascii="Arial" w:eastAsia="Times New Roman" w:hAnsi="Arial" w:cs="Arial"/>
          <w:kern w:val="0"/>
          <w:sz w:val="22"/>
          <w:szCs w:val="22"/>
          <w:lang w:eastAsia="en-GB"/>
          <w14:ligatures w14:val="none"/>
        </w:rPr>
        <w:t> </w:t>
      </w:r>
    </w:p>
    <w:p w14:paraId="32804736" w14:textId="77777777" w:rsidR="005C3793" w:rsidRPr="00394AB3" w:rsidRDefault="005C3793" w:rsidP="009C1702">
      <w:pPr>
        <w:spacing w:after="0" w:line="276" w:lineRule="auto"/>
        <w:jc w:val="both"/>
        <w:rPr>
          <w:rFonts w:ascii="Arial" w:eastAsia="Times New Roman" w:hAnsi="Arial" w:cs="Arial"/>
          <w:i/>
          <w:iCs/>
          <w:color w:val="FF0000"/>
          <w:kern w:val="0"/>
          <w:sz w:val="22"/>
          <w:szCs w:val="22"/>
          <w:lang w:eastAsia="en-GB"/>
          <w14:ligatures w14:val="none"/>
        </w:rPr>
      </w:pPr>
    </w:p>
    <w:p w14:paraId="62B2BC7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DF48CD9" w14:textId="15EAE52E"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r w:rsidR="00521B71">
        <w:rPr>
          <w:rFonts w:ascii="Arial" w:eastAsia="Times New Roman" w:hAnsi="Arial" w:cs="Arial"/>
          <w:b/>
          <w:bCs/>
          <w:kern w:val="0"/>
          <w:sz w:val="22"/>
          <w:szCs w:val="22"/>
          <w:lang w:eastAsia="en-GB"/>
          <w14:ligatures w14:val="none"/>
        </w:rPr>
        <w:t xml:space="preserve"> </w:t>
      </w:r>
    </w:p>
    <w:p w14:paraId="1E5D82EB" w14:textId="77777777" w:rsidR="002A4D26" w:rsidRDefault="002A4D26" w:rsidP="009C1702">
      <w:pPr>
        <w:spacing w:after="0" w:line="276" w:lineRule="auto"/>
        <w:jc w:val="both"/>
        <w:rPr>
          <w:rFonts w:ascii="Arial" w:eastAsia="Times New Roman" w:hAnsi="Arial" w:cs="Arial"/>
          <w:color w:val="FF0000"/>
          <w:kern w:val="0"/>
          <w:sz w:val="22"/>
          <w:szCs w:val="22"/>
          <w:lang w:eastAsia="en-GB"/>
          <w14:ligatures w14:val="none"/>
        </w:rPr>
      </w:pPr>
    </w:p>
    <w:p w14:paraId="51FE644A" w14:textId="77777777" w:rsidR="005C3793" w:rsidRDefault="005C3793" w:rsidP="005C3793">
      <w:pPr>
        <w:spacing w:after="0" w:line="276" w:lineRule="auto"/>
        <w:jc w:val="both"/>
        <w:rPr>
          <w:rFonts w:ascii="Arial" w:eastAsia="Times New Roman" w:hAnsi="Arial" w:cs="Arial"/>
          <w:kern w:val="0"/>
          <w:sz w:val="22"/>
          <w:szCs w:val="22"/>
          <w:lang w:eastAsia="en-GB"/>
          <w14:ligatures w14:val="none"/>
        </w:rPr>
      </w:pPr>
      <w:r w:rsidRPr="005C3793">
        <w:rPr>
          <w:rFonts w:ascii="Arial" w:eastAsia="Times New Roman" w:hAnsi="Arial" w:cs="Arial"/>
          <w:kern w:val="0"/>
          <w:sz w:val="22"/>
          <w:szCs w:val="22"/>
          <w:lang w:val="en-US" w:eastAsia="en-GB"/>
          <w14:ligatures w14:val="none"/>
        </w:rPr>
        <w:t xml:space="preserve">The proposed annexe would be located within the rear garden of the host dwelling and would provide ancillary accommodation for the applicant’s disabled adult son. The personal circumstances and support needs set out by the applicant, the Wiltshire Council Disabilities Team and the Parish </w:t>
      </w:r>
      <w:proofErr w:type="gramStart"/>
      <w:r w:rsidRPr="005C3793">
        <w:rPr>
          <w:rFonts w:ascii="Arial" w:eastAsia="Times New Roman" w:hAnsi="Arial" w:cs="Arial"/>
          <w:kern w:val="0"/>
          <w:sz w:val="22"/>
          <w:szCs w:val="22"/>
          <w:lang w:val="en-US" w:eastAsia="en-GB"/>
          <w14:ligatures w14:val="none"/>
        </w:rPr>
        <w:t>Council</w:t>
      </w:r>
      <w:proofErr w:type="gramEnd"/>
      <w:r w:rsidRPr="005C3793">
        <w:rPr>
          <w:rFonts w:ascii="Arial" w:eastAsia="Times New Roman" w:hAnsi="Arial" w:cs="Arial"/>
          <w:kern w:val="0"/>
          <w:sz w:val="22"/>
          <w:szCs w:val="22"/>
          <w:lang w:val="en-US" w:eastAsia="en-GB"/>
          <w14:ligatures w14:val="none"/>
        </w:rPr>
        <w:t xml:space="preserve"> are material considerations which add weight in favour of the proposal. The building is acceptable in scale, design and appearance, would preserve the character and appearance of the Conservation Area, and would not result in unacceptable neighbouring amenity impacts.</w:t>
      </w:r>
      <w:r w:rsidRPr="005C3793">
        <w:rPr>
          <w:rFonts w:ascii="Arial" w:eastAsia="Times New Roman" w:hAnsi="Arial" w:cs="Arial"/>
          <w:kern w:val="0"/>
          <w:sz w:val="22"/>
          <w:szCs w:val="22"/>
          <w:lang w:eastAsia="en-GB"/>
          <w14:ligatures w14:val="none"/>
        </w:rPr>
        <w:t> </w:t>
      </w:r>
    </w:p>
    <w:p w14:paraId="5976F79C" w14:textId="77777777" w:rsidR="005C3793" w:rsidRPr="005C3793" w:rsidRDefault="005C3793" w:rsidP="005C3793">
      <w:pPr>
        <w:spacing w:after="0" w:line="276" w:lineRule="auto"/>
        <w:jc w:val="both"/>
        <w:rPr>
          <w:rFonts w:ascii="Arial" w:eastAsia="Times New Roman" w:hAnsi="Arial" w:cs="Arial"/>
          <w:kern w:val="0"/>
          <w:sz w:val="22"/>
          <w:szCs w:val="22"/>
          <w:lang w:eastAsia="en-GB"/>
          <w14:ligatures w14:val="none"/>
        </w:rPr>
      </w:pPr>
    </w:p>
    <w:p w14:paraId="275A3956" w14:textId="77777777" w:rsidR="005C3793" w:rsidRDefault="005C3793" w:rsidP="005C3793">
      <w:pPr>
        <w:spacing w:after="0" w:line="276" w:lineRule="auto"/>
        <w:jc w:val="both"/>
        <w:rPr>
          <w:rFonts w:ascii="Arial" w:eastAsia="Times New Roman" w:hAnsi="Arial" w:cs="Arial"/>
          <w:kern w:val="0"/>
          <w:sz w:val="22"/>
          <w:szCs w:val="22"/>
          <w:lang w:eastAsia="en-GB"/>
          <w14:ligatures w14:val="none"/>
        </w:rPr>
      </w:pPr>
      <w:r w:rsidRPr="005C3793">
        <w:rPr>
          <w:rFonts w:ascii="Arial" w:eastAsia="Times New Roman" w:hAnsi="Arial" w:cs="Arial"/>
          <w:kern w:val="0"/>
          <w:sz w:val="22"/>
          <w:szCs w:val="22"/>
          <w:lang w:val="en-US" w:eastAsia="en-GB"/>
          <w14:ligatures w14:val="none"/>
        </w:rPr>
        <w:t xml:space="preserve">The proposal would not create an independent dwelling or a separate parking demand, subject to a condition securing ancillary occupation only. The concerns raised by Public Rights of Way relate to the proposed creation of parking spaces on the </w:t>
      </w:r>
      <w:proofErr w:type="gramStart"/>
      <w:r w:rsidRPr="005C3793">
        <w:rPr>
          <w:rFonts w:ascii="Arial" w:eastAsia="Times New Roman" w:hAnsi="Arial" w:cs="Arial"/>
          <w:kern w:val="0"/>
          <w:sz w:val="22"/>
          <w:szCs w:val="22"/>
          <w:lang w:val="en-US" w:eastAsia="en-GB"/>
          <w14:ligatures w14:val="none"/>
        </w:rPr>
        <w:t>bridleway verge</w:t>
      </w:r>
      <w:proofErr w:type="gramEnd"/>
      <w:r w:rsidRPr="005C3793">
        <w:rPr>
          <w:rFonts w:ascii="Arial" w:eastAsia="Times New Roman" w:hAnsi="Arial" w:cs="Arial"/>
          <w:kern w:val="0"/>
          <w:sz w:val="22"/>
          <w:szCs w:val="22"/>
          <w:lang w:val="en-US" w:eastAsia="en-GB"/>
          <w14:ligatures w14:val="none"/>
        </w:rPr>
        <w:t xml:space="preserve"> and to private vehicular access rights. This permission does not authorise such works or rights, and </w:t>
      </w:r>
      <w:r w:rsidRPr="005C3793">
        <w:rPr>
          <w:rFonts w:ascii="Arial" w:eastAsia="Times New Roman" w:hAnsi="Arial" w:cs="Arial"/>
          <w:kern w:val="0"/>
          <w:sz w:val="22"/>
          <w:szCs w:val="22"/>
          <w:lang w:val="en-US" w:eastAsia="en-GB"/>
          <w14:ligatures w14:val="none"/>
        </w:rPr>
        <w:lastRenderedPageBreak/>
        <w:t>appropriate informatives are recommended. The historic access arrangements do not justify refusal of the application for the annexe itself.</w:t>
      </w:r>
      <w:r w:rsidRPr="005C3793">
        <w:rPr>
          <w:rFonts w:ascii="Arial" w:eastAsia="Times New Roman" w:hAnsi="Arial" w:cs="Arial"/>
          <w:kern w:val="0"/>
          <w:sz w:val="22"/>
          <w:szCs w:val="22"/>
          <w:lang w:eastAsia="en-GB"/>
          <w14:ligatures w14:val="none"/>
        </w:rPr>
        <w:t> </w:t>
      </w:r>
    </w:p>
    <w:p w14:paraId="37B90572" w14:textId="77777777" w:rsidR="005C3793" w:rsidRPr="005C3793" w:rsidRDefault="005C3793" w:rsidP="005C3793">
      <w:pPr>
        <w:spacing w:after="0" w:line="276" w:lineRule="auto"/>
        <w:jc w:val="both"/>
        <w:rPr>
          <w:rFonts w:ascii="Arial" w:eastAsia="Times New Roman" w:hAnsi="Arial" w:cs="Arial"/>
          <w:kern w:val="0"/>
          <w:sz w:val="22"/>
          <w:szCs w:val="22"/>
          <w:lang w:eastAsia="en-GB"/>
          <w14:ligatures w14:val="none"/>
        </w:rPr>
      </w:pPr>
    </w:p>
    <w:p w14:paraId="4B565289" w14:textId="77777777" w:rsidR="005C3793" w:rsidRPr="005C3793" w:rsidRDefault="005C3793" w:rsidP="005C3793">
      <w:pPr>
        <w:spacing w:after="0" w:line="276" w:lineRule="auto"/>
        <w:jc w:val="both"/>
        <w:rPr>
          <w:rFonts w:ascii="Arial" w:eastAsia="Times New Roman" w:hAnsi="Arial" w:cs="Arial"/>
          <w:kern w:val="0"/>
          <w:sz w:val="22"/>
          <w:szCs w:val="22"/>
          <w:lang w:eastAsia="en-GB"/>
          <w14:ligatures w14:val="none"/>
        </w:rPr>
      </w:pPr>
      <w:r w:rsidRPr="005C3793">
        <w:rPr>
          <w:rFonts w:ascii="Arial" w:eastAsia="Times New Roman" w:hAnsi="Arial" w:cs="Arial"/>
          <w:kern w:val="0"/>
          <w:sz w:val="22"/>
          <w:szCs w:val="22"/>
          <w:lang w:val="en-US" w:eastAsia="en-GB"/>
          <w14:ligatures w14:val="none"/>
        </w:rPr>
        <w:t>For the reasons set out above, the proposal is considered to comply with the relevant provisions of the Wiltshire Core Strategy and the NPPF, and planning permission should be granted subject to conditions.</w:t>
      </w:r>
      <w:r w:rsidRPr="005C3793">
        <w:rPr>
          <w:rFonts w:ascii="Arial" w:eastAsia="Times New Roman" w:hAnsi="Arial" w:cs="Arial"/>
          <w:kern w:val="0"/>
          <w:sz w:val="22"/>
          <w:szCs w:val="22"/>
          <w:lang w:eastAsia="en-GB"/>
          <w14:ligatures w14:val="none"/>
        </w:rPr>
        <w:t> </w:t>
      </w:r>
    </w:p>
    <w:p w14:paraId="79AA687D" w14:textId="77777777" w:rsidR="003761B4" w:rsidRPr="005C3793" w:rsidRDefault="003761B4" w:rsidP="009C1702">
      <w:pPr>
        <w:spacing w:after="0" w:line="276" w:lineRule="auto"/>
        <w:jc w:val="both"/>
        <w:rPr>
          <w:rFonts w:ascii="Arial" w:eastAsia="Times New Roman" w:hAnsi="Arial" w:cs="Arial"/>
          <w:kern w:val="0"/>
          <w:sz w:val="22"/>
          <w:szCs w:val="22"/>
          <w:lang w:eastAsia="en-GB"/>
          <w14:ligatures w14:val="none"/>
        </w:rPr>
      </w:pPr>
    </w:p>
    <w:p w14:paraId="1B2D448F" w14:textId="0D26CC60" w:rsidR="006A54C9" w:rsidRPr="004C3606" w:rsidRDefault="00252100"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GRANTED subject </w:t>
      </w:r>
      <w:r w:rsidR="003F2AA0">
        <w:rPr>
          <w:rFonts w:ascii="Arial" w:eastAsia="Times New Roman" w:hAnsi="Arial" w:cs="Arial"/>
          <w:b/>
          <w:bCs/>
          <w:kern w:val="0"/>
          <w:sz w:val="22"/>
          <w:szCs w:val="22"/>
          <w:lang w:eastAsia="en-GB"/>
          <w14:ligatures w14:val="none"/>
        </w:rPr>
        <w:t xml:space="preserve">to </w:t>
      </w:r>
      <w:r w:rsidRPr="009C1702">
        <w:rPr>
          <w:rFonts w:ascii="Arial" w:eastAsia="Times New Roman" w:hAnsi="Arial" w:cs="Arial"/>
          <w:b/>
          <w:bCs/>
          <w:kern w:val="0"/>
          <w:sz w:val="22"/>
          <w:szCs w:val="22"/>
          <w:lang w:eastAsia="en-GB"/>
          <w14:ligatures w14:val="none"/>
        </w:rPr>
        <w:t>conditions</w:t>
      </w:r>
      <w:r w:rsidR="004C3606">
        <w:rPr>
          <w:rFonts w:ascii="Arial" w:eastAsia="Times New Roman" w:hAnsi="Arial" w:cs="Arial"/>
          <w:b/>
          <w:bCs/>
          <w:kern w:val="0"/>
          <w:sz w:val="22"/>
          <w:szCs w:val="22"/>
          <w:lang w:eastAsia="en-GB"/>
          <w14:ligatures w14:val="none"/>
        </w:rPr>
        <w:t xml:space="preserve">. </w:t>
      </w:r>
    </w:p>
    <w:sectPr w:rsidR="006A54C9" w:rsidRPr="004C3606" w:rsidSect="009C2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5F5A53"/>
    <w:multiLevelType w:val="multilevel"/>
    <w:tmpl w:val="C2DE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AC2532"/>
    <w:multiLevelType w:val="multilevel"/>
    <w:tmpl w:val="703A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A21A4"/>
    <w:multiLevelType w:val="multilevel"/>
    <w:tmpl w:val="800A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7704A1"/>
    <w:multiLevelType w:val="hybridMultilevel"/>
    <w:tmpl w:val="9DB23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AF73FD"/>
    <w:multiLevelType w:val="multilevel"/>
    <w:tmpl w:val="0254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2"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F173B8"/>
    <w:multiLevelType w:val="multilevel"/>
    <w:tmpl w:val="3640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660037"/>
    <w:multiLevelType w:val="hybridMultilevel"/>
    <w:tmpl w:val="CECE6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8B5184"/>
    <w:multiLevelType w:val="multilevel"/>
    <w:tmpl w:val="1D5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6F777C"/>
    <w:multiLevelType w:val="multilevel"/>
    <w:tmpl w:val="4760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BA5480"/>
    <w:multiLevelType w:val="multilevel"/>
    <w:tmpl w:val="EC96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616C6B"/>
    <w:multiLevelType w:val="hybridMultilevel"/>
    <w:tmpl w:val="3C54C2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9C1409"/>
    <w:multiLevelType w:val="multilevel"/>
    <w:tmpl w:val="7CE4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2E0D61"/>
    <w:multiLevelType w:val="hybridMultilevel"/>
    <w:tmpl w:val="0ADAD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537D06"/>
    <w:multiLevelType w:val="hybridMultilevel"/>
    <w:tmpl w:val="23CCA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11"/>
  </w:num>
  <w:num w:numId="2" w16cid:durableId="892273552">
    <w:abstractNumId w:val="5"/>
  </w:num>
  <w:num w:numId="3" w16cid:durableId="1181357059">
    <w:abstractNumId w:val="25"/>
  </w:num>
  <w:num w:numId="4" w16cid:durableId="1650787556">
    <w:abstractNumId w:val="14"/>
  </w:num>
  <w:num w:numId="5" w16cid:durableId="466094426">
    <w:abstractNumId w:val="27"/>
  </w:num>
  <w:num w:numId="6" w16cid:durableId="1542328013">
    <w:abstractNumId w:val="28"/>
  </w:num>
  <w:num w:numId="7" w16cid:durableId="1004281297">
    <w:abstractNumId w:val="6"/>
  </w:num>
  <w:num w:numId="8" w16cid:durableId="1878279251">
    <w:abstractNumId w:val="1"/>
  </w:num>
  <w:num w:numId="9" w16cid:durableId="1286542474">
    <w:abstractNumId w:val="10"/>
  </w:num>
  <w:num w:numId="10" w16cid:durableId="2027555515">
    <w:abstractNumId w:val="23"/>
  </w:num>
  <w:num w:numId="11" w16cid:durableId="334724159">
    <w:abstractNumId w:val="22"/>
  </w:num>
  <w:num w:numId="12" w16cid:durableId="1840384416">
    <w:abstractNumId w:val="19"/>
  </w:num>
  <w:num w:numId="13" w16cid:durableId="1158687152">
    <w:abstractNumId w:val="9"/>
  </w:num>
  <w:num w:numId="14" w16cid:durableId="2122996537">
    <w:abstractNumId w:val="26"/>
  </w:num>
  <w:num w:numId="15" w16cid:durableId="1588228320">
    <w:abstractNumId w:val="8"/>
  </w:num>
  <w:num w:numId="16" w16cid:durableId="2118022103">
    <w:abstractNumId w:val="15"/>
  </w:num>
  <w:num w:numId="17" w16cid:durableId="122887373">
    <w:abstractNumId w:val="7"/>
  </w:num>
  <w:num w:numId="18" w16cid:durableId="1534419373">
    <w:abstractNumId w:val="32"/>
  </w:num>
  <w:num w:numId="19" w16cid:durableId="810177257">
    <w:abstractNumId w:val="31"/>
  </w:num>
  <w:num w:numId="20" w16cid:durableId="42752788">
    <w:abstractNumId w:val="4"/>
  </w:num>
  <w:num w:numId="21" w16cid:durableId="1543862585">
    <w:abstractNumId w:val="24"/>
  </w:num>
  <w:num w:numId="22" w16cid:durableId="1914923571">
    <w:abstractNumId w:val="12"/>
  </w:num>
  <w:num w:numId="23" w16cid:durableId="2050687292">
    <w:abstractNumId w:val="0"/>
  </w:num>
  <w:num w:numId="24" w16cid:durableId="990904721">
    <w:abstractNumId w:val="30"/>
  </w:num>
  <w:num w:numId="25" w16cid:durableId="947007189">
    <w:abstractNumId w:val="16"/>
  </w:num>
  <w:num w:numId="26" w16cid:durableId="186066543">
    <w:abstractNumId w:val="21"/>
  </w:num>
  <w:num w:numId="27" w16cid:durableId="513422853">
    <w:abstractNumId w:val="29"/>
  </w:num>
  <w:num w:numId="28" w16cid:durableId="2097482728">
    <w:abstractNumId w:val="2"/>
  </w:num>
  <w:num w:numId="29" w16cid:durableId="518859308">
    <w:abstractNumId w:val="18"/>
  </w:num>
  <w:num w:numId="30" w16cid:durableId="553232">
    <w:abstractNumId w:val="3"/>
  </w:num>
  <w:num w:numId="31" w16cid:durableId="1913849130">
    <w:abstractNumId w:val="13"/>
  </w:num>
  <w:num w:numId="32" w16cid:durableId="1958830865">
    <w:abstractNumId w:val="17"/>
  </w:num>
  <w:num w:numId="33" w16cid:durableId="19770998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5E29"/>
    <w:rsid w:val="000221CB"/>
    <w:rsid w:val="00033847"/>
    <w:rsid w:val="00035CDB"/>
    <w:rsid w:val="00036B3D"/>
    <w:rsid w:val="00042F3D"/>
    <w:rsid w:val="00043B9C"/>
    <w:rsid w:val="00051DDC"/>
    <w:rsid w:val="00054FE0"/>
    <w:rsid w:val="000601B5"/>
    <w:rsid w:val="000610AC"/>
    <w:rsid w:val="00063A02"/>
    <w:rsid w:val="00063D1C"/>
    <w:rsid w:val="0006701C"/>
    <w:rsid w:val="00071E19"/>
    <w:rsid w:val="0007377C"/>
    <w:rsid w:val="00075E0F"/>
    <w:rsid w:val="0007735A"/>
    <w:rsid w:val="00080A2F"/>
    <w:rsid w:val="000815DE"/>
    <w:rsid w:val="0008454F"/>
    <w:rsid w:val="00085C56"/>
    <w:rsid w:val="00091944"/>
    <w:rsid w:val="00093398"/>
    <w:rsid w:val="00097010"/>
    <w:rsid w:val="000A09D8"/>
    <w:rsid w:val="000B4864"/>
    <w:rsid w:val="000B66D7"/>
    <w:rsid w:val="000B6B01"/>
    <w:rsid w:val="000C0C27"/>
    <w:rsid w:val="000C7F98"/>
    <w:rsid w:val="000D0858"/>
    <w:rsid w:val="000D5836"/>
    <w:rsid w:val="000E063D"/>
    <w:rsid w:val="000E3BCF"/>
    <w:rsid w:val="000E448E"/>
    <w:rsid w:val="000E6021"/>
    <w:rsid w:val="000E7462"/>
    <w:rsid w:val="000F0EB0"/>
    <w:rsid w:val="000F3916"/>
    <w:rsid w:val="000F5CB2"/>
    <w:rsid w:val="000F68CC"/>
    <w:rsid w:val="001044B1"/>
    <w:rsid w:val="0010577C"/>
    <w:rsid w:val="0010688B"/>
    <w:rsid w:val="00106C67"/>
    <w:rsid w:val="00110335"/>
    <w:rsid w:val="00111D21"/>
    <w:rsid w:val="00121F93"/>
    <w:rsid w:val="00131662"/>
    <w:rsid w:val="00134D23"/>
    <w:rsid w:val="00141929"/>
    <w:rsid w:val="0014198B"/>
    <w:rsid w:val="00141A98"/>
    <w:rsid w:val="00142CEA"/>
    <w:rsid w:val="00152901"/>
    <w:rsid w:val="00155377"/>
    <w:rsid w:val="001566BD"/>
    <w:rsid w:val="0016162B"/>
    <w:rsid w:val="00162405"/>
    <w:rsid w:val="001635D2"/>
    <w:rsid w:val="00165552"/>
    <w:rsid w:val="0017014D"/>
    <w:rsid w:val="0017702F"/>
    <w:rsid w:val="0018298F"/>
    <w:rsid w:val="001A11A6"/>
    <w:rsid w:val="001A4142"/>
    <w:rsid w:val="001A6E40"/>
    <w:rsid w:val="001B34A3"/>
    <w:rsid w:val="001B78B9"/>
    <w:rsid w:val="001C0267"/>
    <w:rsid w:val="001C1DE8"/>
    <w:rsid w:val="001C30C8"/>
    <w:rsid w:val="001C56B9"/>
    <w:rsid w:val="001C73A5"/>
    <w:rsid w:val="001D0C3C"/>
    <w:rsid w:val="001D279F"/>
    <w:rsid w:val="001D2B00"/>
    <w:rsid w:val="001D3964"/>
    <w:rsid w:val="001E0BD8"/>
    <w:rsid w:val="001E5127"/>
    <w:rsid w:val="001F17EC"/>
    <w:rsid w:val="001F1A84"/>
    <w:rsid w:val="001F2448"/>
    <w:rsid w:val="00200044"/>
    <w:rsid w:val="00203935"/>
    <w:rsid w:val="002056F3"/>
    <w:rsid w:val="0020591D"/>
    <w:rsid w:val="002100CF"/>
    <w:rsid w:val="00211930"/>
    <w:rsid w:val="00212556"/>
    <w:rsid w:val="0021435E"/>
    <w:rsid w:val="002175E1"/>
    <w:rsid w:val="002215A6"/>
    <w:rsid w:val="00221D04"/>
    <w:rsid w:val="00222CFE"/>
    <w:rsid w:val="00225F53"/>
    <w:rsid w:val="00247590"/>
    <w:rsid w:val="00252100"/>
    <w:rsid w:val="002554DC"/>
    <w:rsid w:val="00257137"/>
    <w:rsid w:val="002658C5"/>
    <w:rsid w:val="0027217A"/>
    <w:rsid w:val="00275B3F"/>
    <w:rsid w:val="00276C28"/>
    <w:rsid w:val="00281472"/>
    <w:rsid w:val="002827D0"/>
    <w:rsid w:val="00284692"/>
    <w:rsid w:val="00284A2E"/>
    <w:rsid w:val="002869C7"/>
    <w:rsid w:val="00293202"/>
    <w:rsid w:val="00296162"/>
    <w:rsid w:val="00296211"/>
    <w:rsid w:val="002A114D"/>
    <w:rsid w:val="002A4D26"/>
    <w:rsid w:val="002A7C75"/>
    <w:rsid w:val="002B1490"/>
    <w:rsid w:val="002B3C19"/>
    <w:rsid w:val="002B5110"/>
    <w:rsid w:val="002B67AF"/>
    <w:rsid w:val="002B78A5"/>
    <w:rsid w:val="002C39F8"/>
    <w:rsid w:val="002C5BD7"/>
    <w:rsid w:val="002C64FD"/>
    <w:rsid w:val="002C7D54"/>
    <w:rsid w:val="002D20C0"/>
    <w:rsid w:val="002D6EE4"/>
    <w:rsid w:val="002D764D"/>
    <w:rsid w:val="002E6C51"/>
    <w:rsid w:val="002F1C98"/>
    <w:rsid w:val="0030007E"/>
    <w:rsid w:val="00302D05"/>
    <w:rsid w:val="003030A4"/>
    <w:rsid w:val="00307390"/>
    <w:rsid w:val="00312C7F"/>
    <w:rsid w:val="00315AE0"/>
    <w:rsid w:val="003274B1"/>
    <w:rsid w:val="00331E7A"/>
    <w:rsid w:val="00332D09"/>
    <w:rsid w:val="003342BE"/>
    <w:rsid w:val="00335B14"/>
    <w:rsid w:val="003415BB"/>
    <w:rsid w:val="0034477C"/>
    <w:rsid w:val="00345C22"/>
    <w:rsid w:val="0035250D"/>
    <w:rsid w:val="003535A6"/>
    <w:rsid w:val="00362D8F"/>
    <w:rsid w:val="00364013"/>
    <w:rsid w:val="00371103"/>
    <w:rsid w:val="00371C0F"/>
    <w:rsid w:val="003727C5"/>
    <w:rsid w:val="00372E76"/>
    <w:rsid w:val="0037425B"/>
    <w:rsid w:val="003761B4"/>
    <w:rsid w:val="0038668B"/>
    <w:rsid w:val="00393433"/>
    <w:rsid w:val="00394AB3"/>
    <w:rsid w:val="003A202C"/>
    <w:rsid w:val="003A2DD3"/>
    <w:rsid w:val="003A7995"/>
    <w:rsid w:val="003B4811"/>
    <w:rsid w:val="003C3D4B"/>
    <w:rsid w:val="003C7574"/>
    <w:rsid w:val="003C7575"/>
    <w:rsid w:val="003D24CD"/>
    <w:rsid w:val="003E2BA9"/>
    <w:rsid w:val="003F076A"/>
    <w:rsid w:val="003F2AA0"/>
    <w:rsid w:val="003F2FBC"/>
    <w:rsid w:val="003F5922"/>
    <w:rsid w:val="00400A21"/>
    <w:rsid w:val="00400FB2"/>
    <w:rsid w:val="004130CC"/>
    <w:rsid w:val="004158E9"/>
    <w:rsid w:val="00417E20"/>
    <w:rsid w:val="00417EEB"/>
    <w:rsid w:val="004212F8"/>
    <w:rsid w:val="00422C35"/>
    <w:rsid w:val="004268A1"/>
    <w:rsid w:val="00436306"/>
    <w:rsid w:val="00436D0A"/>
    <w:rsid w:val="004407D1"/>
    <w:rsid w:val="004414AD"/>
    <w:rsid w:val="00445C83"/>
    <w:rsid w:val="00450181"/>
    <w:rsid w:val="00454C71"/>
    <w:rsid w:val="00462E65"/>
    <w:rsid w:val="004649E9"/>
    <w:rsid w:val="00464AE2"/>
    <w:rsid w:val="00465C63"/>
    <w:rsid w:val="00467FD7"/>
    <w:rsid w:val="00470975"/>
    <w:rsid w:val="004713E6"/>
    <w:rsid w:val="00474621"/>
    <w:rsid w:val="004810AA"/>
    <w:rsid w:val="00482050"/>
    <w:rsid w:val="00487D26"/>
    <w:rsid w:val="004908AE"/>
    <w:rsid w:val="00491C07"/>
    <w:rsid w:val="00492385"/>
    <w:rsid w:val="00492C16"/>
    <w:rsid w:val="00496A46"/>
    <w:rsid w:val="004A4A11"/>
    <w:rsid w:val="004A6DB3"/>
    <w:rsid w:val="004B0B23"/>
    <w:rsid w:val="004B3C0C"/>
    <w:rsid w:val="004C3606"/>
    <w:rsid w:val="004D3857"/>
    <w:rsid w:val="004D3BA9"/>
    <w:rsid w:val="004D4B4A"/>
    <w:rsid w:val="004E0B80"/>
    <w:rsid w:val="004E7970"/>
    <w:rsid w:val="004F2ACE"/>
    <w:rsid w:val="004F635C"/>
    <w:rsid w:val="004F65E7"/>
    <w:rsid w:val="00511DB5"/>
    <w:rsid w:val="00515980"/>
    <w:rsid w:val="0051645C"/>
    <w:rsid w:val="0052069C"/>
    <w:rsid w:val="00520E30"/>
    <w:rsid w:val="00521B71"/>
    <w:rsid w:val="0054068B"/>
    <w:rsid w:val="00540D13"/>
    <w:rsid w:val="00543BFE"/>
    <w:rsid w:val="00550749"/>
    <w:rsid w:val="005560CE"/>
    <w:rsid w:val="00557F08"/>
    <w:rsid w:val="00561A9C"/>
    <w:rsid w:val="0056765A"/>
    <w:rsid w:val="00580F63"/>
    <w:rsid w:val="00582EB0"/>
    <w:rsid w:val="00587305"/>
    <w:rsid w:val="0059524B"/>
    <w:rsid w:val="00597BBB"/>
    <w:rsid w:val="005A2832"/>
    <w:rsid w:val="005A2AD2"/>
    <w:rsid w:val="005A2CD7"/>
    <w:rsid w:val="005A5492"/>
    <w:rsid w:val="005B0FD5"/>
    <w:rsid w:val="005B2B80"/>
    <w:rsid w:val="005B2D20"/>
    <w:rsid w:val="005C1D3F"/>
    <w:rsid w:val="005C3793"/>
    <w:rsid w:val="005C655E"/>
    <w:rsid w:val="005D04A7"/>
    <w:rsid w:val="005D24B8"/>
    <w:rsid w:val="005D30AB"/>
    <w:rsid w:val="005D3643"/>
    <w:rsid w:val="005D3A79"/>
    <w:rsid w:val="005E0776"/>
    <w:rsid w:val="005E0F78"/>
    <w:rsid w:val="005E2BAD"/>
    <w:rsid w:val="005E46F1"/>
    <w:rsid w:val="005E5D07"/>
    <w:rsid w:val="005E6526"/>
    <w:rsid w:val="00602EC9"/>
    <w:rsid w:val="00603A54"/>
    <w:rsid w:val="00615302"/>
    <w:rsid w:val="006164A3"/>
    <w:rsid w:val="00616DC2"/>
    <w:rsid w:val="0062234B"/>
    <w:rsid w:val="006242FB"/>
    <w:rsid w:val="00631B2E"/>
    <w:rsid w:val="0063206F"/>
    <w:rsid w:val="006333F2"/>
    <w:rsid w:val="00635E0E"/>
    <w:rsid w:val="00637DEF"/>
    <w:rsid w:val="006407C9"/>
    <w:rsid w:val="00640FEC"/>
    <w:rsid w:val="00643C57"/>
    <w:rsid w:val="00647E0D"/>
    <w:rsid w:val="00653CA6"/>
    <w:rsid w:val="00662C0A"/>
    <w:rsid w:val="00663D3A"/>
    <w:rsid w:val="00664B60"/>
    <w:rsid w:val="006656F8"/>
    <w:rsid w:val="0066737B"/>
    <w:rsid w:val="006705B5"/>
    <w:rsid w:val="00671483"/>
    <w:rsid w:val="00673B87"/>
    <w:rsid w:val="006741DE"/>
    <w:rsid w:val="00677516"/>
    <w:rsid w:val="00680DA9"/>
    <w:rsid w:val="00683C17"/>
    <w:rsid w:val="00685C04"/>
    <w:rsid w:val="00685FCB"/>
    <w:rsid w:val="0068618D"/>
    <w:rsid w:val="006936AD"/>
    <w:rsid w:val="0069463E"/>
    <w:rsid w:val="00696570"/>
    <w:rsid w:val="006A15F9"/>
    <w:rsid w:val="006A412D"/>
    <w:rsid w:val="006A54C9"/>
    <w:rsid w:val="006A6EB8"/>
    <w:rsid w:val="006B1193"/>
    <w:rsid w:val="006B2779"/>
    <w:rsid w:val="006B6C79"/>
    <w:rsid w:val="006C2EF8"/>
    <w:rsid w:val="006C5A72"/>
    <w:rsid w:val="006D1073"/>
    <w:rsid w:val="006D4A80"/>
    <w:rsid w:val="006D5221"/>
    <w:rsid w:val="006D5804"/>
    <w:rsid w:val="006E139C"/>
    <w:rsid w:val="006E3A1E"/>
    <w:rsid w:val="007021F9"/>
    <w:rsid w:val="007047D9"/>
    <w:rsid w:val="00711058"/>
    <w:rsid w:val="00714FE5"/>
    <w:rsid w:val="00715057"/>
    <w:rsid w:val="00720FFB"/>
    <w:rsid w:val="007235F5"/>
    <w:rsid w:val="00725BF6"/>
    <w:rsid w:val="00733091"/>
    <w:rsid w:val="00734105"/>
    <w:rsid w:val="00744E80"/>
    <w:rsid w:val="0074714B"/>
    <w:rsid w:val="00750FD1"/>
    <w:rsid w:val="00755B0D"/>
    <w:rsid w:val="00757241"/>
    <w:rsid w:val="007638C3"/>
    <w:rsid w:val="0076665D"/>
    <w:rsid w:val="00771C95"/>
    <w:rsid w:val="00781179"/>
    <w:rsid w:val="00786F5E"/>
    <w:rsid w:val="00790038"/>
    <w:rsid w:val="00793652"/>
    <w:rsid w:val="007B05CF"/>
    <w:rsid w:val="007B4CDD"/>
    <w:rsid w:val="007B70B8"/>
    <w:rsid w:val="007C1403"/>
    <w:rsid w:val="007C27D6"/>
    <w:rsid w:val="007C28D5"/>
    <w:rsid w:val="007C6DE3"/>
    <w:rsid w:val="007D187B"/>
    <w:rsid w:val="007D2428"/>
    <w:rsid w:val="007D390B"/>
    <w:rsid w:val="007D6521"/>
    <w:rsid w:val="007E1B0E"/>
    <w:rsid w:val="007E229B"/>
    <w:rsid w:val="007E4274"/>
    <w:rsid w:val="007E4322"/>
    <w:rsid w:val="007F0C65"/>
    <w:rsid w:val="007F175D"/>
    <w:rsid w:val="007F3ABA"/>
    <w:rsid w:val="00802C50"/>
    <w:rsid w:val="00810B9F"/>
    <w:rsid w:val="008176BD"/>
    <w:rsid w:val="00825C6E"/>
    <w:rsid w:val="0083213E"/>
    <w:rsid w:val="008376A8"/>
    <w:rsid w:val="008439CC"/>
    <w:rsid w:val="0084670A"/>
    <w:rsid w:val="00850301"/>
    <w:rsid w:val="00852CAC"/>
    <w:rsid w:val="00855117"/>
    <w:rsid w:val="0085527B"/>
    <w:rsid w:val="0086049E"/>
    <w:rsid w:val="00862AEC"/>
    <w:rsid w:val="0086379F"/>
    <w:rsid w:val="00867EFD"/>
    <w:rsid w:val="0087005A"/>
    <w:rsid w:val="00875B7C"/>
    <w:rsid w:val="0087744B"/>
    <w:rsid w:val="008822ED"/>
    <w:rsid w:val="00884A97"/>
    <w:rsid w:val="00892438"/>
    <w:rsid w:val="008A1574"/>
    <w:rsid w:val="008A4A27"/>
    <w:rsid w:val="008A4A39"/>
    <w:rsid w:val="008B30BE"/>
    <w:rsid w:val="008B578F"/>
    <w:rsid w:val="008C2176"/>
    <w:rsid w:val="008C2C2F"/>
    <w:rsid w:val="008C3D5B"/>
    <w:rsid w:val="008C704F"/>
    <w:rsid w:val="008D694B"/>
    <w:rsid w:val="008D7802"/>
    <w:rsid w:val="008E3EA2"/>
    <w:rsid w:val="008E6000"/>
    <w:rsid w:val="008E684D"/>
    <w:rsid w:val="008F0D3D"/>
    <w:rsid w:val="008F1CF8"/>
    <w:rsid w:val="008F61B9"/>
    <w:rsid w:val="00900541"/>
    <w:rsid w:val="00900A5B"/>
    <w:rsid w:val="00904B1D"/>
    <w:rsid w:val="00921A38"/>
    <w:rsid w:val="0092325F"/>
    <w:rsid w:val="00924221"/>
    <w:rsid w:val="0092586B"/>
    <w:rsid w:val="00927396"/>
    <w:rsid w:val="00932A4E"/>
    <w:rsid w:val="009334A1"/>
    <w:rsid w:val="009350D4"/>
    <w:rsid w:val="00953325"/>
    <w:rsid w:val="00961C4E"/>
    <w:rsid w:val="00965A06"/>
    <w:rsid w:val="00967DCB"/>
    <w:rsid w:val="00970A8A"/>
    <w:rsid w:val="00972DD7"/>
    <w:rsid w:val="00974EA2"/>
    <w:rsid w:val="00975421"/>
    <w:rsid w:val="009858F4"/>
    <w:rsid w:val="00990A8B"/>
    <w:rsid w:val="00993FDE"/>
    <w:rsid w:val="00994874"/>
    <w:rsid w:val="00995F68"/>
    <w:rsid w:val="00997B32"/>
    <w:rsid w:val="009A1B10"/>
    <w:rsid w:val="009A4E52"/>
    <w:rsid w:val="009A7BFF"/>
    <w:rsid w:val="009B63DB"/>
    <w:rsid w:val="009C1702"/>
    <w:rsid w:val="009C1CC4"/>
    <w:rsid w:val="009C2BAE"/>
    <w:rsid w:val="009C3071"/>
    <w:rsid w:val="009C36DF"/>
    <w:rsid w:val="009C3A91"/>
    <w:rsid w:val="009D3372"/>
    <w:rsid w:val="009D47BD"/>
    <w:rsid w:val="009E1642"/>
    <w:rsid w:val="009E77F7"/>
    <w:rsid w:val="009F1BA2"/>
    <w:rsid w:val="009F684B"/>
    <w:rsid w:val="00A050F1"/>
    <w:rsid w:val="00A10D10"/>
    <w:rsid w:val="00A11383"/>
    <w:rsid w:val="00A14056"/>
    <w:rsid w:val="00A14300"/>
    <w:rsid w:val="00A17714"/>
    <w:rsid w:val="00A17755"/>
    <w:rsid w:val="00A22D45"/>
    <w:rsid w:val="00A23603"/>
    <w:rsid w:val="00A241C0"/>
    <w:rsid w:val="00A24829"/>
    <w:rsid w:val="00A24AEC"/>
    <w:rsid w:val="00A25A8B"/>
    <w:rsid w:val="00A3010D"/>
    <w:rsid w:val="00A34EB7"/>
    <w:rsid w:val="00A44263"/>
    <w:rsid w:val="00A4593E"/>
    <w:rsid w:val="00A46019"/>
    <w:rsid w:val="00A47551"/>
    <w:rsid w:val="00A50933"/>
    <w:rsid w:val="00A514C4"/>
    <w:rsid w:val="00A5308F"/>
    <w:rsid w:val="00A55922"/>
    <w:rsid w:val="00A55952"/>
    <w:rsid w:val="00A6662C"/>
    <w:rsid w:val="00A718D7"/>
    <w:rsid w:val="00A772D3"/>
    <w:rsid w:val="00A81CF7"/>
    <w:rsid w:val="00A8455D"/>
    <w:rsid w:val="00A86622"/>
    <w:rsid w:val="00A93E7A"/>
    <w:rsid w:val="00AA085F"/>
    <w:rsid w:val="00AB0AD3"/>
    <w:rsid w:val="00AB52C2"/>
    <w:rsid w:val="00AB61B7"/>
    <w:rsid w:val="00AC01A4"/>
    <w:rsid w:val="00AC3444"/>
    <w:rsid w:val="00AC5B17"/>
    <w:rsid w:val="00AD2BC0"/>
    <w:rsid w:val="00AD39FA"/>
    <w:rsid w:val="00AE04FE"/>
    <w:rsid w:val="00AE1C37"/>
    <w:rsid w:val="00AF2650"/>
    <w:rsid w:val="00AF2AF9"/>
    <w:rsid w:val="00B01936"/>
    <w:rsid w:val="00B025F1"/>
    <w:rsid w:val="00B111D2"/>
    <w:rsid w:val="00B16237"/>
    <w:rsid w:val="00B16292"/>
    <w:rsid w:val="00B16D71"/>
    <w:rsid w:val="00B1710B"/>
    <w:rsid w:val="00B21CAF"/>
    <w:rsid w:val="00B24A1F"/>
    <w:rsid w:val="00B3075F"/>
    <w:rsid w:val="00B44C99"/>
    <w:rsid w:val="00B44EC9"/>
    <w:rsid w:val="00B53EB0"/>
    <w:rsid w:val="00B54DA2"/>
    <w:rsid w:val="00B601BE"/>
    <w:rsid w:val="00B633AB"/>
    <w:rsid w:val="00B63C55"/>
    <w:rsid w:val="00B71530"/>
    <w:rsid w:val="00B71D0E"/>
    <w:rsid w:val="00B7214D"/>
    <w:rsid w:val="00B745B3"/>
    <w:rsid w:val="00B761FA"/>
    <w:rsid w:val="00B81488"/>
    <w:rsid w:val="00B81CCA"/>
    <w:rsid w:val="00B82691"/>
    <w:rsid w:val="00B90F3A"/>
    <w:rsid w:val="00B915D4"/>
    <w:rsid w:val="00B94234"/>
    <w:rsid w:val="00BA2753"/>
    <w:rsid w:val="00BB7690"/>
    <w:rsid w:val="00BC2D8B"/>
    <w:rsid w:val="00BD086E"/>
    <w:rsid w:val="00BD6B4D"/>
    <w:rsid w:val="00BE176C"/>
    <w:rsid w:val="00BE579C"/>
    <w:rsid w:val="00BE5F7B"/>
    <w:rsid w:val="00BF1DB2"/>
    <w:rsid w:val="00BF251A"/>
    <w:rsid w:val="00BF441A"/>
    <w:rsid w:val="00BF7456"/>
    <w:rsid w:val="00C01E8F"/>
    <w:rsid w:val="00C03688"/>
    <w:rsid w:val="00C1522E"/>
    <w:rsid w:val="00C21B1F"/>
    <w:rsid w:val="00C220D1"/>
    <w:rsid w:val="00C224C6"/>
    <w:rsid w:val="00C228B7"/>
    <w:rsid w:val="00C261CE"/>
    <w:rsid w:val="00C27C39"/>
    <w:rsid w:val="00C318BF"/>
    <w:rsid w:val="00C326D3"/>
    <w:rsid w:val="00C33A57"/>
    <w:rsid w:val="00C3778D"/>
    <w:rsid w:val="00C37EDD"/>
    <w:rsid w:val="00C40230"/>
    <w:rsid w:val="00C435E7"/>
    <w:rsid w:val="00C43BC6"/>
    <w:rsid w:val="00C44B4E"/>
    <w:rsid w:val="00C45665"/>
    <w:rsid w:val="00C508EE"/>
    <w:rsid w:val="00C575A0"/>
    <w:rsid w:val="00C62F2F"/>
    <w:rsid w:val="00C65E49"/>
    <w:rsid w:val="00C66E1F"/>
    <w:rsid w:val="00C73630"/>
    <w:rsid w:val="00C7393C"/>
    <w:rsid w:val="00C760C4"/>
    <w:rsid w:val="00C7733C"/>
    <w:rsid w:val="00C84CC9"/>
    <w:rsid w:val="00C856A5"/>
    <w:rsid w:val="00C8654A"/>
    <w:rsid w:val="00C927A5"/>
    <w:rsid w:val="00C95C06"/>
    <w:rsid w:val="00CA0979"/>
    <w:rsid w:val="00CA0A0F"/>
    <w:rsid w:val="00CA3A97"/>
    <w:rsid w:val="00CA7BD5"/>
    <w:rsid w:val="00CB1944"/>
    <w:rsid w:val="00CB6B3B"/>
    <w:rsid w:val="00CC4129"/>
    <w:rsid w:val="00CC4DA6"/>
    <w:rsid w:val="00CC51B9"/>
    <w:rsid w:val="00CC552A"/>
    <w:rsid w:val="00CC57A0"/>
    <w:rsid w:val="00CD745F"/>
    <w:rsid w:val="00CE7093"/>
    <w:rsid w:val="00CE7D7C"/>
    <w:rsid w:val="00CF079B"/>
    <w:rsid w:val="00CF4F6C"/>
    <w:rsid w:val="00CF5740"/>
    <w:rsid w:val="00CF58B2"/>
    <w:rsid w:val="00CF7529"/>
    <w:rsid w:val="00D057CB"/>
    <w:rsid w:val="00D06D32"/>
    <w:rsid w:val="00D14841"/>
    <w:rsid w:val="00D15F32"/>
    <w:rsid w:val="00D22F8E"/>
    <w:rsid w:val="00D30109"/>
    <w:rsid w:val="00D34F64"/>
    <w:rsid w:val="00D3717E"/>
    <w:rsid w:val="00D5047C"/>
    <w:rsid w:val="00D50CF6"/>
    <w:rsid w:val="00D5748D"/>
    <w:rsid w:val="00D63538"/>
    <w:rsid w:val="00D7435B"/>
    <w:rsid w:val="00D859CC"/>
    <w:rsid w:val="00D872F5"/>
    <w:rsid w:val="00D902FA"/>
    <w:rsid w:val="00D95F64"/>
    <w:rsid w:val="00DA0D14"/>
    <w:rsid w:val="00DA14DD"/>
    <w:rsid w:val="00DA41A3"/>
    <w:rsid w:val="00DC0041"/>
    <w:rsid w:val="00DC2043"/>
    <w:rsid w:val="00DC5CD8"/>
    <w:rsid w:val="00DC6E07"/>
    <w:rsid w:val="00DD03C4"/>
    <w:rsid w:val="00DD0655"/>
    <w:rsid w:val="00DD3F9C"/>
    <w:rsid w:val="00DD5DF9"/>
    <w:rsid w:val="00DD76CB"/>
    <w:rsid w:val="00DE442D"/>
    <w:rsid w:val="00DF2FE5"/>
    <w:rsid w:val="00E0076E"/>
    <w:rsid w:val="00E0301C"/>
    <w:rsid w:val="00E10F53"/>
    <w:rsid w:val="00E12366"/>
    <w:rsid w:val="00E162CA"/>
    <w:rsid w:val="00E16B1D"/>
    <w:rsid w:val="00E17D25"/>
    <w:rsid w:val="00E37C6D"/>
    <w:rsid w:val="00E44AC4"/>
    <w:rsid w:val="00E460C9"/>
    <w:rsid w:val="00E51166"/>
    <w:rsid w:val="00E54E51"/>
    <w:rsid w:val="00E57037"/>
    <w:rsid w:val="00E57D1F"/>
    <w:rsid w:val="00E61170"/>
    <w:rsid w:val="00E61ADC"/>
    <w:rsid w:val="00E70135"/>
    <w:rsid w:val="00E70D98"/>
    <w:rsid w:val="00E777BD"/>
    <w:rsid w:val="00E829F0"/>
    <w:rsid w:val="00E84653"/>
    <w:rsid w:val="00E84F86"/>
    <w:rsid w:val="00E90A3F"/>
    <w:rsid w:val="00E95266"/>
    <w:rsid w:val="00E977C4"/>
    <w:rsid w:val="00EB2AEC"/>
    <w:rsid w:val="00EB421A"/>
    <w:rsid w:val="00EC2E4E"/>
    <w:rsid w:val="00EC4E9E"/>
    <w:rsid w:val="00EC65CD"/>
    <w:rsid w:val="00EC717F"/>
    <w:rsid w:val="00ED12C6"/>
    <w:rsid w:val="00ED71E4"/>
    <w:rsid w:val="00EE47DB"/>
    <w:rsid w:val="00EE5C03"/>
    <w:rsid w:val="00EE6AA5"/>
    <w:rsid w:val="00EE7315"/>
    <w:rsid w:val="00EF0DA4"/>
    <w:rsid w:val="00EF33AC"/>
    <w:rsid w:val="00F005A4"/>
    <w:rsid w:val="00F01283"/>
    <w:rsid w:val="00F0650F"/>
    <w:rsid w:val="00F07D8C"/>
    <w:rsid w:val="00F1263F"/>
    <w:rsid w:val="00F1491F"/>
    <w:rsid w:val="00F15E48"/>
    <w:rsid w:val="00F17D1C"/>
    <w:rsid w:val="00F2477F"/>
    <w:rsid w:val="00F24EE8"/>
    <w:rsid w:val="00F2661F"/>
    <w:rsid w:val="00F272A5"/>
    <w:rsid w:val="00F33A0F"/>
    <w:rsid w:val="00F34E76"/>
    <w:rsid w:val="00F400B5"/>
    <w:rsid w:val="00F40F2D"/>
    <w:rsid w:val="00F50F61"/>
    <w:rsid w:val="00F55DB2"/>
    <w:rsid w:val="00F61F90"/>
    <w:rsid w:val="00F64C5D"/>
    <w:rsid w:val="00F67159"/>
    <w:rsid w:val="00F7017C"/>
    <w:rsid w:val="00F7609E"/>
    <w:rsid w:val="00F77540"/>
    <w:rsid w:val="00F85D5A"/>
    <w:rsid w:val="00F86303"/>
    <w:rsid w:val="00F87C01"/>
    <w:rsid w:val="00F910CB"/>
    <w:rsid w:val="00F9178A"/>
    <w:rsid w:val="00F932D6"/>
    <w:rsid w:val="00FA3D27"/>
    <w:rsid w:val="00FA3DF1"/>
    <w:rsid w:val="00FA5EC3"/>
    <w:rsid w:val="00FB193A"/>
    <w:rsid w:val="00FB1BE8"/>
    <w:rsid w:val="00FC07FD"/>
    <w:rsid w:val="00FC4953"/>
    <w:rsid w:val="00FC7DB3"/>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01D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character" w:styleId="UnresolvedMention">
    <w:name w:val="Unresolved Mention"/>
    <w:basedOn w:val="DefaultParagraphFont"/>
    <w:uiPriority w:val="99"/>
    <w:semiHidden/>
    <w:unhideWhenUsed/>
    <w:rsid w:val="009754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9159BB-1321-4A00-8911-7C231A77D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1974</TotalTime>
  <Pages>8</Pages>
  <Words>2813</Words>
  <Characters>16404</Characters>
  <Application>Microsoft Office Word</Application>
  <DocSecurity>0</DocSecurity>
  <Lines>431</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salesforceId:d6879df8-9500-4e6d-b575-3589a097aa13</dc:subject>
  <dc:creator>O'Donoghue, Ruaridh</dc:creator>
  <cp:keywords/>
  <dc:description/>
  <cp:lastModifiedBy>O'Donoghue, Ruaridh</cp:lastModifiedBy>
  <cp:revision>149</cp:revision>
  <dcterms:created xsi:type="dcterms:W3CDTF">2025-10-29T10:48:00Z</dcterms:created>
  <dcterms:modified xsi:type="dcterms:W3CDTF">2026-08-11T14:53:00Z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069Q300000STEatIAH</vt:lpwstr>
  </property>
</Properties>
</file>