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Arial" w:hAnsi="Arial"/>
          <w:b/>
          <w:color w:val="17365D"/>
          <w:sz w:val="32"/>
        </w:rPr>
        <w:t>GRIFFITHS AND BARNARD LIMITED</w:t>
      </w:r>
    </w:p>
    <w:p>
      <w:pPr>
        <w:spacing w:before="360"/>
        <w:jc w:val="center"/>
      </w:pPr>
      <w:r>
        <w:rPr>
          <w:rFonts w:ascii="Arial" w:hAnsi="Arial"/>
          <w:b/>
          <w:color w:val="17365D"/>
          <w:sz w:val="50"/>
        </w:rPr>
        <w:t>CONSTRUCTION METHOD STATEMENT</w:t>
      </w:r>
    </w:p>
    <w:p>
      <w:pPr>
        <w:jc w:val="center"/>
      </w:pPr>
      <w:r>
        <w:rPr>
          <w:rFonts w:ascii="Arial" w:hAnsi="Arial"/>
          <w:b/>
          <w:color w:val="2F5597"/>
          <w:sz w:val="30"/>
        </w:rPr>
        <w:t>ENVIRONMENTAL MANAGEMENT PLAN AND RISK ASSESSMENTS</w:t>
      </w:r>
    </w:p>
    <w:p>
      <w:pPr>
        <w:spacing w:before="500"/>
        <w:jc w:val="center"/>
      </w:pPr>
      <w:r>
        <w:rPr>
          <w:b/>
          <w:sz w:val="26"/>
        </w:rPr>
        <w:t>EXTENSION AND REFURBISHMENT OF EXISTING OAK OUTBUILDING</w:t>
      </w:r>
    </w:p>
    <w:p>
      <w:pPr>
        <w:jc w:val="center"/>
      </w:pPr>
      <w:r>
        <w:rPr>
          <w:sz w:val="24"/>
        </w:rPr>
        <w:t>Maxcroft Barn</w:t>
        <w:br/>
        <w:t>Maxcroft Lane</w:t>
        <w:br/>
        <w:t>Hilperton</w:t>
        <w:br/>
        <w:t>Trowbridge</w:t>
        <w:br/>
        <w:t>Wiltshire</w:t>
        <w:br/>
        <w:t>BA14 7PY</w:t>
      </w:r>
    </w:p>
    <w:p>
      <w:pPr>
        <w:spacing w:before="500"/>
        <w:jc w:val="center"/>
      </w:pPr>
      <w:r>
        <w:rPr>
          <w:b/>
        </w:rPr>
        <w:t>Planning Reference: PL/2026/03869</w:t>
        <w:br/>
        <w:t>Client: Seb Ward Turner</w:t>
        <w:br/>
        <w:t>Principal Contractor: Griffiths and Barnard Limited</w:t>
      </w:r>
    </w:p>
    <w:p>
      <w:pPr>
        <w:spacing w:before="1100"/>
        <w:jc w:val="center"/>
      </w:pPr>
      <w:r>
        <w:rPr>
          <w:sz w:val="18"/>
        </w:rPr>
        <w:t>Document Ref: GBL-MAXB-CMS-001  |  Revision A  |  29 July 2026</w:t>
      </w:r>
    </w:p>
    <w:p>
      <w:r>
        <w:br w:type="page"/>
      </w:r>
    </w:p>
    <w:p>
      <w:pPr>
        <w:pStyle w:val="Heading1"/>
        <w:keepNext/>
      </w:pPr>
      <w:r>
        <w:t>Document Control</w:t>
      </w:r>
    </w:p>
    <w:tbl>
      <w:tblPr>
        <w:tblStyle w:val="TableGrid"/>
        <w:tblW w:type="auto" w:w="0"/>
        <w:jc w:val="center"/>
        <w:tblLook w:firstColumn="1" w:firstRow="1" w:lastColumn="0" w:lastRow="0" w:noHBand="0" w:noVBand="1" w:val="04A0"/>
      </w:tblPr>
      <w:tblGrid>
        <w:gridCol w:w="2948"/>
        <w:gridCol w:w="6690"/>
      </w:tblGrid>
      <w:tr>
        <w:tc>
          <w:tcPr>
            <w:tcW w:type="dxa" w:w="4986"/>
            <w:vAlign w:val="center"/>
            <w:tcMar>
              <w:top w:w="80" w:type="dxa"/>
              <w:start w:w="90" w:type="dxa"/>
              <w:bottom w:w="80" w:type="dxa"/>
              <w:end w:w="90" w:type="dxa"/>
            </w:tcMar>
            <w:shd w:fill="D9E2F3"/>
          </w:tcPr>
          <w:p>
            <w:pPr>
              <w:spacing w:after="0"/>
            </w:pPr>
            <w:r/>
            <w:r>
              <w:rPr>
                <w:rFonts w:ascii="Arial" w:hAnsi="Arial"/>
                <w:b/>
                <w:sz w:val="17"/>
              </w:rPr>
              <w:t>Document title</w:t>
            </w:r>
          </w:p>
        </w:tc>
        <w:tc>
          <w:tcPr>
            <w:tcW w:type="dxa" w:w="4986"/>
            <w:vAlign w:val="center"/>
            <w:tcMar>
              <w:top w:w="80" w:type="dxa"/>
              <w:start w:w="90" w:type="dxa"/>
              <w:bottom w:w="80" w:type="dxa"/>
              <w:end w:w="90" w:type="dxa"/>
            </w:tcMar>
          </w:tcPr>
          <w:p>
            <w:pPr>
              <w:spacing w:after="0"/>
            </w:pPr>
            <w:r/>
            <w:r>
              <w:rPr>
                <w:rFonts w:ascii="Arial" w:hAnsi="Arial"/>
                <w:b w:val="0"/>
                <w:sz w:val="17"/>
              </w:rPr>
              <w:t>Construction Method Statement, Environmental Management Plan and Risk Assessments</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Project</w:t>
            </w:r>
          </w:p>
        </w:tc>
        <w:tc>
          <w:tcPr>
            <w:tcW w:type="dxa" w:w="4986"/>
            <w:vAlign w:val="center"/>
            <w:tcMar>
              <w:top w:w="80" w:type="dxa"/>
              <w:start w:w="90" w:type="dxa"/>
              <w:bottom w:w="80" w:type="dxa"/>
              <w:end w:w="90" w:type="dxa"/>
            </w:tcMar>
          </w:tcPr>
          <w:p>
            <w:pPr>
              <w:spacing w:after="0"/>
            </w:pPr>
            <w:r/>
            <w:r>
              <w:rPr>
                <w:rFonts w:ascii="Arial" w:hAnsi="Arial"/>
                <w:b w:val="0"/>
                <w:sz w:val="17"/>
              </w:rPr>
              <w:t>Extension and refurbishment of existing oak outbuilding, Maxcroft Barn</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Planning reference</w:t>
            </w:r>
          </w:p>
        </w:tc>
        <w:tc>
          <w:tcPr>
            <w:tcW w:type="dxa" w:w="4986"/>
            <w:vAlign w:val="center"/>
            <w:tcMar>
              <w:top w:w="80" w:type="dxa"/>
              <w:start w:w="90" w:type="dxa"/>
              <w:bottom w:w="80" w:type="dxa"/>
              <w:end w:w="90" w:type="dxa"/>
            </w:tcMar>
          </w:tcPr>
          <w:p>
            <w:pPr>
              <w:spacing w:after="0"/>
            </w:pPr>
            <w:r/>
            <w:r>
              <w:rPr>
                <w:rFonts w:ascii="Arial" w:hAnsi="Arial"/>
                <w:b w:val="0"/>
                <w:sz w:val="17"/>
              </w:rPr>
              <w:t>PL/2026/03869</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Document reference</w:t>
            </w:r>
          </w:p>
        </w:tc>
        <w:tc>
          <w:tcPr>
            <w:tcW w:type="dxa" w:w="4986"/>
            <w:vAlign w:val="center"/>
            <w:tcMar>
              <w:top w:w="80" w:type="dxa"/>
              <w:start w:w="90" w:type="dxa"/>
              <w:bottom w:w="80" w:type="dxa"/>
              <w:end w:w="90" w:type="dxa"/>
            </w:tcMar>
          </w:tcPr>
          <w:p>
            <w:pPr>
              <w:spacing w:after="0"/>
            </w:pPr>
            <w:r/>
            <w:r>
              <w:rPr>
                <w:rFonts w:ascii="Arial" w:hAnsi="Arial"/>
                <w:b w:val="0"/>
                <w:sz w:val="17"/>
              </w:rPr>
              <w:t>GBL-MAXB-CMS-001</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Revision</w:t>
            </w:r>
          </w:p>
        </w:tc>
        <w:tc>
          <w:tcPr>
            <w:tcW w:type="dxa" w:w="4986"/>
            <w:vAlign w:val="center"/>
            <w:tcMar>
              <w:top w:w="80" w:type="dxa"/>
              <w:start w:w="90" w:type="dxa"/>
              <w:bottom w:w="80" w:type="dxa"/>
              <w:end w:w="90" w:type="dxa"/>
            </w:tcMar>
          </w:tcPr>
          <w:p>
            <w:pPr>
              <w:spacing w:after="0"/>
            </w:pPr>
            <w:r/>
            <w:r>
              <w:rPr>
                <w:rFonts w:ascii="Arial" w:hAnsi="Arial"/>
                <w:b w:val="0"/>
                <w:sz w:val="17"/>
              </w:rPr>
              <w:t>A</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Date</w:t>
            </w:r>
          </w:p>
        </w:tc>
        <w:tc>
          <w:tcPr>
            <w:tcW w:type="dxa" w:w="4986"/>
            <w:vAlign w:val="center"/>
            <w:tcMar>
              <w:top w:w="80" w:type="dxa"/>
              <w:start w:w="90" w:type="dxa"/>
              <w:bottom w:w="80" w:type="dxa"/>
              <w:end w:w="90" w:type="dxa"/>
            </w:tcMar>
          </w:tcPr>
          <w:p>
            <w:pPr>
              <w:spacing w:after="0"/>
            </w:pPr>
            <w:r/>
            <w:r>
              <w:rPr>
                <w:rFonts w:ascii="Arial" w:hAnsi="Arial"/>
                <w:b w:val="0"/>
                <w:sz w:val="17"/>
              </w:rPr>
              <w:t>29 July 2026</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Prepared by</w:t>
            </w:r>
          </w:p>
        </w:tc>
        <w:tc>
          <w:tcPr>
            <w:tcW w:type="dxa" w:w="4986"/>
            <w:vAlign w:val="center"/>
            <w:tcMar>
              <w:top w:w="80" w:type="dxa"/>
              <w:start w:w="90" w:type="dxa"/>
              <w:bottom w:w="80" w:type="dxa"/>
              <w:end w:w="90" w:type="dxa"/>
            </w:tcMar>
          </w:tcPr>
          <w:p>
            <w:pPr>
              <w:spacing w:after="0"/>
            </w:pPr>
            <w:r/>
            <w:r>
              <w:rPr>
                <w:rFonts w:ascii="Arial" w:hAnsi="Arial"/>
                <w:b w:val="0"/>
                <w:sz w:val="17"/>
              </w:rPr>
              <w:t>Griffiths and Barnard Limited</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Client</w:t>
            </w:r>
          </w:p>
        </w:tc>
        <w:tc>
          <w:tcPr>
            <w:tcW w:type="dxa" w:w="4986"/>
            <w:vAlign w:val="center"/>
            <w:tcMar>
              <w:top w:w="80" w:type="dxa"/>
              <w:start w:w="90" w:type="dxa"/>
              <w:bottom w:w="80" w:type="dxa"/>
              <w:end w:w="90" w:type="dxa"/>
            </w:tcMar>
          </w:tcPr>
          <w:p>
            <w:pPr>
              <w:spacing w:after="0"/>
            </w:pPr>
            <w:r/>
            <w:r>
              <w:rPr>
                <w:rFonts w:ascii="Arial" w:hAnsi="Arial"/>
                <w:b w:val="0"/>
                <w:sz w:val="17"/>
              </w:rPr>
              <w:t>Seb Ward Turner</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Structural Engineer</w:t>
            </w:r>
          </w:p>
        </w:tc>
        <w:tc>
          <w:tcPr>
            <w:tcW w:type="dxa" w:w="4986"/>
            <w:vAlign w:val="center"/>
            <w:tcMar>
              <w:top w:w="80" w:type="dxa"/>
              <w:start w:w="90" w:type="dxa"/>
              <w:bottom w:w="80" w:type="dxa"/>
              <w:end w:w="90" w:type="dxa"/>
            </w:tcMar>
          </w:tcPr>
          <w:p>
            <w:pPr>
              <w:spacing w:after="0"/>
            </w:pPr>
            <w:r/>
            <w:r>
              <w:rPr>
                <w:rFonts w:ascii="Arial" w:hAnsi="Arial"/>
                <w:b w:val="0"/>
                <w:sz w:val="17"/>
              </w:rPr>
              <w:t>T. Wakley, TW Design Services</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Oak frame contractor</w:t>
            </w:r>
          </w:p>
        </w:tc>
        <w:tc>
          <w:tcPr>
            <w:tcW w:type="dxa" w:w="4986"/>
            <w:vAlign w:val="center"/>
            <w:tcMar>
              <w:top w:w="80" w:type="dxa"/>
              <w:start w:w="90" w:type="dxa"/>
              <w:bottom w:w="80" w:type="dxa"/>
              <w:end w:w="90" w:type="dxa"/>
            </w:tcMar>
          </w:tcPr>
          <w:p>
            <w:pPr>
              <w:spacing w:after="0"/>
            </w:pPr>
            <w:r/>
            <w:r>
              <w:rPr>
                <w:rFonts w:ascii="Arial" w:hAnsi="Arial"/>
                <w:b w:val="0"/>
                <w:sz w:val="17"/>
              </w:rPr>
              <w:t>Prime Oak</w:t>
            </w:r>
          </w:p>
        </w:tc>
      </w:tr>
    </w:tbl>
    <w:p>
      <w:pPr>
        <w:pStyle w:val="Heading2"/>
        <w:keepNext/>
      </w:pPr>
      <w:r>
        <w:t>Revision Register</w:t>
      </w:r>
    </w:p>
    <w:tbl>
      <w:tblPr>
        <w:tblStyle w:val="TableGrid"/>
        <w:tblW w:type="auto" w:w="0"/>
        <w:jc w:val="center"/>
        <w:tblLook w:firstColumn="1" w:firstRow="1" w:lastColumn="0" w:lastRow="0" w:noHBand="0" w:noVBand="1" w:val="04A0"/>
      </w:tblPr>
      <w:tblGrid>
        <w:gridCol w:w="1994"/>
        <w:gridCol w:w="1994"/>
        <w:gridCol w:w="1994"/>
        <w:gridCol w:w="1994"/>
        <w:gridCol w:w="1994"/>
      </w:tblGrid>
      <w:tr>
        <w:trPr>
          <w:tblHeader w:val="true"/>
        </w:trPr>
        <w:tc>
          <w:tcPr>
            <w:tcW w:type="dxa" w:w="1994"/>
            <w:vAlign w:val="center"/>
            <w:tcMar>
              <w:top w:w="80" w:type="dxa"/>
              <w:start w:w="90" w:type="dxa"/>
              <w:bottom w:w="80" w:type="dxa"/>
              <w:end w:w="90" w:type="dxa"/>
            </w:tcMar>
            <w:shd w:fill="17365D"/>
          </w:tcPr>
          <w:p>
            <w:pPr>
              <w:spacing w:after="0"/>
            </w:pPr>
            <w:r/>
            <w:r>
              <w:rPr>
                <w:rFonts w:ascii="Arial" w:hAnsi="Arial"/>
                <w:b/>
                <w:color w:val="FFFFFF"/>
                <w:sz w:val="16"/>
              </w:rPr>
              <w:t>Revision</w:t>
            </w:r>
          </w:p>
        </w:tc>
        <w:tc>
          <w:tcPr>
            <w:tcW w:type="dxa" w:w="1994"/>
            <w:vAlign w:val="center"/>
            <w:tcMar>
              <w:top w:w="80" w:type="dxa"/>
              <w:start w:w="90" w:type="dxa"/>
              <w:bottom w:w="80" w:type="dxa"/>
              <w:end w:w="90" w:type="dxa"/>
            </w:tcMar>
            <w:shd w:fill="17365D"/>
          </w:tcPr>
          <w:p>
            <w:pPr>
              <w:spacing w:after="0"/>
            </w:pPr>
            <w:r/>
            <w:r>
              <w:rPr>
                <w:rFonts w:ascii="Arial" w:hAnsi="Arial"/>
                <w:b/>
                <w:color w:val="FFFFFF"/>
                <w:sz w:val="16"/>
              </w:rPr>
              <w:t>Date</w:t>
            </w:r>
          </w:p>
        </w:tc>
        <w:tc>
          <w:tcPr>
            <w:tcW w:type="dxa" w:w="1994"/>
            <w:vAlign w:val="center"/>
            <w:tcMar>
              <w:top w:w="80" w:type="dxa"/>
              <w:start w:w="90" w:type="dxa"/>
              <w:bottom w:w="80" w:type="dxa"/>
              <w:end w:w="90" w:type="dxa"/>
            </w:tcMar>
            <w:shd w:fill="17365D"/>
          </w:tcPr>
          <w:p>
            <w:pPr>
              <w:spacing w:after="0"/>
            </w:pPr>
            <w:r/>
            <w:r>
              <w:rPr>
                <w:rFonts w:ascii="Arial" w:hAnsi="Arial"/>
                <w:b/>
                <w:color w:val="FFFFFF"/>
                <w:sz w:val="16"/>
              </w:rPr>
              <w:t>Description</w:t>
            </w:r>
          </w:p>
        </w:tc>
        <w:tc>
          <w:tcPr>
            <w:tcW w:type="dxa" w:w="1994"/>
            <w:vAlign w:val="center"/>
            <w:tcMar>
              <w:top w:w="80" w:type="dxa"/>
              <w:start w:w="90" w:type="dxa"/>
              <w:bottom w:w="80" w:type="dxa"/>
              <w:end w:w="90" w:type="dxa"/>
            </w:tcMar>
            <w:shd w:fill="17365D"/>
          </w:tcPr>
          <w:p>
            <w:pPr>
              <w:spacing w:after="0"/>
            </w:pPr>
            <w:r/>
            <w:r>
              <w:rPr>
                <w:rFonts w:ascii="Arial" w:hAnsi="Arial"/>
                <w:b/>
                <w:color w:val="FFFFFF"/>
                <w:sz w:val="16"/>
              </w:rPr>
              <w:t>Prepared by</w:t>
            </w:r>
          </w:p>
        </w:tc>
        <w:tc>
          <w:tcPr>
            <w:tcW w:type="dxa" w:w="1994"/>
            <w:vAlign w:val="center"/>
            <w:tcMar>
              <w:top w:w="80" w:type="dxa"/>
              <w:start w:w="90" w:type="dxa"/>
              <w:bottom w:w="80" w:type="dxa"/>
              <w:end w:w="90" w:type="dxa"/>
            </w:tcMar>
            <w:shd w:fill="17365D"/>
          </w:tcPr>
          <w:p>
            <w:pPr>
              <w:spacing w:after="0"/>
            </w:pPr>
            <w:r/>
            <w:r>
              <w:rPr>
                <w:rFonts w:ascii="Arial" w:hAnsi="Arial"/>
                <w:b/>
                <w:color w:val="FFFFFF"/>
                <w:sz w:val="16"/>
              </w:rPr>
              <w:t>Approved by</w:t>
            </w:r>
          </w:p>
        </w:tc>
      </w:tr>
      <w:tr>
        <w:tc>
          <w:tcPr>
            <w:tcW w:type="dxa" w:w="1994"/>
            <w:vAlign w:val="center"/>
            <w:tcMar>
              <w:top w:w="80" w:type="dxa"/>
              <w:start w:w="90" w:type="dxa"/>
              <w:bottom w:w="80" w:type="dxa"/>
              <w:end w:w="90" w:type="dxa"/>
            </w:tcMar>
          </w:tcPr>
          <w:p>
            <w:pPr>
              <w:spacing w:after="0"/>
            </w:pPr>
            <w:r/>
            <w:r>
              <w:rPr>
                <w:rFonts w:ascii="Arial" w:hAnsi="Arial"/>
                <w:b w:val="0"/>
                <w:sz w:val="16"/>
              </w:rPr>
              <w:t>A</w:t>
            </w:r>
          </w:p>
        </w:tc>
        <w:tc>
          <w:tcPr>
            <w:tcW w:type="dxa" w:w="1994"/>
            <w:vAlign w:val="center"/>
            <w:tcMar>
              <w:top w:w="80" w:type="dxa"/>
              <w:start w:w="90" w:type="dxa"/>
              <w:bottom w:w="80" w:type="dxa"/>
              <w:end w:w="90" w:type="dxa"/>
            </w:tcMar>
          </w:tcPr>
          <w:p>
            <w:pPr>
              <w:spacing w:after="0"/>
            </w:pPr>
            <w:r/>
            <w:r>
              <w:rPr>
                <w:rFonts w:ascii="Arial" w:hAnsi="Arial"/>
                <w:b w:val="0"/>
                <w:sz w:val="16"/>
              </w:rPr>
              <w:t>29/07/2026</w:t>
            </w:r>
          </w:p>
        </w:tc>
        <w:tc>
          <w:tcPr>
            <w:tcW w:type="dxa" w:w="1994"/>
            <w:vAlign w:val="center"/>
            <w:tcMar>
              <w:top w:w="80" w:type="dxa"/>
              <w:start w:w="90" w:type="dxa"/>
              <w:bottom w:w="80" w:type="dxa"/>
              <w:end w:w="90" w:type="dxa"/>
            </w:tcMar>
          </w:tcPr>
          <w:p>
            <w:pPr>
              <w:spacing w:after="0"/>
            </w:pPr>
            <w:r/>
            <w:r>
              <w:rPr>
                <w:rFonts w:ascii="Arial" w:hAnsi="Arial"/>
                <w:b w:val="0"/>
                <w:sz w:val="16"/>
              </w:rPr>
              <w:t>Initial issue for planning condition discharge and construction use</w:t>
            </w:r>
          </w:p>
        </w:tc>
        <w:tc>
          <w:tcPr>
            <w:tcW w:type="dxa" w:w="1994"/>
            <w:vAlign w:val="center"/>
            <w:tcMar>
              <w:top w:w="80" w:type="dxa"/>
              <w:start w:w="90" w:type="dxa"/>
              <w:bottom w:w="80" w:type="dxa"/>
              <w:end w:w="90" w:type="dxa"/>
            </w:tcMar>
          </w:tcPr>
          <w:p>
            <w:pPr>
              <w:spacing w:after="0"/>
            </w:pPr>
            <w:r/>
            <w:r>
              <w:rPr>
                <w:rFonts w:ascii="Arial" w:hAnsi="Arial"/>
                <w:b w:val="0"/>
                <w:sz w:val="16"/>
              </w:rPr>
              <w:t>Griffiths and Barnard Ltd</w:t>
            </w:r>
          </w:p>
        </w:tc>
        <w:tc>
          <w:tcPr>
            <w:tcW w:type="dxa" w:w="1994"/>
            <w:vAlign w:val="center"/>
            <w:tcMar>
              <w:top w:w="80" w:type="dxa"/>
              <w:start w:w="90" w:type="dxa"/>
              <w:bottom w:w="80" w:type="dxa"/>
              <w:end w:w="90" w:type="dxa"/>
            </w:tcMar>
          </w:tcPr>
          <w:p>
            <w:pPr>
              <w:spacing w:after="0"/>
            </w:pPr>
            <w:r/>
            <w:r>
              <w:rPr>
                <w:rFonts w:ascii="Arial" w:hAnsi="Arial"/>
                <w:b w:val="0"/>
                <w:sz w:val="16"/>
              </w:rPr>
              <w:t>To be completed</w:t>
            </w:r>
          </w:p>
        </w:tc>
      </w:tr>
    </w:tbl>
    <w:p>
      <w:pPr>
        <w:pStyle w:val="Heading2"/>
        <w:keepNext/>
      </w:pPr>
      <w:r>
        <w:t>Approval and Acceptance</w:t>
      </w:r>
    </w:p>
    <w:p>
      <w:r>
        <w:t>This document shall be reviewed before work starts, following any material change to design or method, after an incident or near miss, and whenever monitoring identifies that the controls are no longer adequate. Task-specific RAMS from specialist subcontractors remain mandatory and must be accepted by the Site Manager before their activities begin.</w:t>
      </w:r>
    </w:p>
    <w:tbl>
      <w:tblPr>
        <w:tblStyle w:val="TableGrid"/>
        <w:tblW w:type="auto" w:w="0"/>
        <w:tblLook w:firstColumn="1" w:firstRow="1" w:lastColumn="0" w:lastRow="0" w:noHBand="0" w:noVBand="1" w:val="04A0"/>
      </w:tblPr>
      <w:tblGrid>
        <w:gridCol w:w="3324"/>
        <w:gridCol w:w="3324"/>
        <w:gridCol w:w="3324"/>
      </w:tblGrid>
      <w:tr>
        <w:tc>
          <w:tcPr>
            <w:tcW w:type="dxa" w:w="3324"/>
            <w:vAlign w:val="center"/>
            <w:tcMar>
              <w:top w:w="80" w:type="dxa"/>
              <w:start w:w="90" w:type="dxa"/>
              <w:bottom w:w="80" w:type="dxa"/>
              <w:end w:w="90" w:type="dxa"/>
            </w:tcMar>
            <w:shd w:fill="17365D"/>
          </w:tcPr>
          <w:p>
            <w:pPr>
              <w:spacing w:after="0"/>
            </w:pPr>
            <w:r/>
            <w:r>
              <w:rPr>
                <w:rFonts w:ascii="Arial" w:hAnsi="Arial"/>
                <w:b/>
                <w:color w:val="FFFFFF"/>
                <w:sz w:val="16"/>
              </w:rPr>
              <w:t>Role</w:t>
            </w:r>
          </w:p>
        </w:tc>
        <w:tc>
          <w:tcPr>
            <w:tcW w:type="dxa" w:w="3324"/>
            <w:vAlign w:val="center"/>
            <w:tcMar>
              <w:top w:w="80" w:type="dxa"/>
              <w:start w:w="90" w:type="dxa"/>
              <w:bottom w:w="80" w:type="dxa"/>
              <w:end w:w="90" w:type="dxa"/>
            </w:tcMar>
            <w:shd w:fill="17365D"/>
          </w:tcPr>
          <w:p>
            <w:pPr>
              <w:spacing w:after="0"/>
            </w:pPr>
            <w:r/>
            <w:r>
              <w:rPr>
                <w:rFonts w:ascii="Arial" w:hAnsi="Arial"/>
                <w:b/>
                <w:color w:val="FFFFFF"/>
                <w:sz w:val="16"/>
              </w:rPr>
              <w:t>Name / Signature</w:t>
            </w:r>
          </w:p>
        </w:tc>
        <w:tc>
          <w:tcPr>
            <w:tcW w:type="dxa" w:w="3324"/>
            <w:vAlign w:val="center"/>
            <w:tcMar>
              <w:top w:w="80" w:type="dxa"/>
              <w:start w:w="90" w:type="dxa"/>
              <w:bottom w:w="80" w:type="dxa"/>
              <w:end w:w="90" w:type="dxa"/>
            </w:tcMar>
            <w:shd w:fill="17365D"/>
          </w:tcPr>
          <w:p>
            <w:pPr>
              <w:spacing w:after="0"/>
            </w:pPr>
            <w:r/>
            <w:r>
              <w:rPr>
                <w:rFonts w:ascii="Arial" w:hAnsi="Arial"/>
                <w:b/>
                <w:color w:val="FFFFFF"/>
                <w:sz w:val="16"/>
              </w:rPr>
              <w:t>Date</w:t>
            </w:r>
          </w:p>
        </w:tc>
      </w:tr>
      <w:tr>
        <w:tc>
          <w:tcPr>
            <w:tcW w:type="dxa" w:w="3324"/>
            <w:vAlign w:val="center"/>
            <w:tcMar>
              <w:top w:w="80" w:type="dxa"/>
              <w:start w:w="90" w:type="dxa"/>
              <w:bottom w:w="80" w:type="dxa"/>
              <w:end w:w="90" w:type="dxa"/>
            </w:tcMar>
          </w:tcPr>
          <w:p>
            <w:pPr>
              <w:spacing w:after="0"/>
            </w:pPr>
            <w:r/>
            <w:r>
              <w:rPr>
                <w:rFonts w:ascii="Arial" w:hAnsi="Arial"/>
                <w:b/>
                <w:sz w:val="16"/>
              </w:rPr>
              <w:t>Client acknowledgement</w:t>
            </w:r>
          </w:p>
        </w:tc>
        <w:tc>
          <w:tcPr>
            <w:tcW w:type="dxa" w:w="3324"/>
            <w:vAlign w:val="center"/>
            <w:tcMar>
              <w:top w:w="80" w:type="dxa"/>
              <w:start w:w="90" w:type="dxa"/>
              <w:bottom w:w="80" w:type="dxa"/>
              <w:end w:w="90" w:type="dxa"/>
            </w:tcMar>
          </w:tcPr>
          <w:p>
            <w:pPr>
              <w:spacing w:after="0"/>
            </w:pPr>
            <w:r/>
            <w:r>
              <w:rPr>
                <w:rFonts w:ascii="Arial" w:hAnsi="Arial"/>
                <w:b w:val="0"/>
                <w:sz w:val="16"/>
              </w:rPr>
            </w:r>
          </w:p>
        </w:tc>
        <w:tc>
          <w:tcPr>
            <w:tcW w:type="dxa" w:w="3324"/>
            <w:vAlign w:val="center"/>
            <w:tcMar>
              <w:top w:w="80" w:type="dxa"/>
              <w:start w:w="90" w:type="dxa"/>
              <w:bottom w:w="80" w:type="dxa"/>
              <w:end w:w="90" w:type="dxa"/>
            </w:tcMar>
          </w:tcPr>
          <w:p>
            <w:pPr>
              <w:spacing w:after="0"/>
            </w:pPr>
            <w:r/>
            <w:r>
              <w:rPr>
                <w:rFonts w:ascii="Arial" w:hAnsi="Arial"/>
                <w:b w:val="0"/>
                <w:sz w:val="16"/>
              </w:rPr>
            </w:r>
          </w:p>
        </w:tc>
      </w:tr>
      <w:tr>
        <w:tc>
          <w:tcPr>
            <w:tcW w:type="dxa" w:w="3324"/>
            <w:vAlign w:val="center"/>
            <w:tcMar>
              <w:top w:w="80" w:type="dxa"/>
              <w:start w:w="90" w:type="dxa"/>
              <w:bottom w:w="80" w:type="dxa"/>
              <w:end w:w="90" w:type="dxa"/>
            </w:tcMar>
          </w:tcPr>
          <w:p>
            <w:pPr>
              <w:spacing w:after="0"/>
            </w:pPr>
            <w:r/>
            <w:r>
              <w:rPr>
                <w:rFonts w:ascii="Arial" w:hAnsi="Arial"/>
                <w:b/>
                <w:sz w:val="16"/>
              </w:rPr>
              <w:t>Principal Contractor approval</w:t>
            </w:r>
          </w:p>
        </w:tc>
        <w:tc>
          <w:tcPr>
            <w:tcW w:type="dxa" w:w="3324"/>
            <w:vAlign w:val="center"/>
            <w:tcMar>
              <w:top w:w="80" w:type="dxa"/>
              <w:start w:w="90" w:type="dxa"/>
              <w:bottom w:w="80" w:type="dxa"/>
              <w:end w:w="90" w:type="dxa"/>
            </w:tcMar>
          </w:tcPr>
          <w:p>
            <w:pPr>
              <w:spacing w:after="0"/>
            </w:pPr>
            <w:r/>
            <w:r>
              <w:rPr>
                <w:rFonts w:ascii="Arial" w:hAnsi="Arial"/>
                <w:b w:val="0"/>
                <w:sz w:val="16"/>
              </w:rPr>
            </w:r>
          </w:p>
        </w:tc>
        <w:tc>
          <w:tcPr>
            <w:tcW w:type="dxa" w:w="3324"/>
            <w:vAlign w:val="center"/>
            <w:tcMar>
              <w:top w:w="80" w:type="dxa"/>
              <w:start w:w="90" w:type="dxa"/>
              <w:bottom w:w="80" w:type="dxa"/>
              <w:end w:w="90" w:type="dxa"/>
            </w:tcMar>
          </w:tcPr>
          <w:p>
            <w:pPr>
              <w:spacing w:after="0"/>
            </w:pPr>
            <w:r/>
            <w:r>
              <w:rPr>
                <w:rFonts w:ascii="Arial" w:hAnsi="Arial"/>
                <w:b w:val="0"/>
                <w:sz w:val="16"/>
              </w:rPr>
            </w:r>
          </w:p>
        </w:tc>
      </w:tr>
      <w:tr>
        <w:tc>
          <w:tcPr>
            <w:tcW w:type="dxa" w:w="3324"/>
            <w:vAlign w:val="center"/>
            <w:tcMar>
              <w:top w:w="80" w:type="dxa"/>
              <w:start w:w="90" w:type="dxa"/>
              <w:bottom w:w="80" w:type="dxa"/>
              <w:end w:w="90" w:type="dxa"/>
            </w:tcMar>
          </w:tcPr>
          <w:p>
            <w:pPr>
              <w:spacing w:after="0"/>
            </w:pPr>
            <w:r/>
            <w:r>
              <w:rPr>
                <w:rFonts w:ascii="Arial" w:hAnsi="Arial"/>
                <w:b/>
                <w:sz w:val="16"/>
              </w:rPr>
              <w:t>Site Manager acceptance</w:t>
            </w:r>
          </w:p>
        </w:tc>
        <w:tc>
          <w:tcPr>
            <w:tcW w:type="dxa" w:w="3324"/>
            <w:vAlign w:val="center"/>
            <w:tcMar>
              <w:top w:w="80" w:type="dxa"/>
              <w:start w:w="90" w:type="dxa"/>
              <w:bottom w:w="80" w:type="dxa"/>
              <w:end w:w="90" w:type="dxa"/>
            </w:tcMar>
          </w:tcPr>
          <w:p>
            <w:pPr>
              <w:spacing w:after="0"/>
            </w:pPr>
            <w:r/>
            <w:r>
              <w:rPr>
                <w:rFonts w:ascii="Arial" w:hAnsi="Arial"/>
                <w:b w:val="0"/>
                <w:sz w:val="16"/>
              </w:rPr>
            </w:r>
          </w:p>
        </w:tc>
        <w:tc>
          <w:tcPr>
            <w:tcW w:type="dxa" w:w="3324"/>
            <w:vAlign w:val="center"/>
            <w:tcMar>
              <w:top w:w="80" w:type="dxa"/>
              <w:start w:w="90" w:type="dxa"/>
              <w:bottom w:w="80" w:type="dxa"/>
              <w:end w:w="90" w:type="dxa"/>
            </w:tcMar>
          </w:tcPr>
          <w:p>
            <w:pPr>
              <w:spacing w:after="0"/>
            </w:pPr>
            <w:r/>
            <w:r>
              <w:rPr>
                <w:rFonts w:ascii="Arial" w:hAnsi="Arial"/>
                <w:b w:val="0"/>
                <w:sz w:val="16"/>
              </w:rPr>
            </w:r>
          </w:p>
        </w:tc>
      </w:tr>
    </w:tbl>
    <w:p>
      <w:r>
        <w:br w:type="page"/>
      </w:r>
    </w:p>
    <w:p>
      <w:pPr>
        <w:pStyle w:val="Heading1"/>
        <w:keepNext/>
      </w:pPr>
      <w:r>
        <w:t>Contents</w:t>
      </w:r>
    </w:p>
    <w:p>
      <w:r>
        <w:t>1. Purpose and Status</w:t>
      </w:r>
    </w:p>
    <w:p>
      <w:r>
        <w:t>2. Project and Dutyholder Information</w:t>
      </w:r>
    </w:p>
    <w:p>
      <w:r>
        <w:t>3. Description and Scope of Works</w:t>
      </w:r>
    </w:p>
    <w:p>
      <w:r>
        <w:t>4. Existing Site Conditions and Constraints</w:t>
      </w:r>
    </w:p>
    <w:p>
      <w:r>
        <w:t>5. Management Arrangements under CDM 2015</w:t>
      </w:r>
    </w:p>
    <w:p>
      <w:r>
        <w:t>6. Site Establishment, Security and Welfare</w:t>
      </w:r>
    </w:p>
    <w:p>
      <w:r>
        <w:t>7. Access, Deliveries and Traffic Management</w:t>
      </w:r>
    </w:p>
    <w:p>
      <w:r>
        <w:t>8. Protection of the Canal, Bank and Retaining Wall</w:t>
      </w:r>
    </w:p>
    <w:p>
      <w:r>
        <w:t>9. Environmental Management and Pollution Prevention</w:t>
      </w:r>
    </w:p>
    <w:p>
      <w:r>
        <w:t>10. Detailed Construction Methodology</w:t>
      </w:r>
    </w:p>
    <w:p>
      <w:r>
        <w:t>11. Temporary Works and Excavation Controls</w:t>
      </w:r>
    </w:p>
    <w:p>
      <w:r>
        <w:t>12. Plant, Lifting and Materials Handling</w:t>
      </w:r>
    </w:p>
    <w:p>
      <w:r>
        <w:t>13. Work at Height, Scaffolding and Roofing</w:t>
      </w:r>
    </w:p>
    <w:p>
      <w:r>
        <w:t>14. Refurbishment, Services and Internal Fit-Out</w:t>
      </w:r>
    </w:p>
    <w:p>
      <w:r>
        <w:t>15. Occupational Health Controls</w:t>
      </w:r>
    </w:p>
    <w:p>
      <w:r>
        <w:t>16. Fire, First Aid and Emergency Arrangements</w:t>
      </w:r>
    </w:p>
    <w:p>
      <w:r>
        <w:t>17. Quality Assurance, Inspections and Records</w:t>
      </w:r>
    </w:p>
    <w:p>
      <w:r>
        <w:t>18. Waste Management and Site Completion</w:t>
      </w:r>
    </w:p>
    <w:p>
      <w:r>
        <w:t>19. Risk Assessment Methodology</w:t>
      </w:r>
    </w:p>
    <w:p>
      <w:r>
        <w:t>20. Project Risk Register</w:t>
      </w:r>
    </w:p>
    <w:p>
      <w:r>
        <w:t>21. Inspection and Briefing Forms</w:t>
      </w:r>
    </w:p>
    <w:p>
      <w:r>
        <w:t>22. Reference Documents</w:t>
      </w:r>
    </w:p>
    <w:p>
      <w:r>
        <w:t>Appendix A - TW Design Services Structural Report and Method Statement</w:t>
      </w:r>
    </w:p>
    <w:p>
      <w:r>
        <w:br w:type="page"/>
      </w:r>
    </w:p>
    <w:p>
      <w:pPr>
        <w:pStyle w:val="Heading1"/>
        <w:keepNext/>
      </w:pPr>
      <w:r>
        <w:t>1. Purpose and Status</w:t>
      </w:r>
    </w:p>
    <w:p>
      <w:r>
        <w:t>This combined Construction Method Statement (CMS), Environmental Management Plan (EMP) and project-level Risk Assessment has been prepared by Griffiths and Barnard Limited for the proposed extension and refurbishment works at Maxcroft Barn. It is intended to support discharge of the relevant planning condition, provide the overarching construction controls for the project, and form part of the Construction Phase Plan required under the Construction (Design and Management) Regulations 2015.</w:t>
      </w:r>
    </w:p>
    <w:p>
      <w:r>
        <w:t>The document addresses the principal site-specific risk: construction of new foundations and a lightweight oak-framed extension approximately 3.5-4.0 metres from the adjacent canal and its retained bank. The controls are based on the structural engineer's report and drawings, current construction safety principles and pollution prevention good practice.</w:t>
      </w:r>
    </w:p>
    <w:p>
      <w:r>
        <w:t>This is an overarching project document. It does not remove the need for competent contractors to prepare activity-specific RAMS, lifting plans, scaffold designs, temporary works checks, COSHH assessments, permits or commissioning records where required. In the event of conflict, the latest approved design, statutory requirement or written instruction from Building Control / the Structural Engineer shall take precedence, and work shall stop until the conflict is resolved.</w:t>
      </w:r>
    </w:p>
    <w:p>
      <w:pPr>
        <w:pStyle w:val="Heading1"/>
        <w:keepNext/>
      </w:pPr>
      <w:r>
        <w:t>2. Project and Dutyholder Information</w:t>
      </w:r>
    </w:p>
    <w:tbl>
      <w:tblPr>
        <w:tblStyle w:val="TableGrid"/>
        <w:tblW w:type="auto" w:w="0"/>
        <w:jc w:val="center"/>
        <w:tblLook w:firstColumn="1" w:firstRow="1" w:lastColumn="0" w:lastRow="0" w:noHBand="0" w:noVBand="1" w:val="04A0"/>
      </w:tblPr>
      <w:tblGrid>
        <w:gridCol w:w="2948"/>
        <w:gridCol w:w="6690"/>
      </w:tblGrid>
      <w:tr>
        <w:tc>
          <w:tcPr>
            <w:tcW w:type="dxa" w:w="4986"/>
            <w:vAlign w:val="center"/>
            <w:tcMar>
              <w:top w:w="80" w:type="dxa"/>
              <w:start w:w="90" w:type="dxa"/>
              <w:bottom w:w="80" w:type="dxa"/>
              <w:end w:w="90" w:type="dxa"/>
            </w:tcMar>
            <w:shd w:fill="D9E2F3"/>
          </w:tcPr>
          <w:p>
            <w:pPr>
              <w:spacing w:after="0"/>
            </w:pPr>
            <w:r/>
            <w:r>
              <w:rPr>
                <w:rFonts w:ascii="Arial" w:hAnsi="Arial"/>
                <w:b/>
                <w:sz w:val="17"/>
              </w:rPr>
              <w:t>Site address</w:t>
            </w:r>
          </w:p>
        </w:tc>
        <w:tc>
          <w:tcPr>
            <w:tcW w:type="dxa" w:w="4986"/>
            <w:vAlign w:val="center"/>
            <w:tcMar>
              <w:top w:w="80" w:type="dxa"/>
              <w:start w:w="90" w:type="dxa"/>
              <w:bottom w:w="80" w:type="dxa"/>
              <w:end w:w="90" w:type="dxa"/>
            </w:tcMar>
          </w:tcPr>
          <w:p>
            <w:pPr>
              <w:spacing w:after="0"/>
            </w:pPr>
            <w:r/>
            <w:r>
              <w:rPr>
                <w:rFonts w:ascii="Arial" w:hAnsi="Arial"/>
                <w:b w:val="0"/>
                <w:sz w:val="17"/>
              </w:rPr>
              <w:t>Maxcroft Barn, Maxcroft Lane, Hilperton, Trowbridge, Wiltshire, BA14 7PY</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Planning reference</w:t>
            </w:r>
          </w:p>
        </w:tc>
        <w:tc>
          <w:tcPr>
            <w:tcW w:type="dxa" w:w="4986"/>
            <w:vAlign w:val="center"/>
            <w:tcMar>
              <w:top w:w="80" w:type="dxa"/>
              <w:start w:w="90" w:type="dxa"/>
              <w:bottom w:w="80" w:type="dxa"/>
              <w:end w:w="90" w:type="dxa"/>
            </w:tcMar>
          </w:tcPr>
          <w:p>
            <w:pPr>
              <w:spacing w:after="0"/>
            </w:pPr>
            <w:r/>
            <w:r>
              <w:rPr>
                <w:rFonts w:ascii="Arial" w:hAnsi="Arial"/>
                <w:b w:val="0"/>
                <w:sz w:val="17"/>
              </w:rPr>
              <w:t>PL/2026/03869</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Client / property owner</w:t>
            </w:r>
          </w:p>
        </w:tc>
        <w:tc>
          <w:tcPr>
            <w:tcW w:type="dxa" w:w="4986"/>
            <w:vAlign w:val="center"/>
            <w:tcMar>
              <w:top w:w="80" w:type="dxa"/>
              <w:start w:w="90" w:type="dxa"/>
              <w:bottom w:w="80" w:type="dxa"/>
              <w:end w:w="90" w:type="dxa"/>
            </w:tcMar>
          </w:tcPr>
          <w:p>
            <w:pPr>
              <w:spacing w:after="0"/>
            </w:pPr>
            <w:r/>
            <w:r>
              <w:rPr>
                <w:rFonts w:ascii="Arial" w:hAnsi="Arial"/>
                <w:b w:val="0"/>
                <w:sz w:val="17"/>
              </w:rPr>
              <w:t>Seb Ward Turner</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Principal Contractor</w:t>
            </w:r>
          </w:p>
        </w:tc>
        <w:tc>
          <w:tcPr>
            <w:tcW w:type="dxa" w:w="4986"/>
            <w:vAlign w:val="center"/>
            <w:tcMar>
              <w:top w:w="80" w:type="dxa"/>
              <w:start w:w="90" w:type="dxa"/>
              <w:bottom w:w="80" w:type="dxa"/>
              <w:end w:w="90" w:type="dxa"/>
            </w:tcMar>
          </w:tcPr>
          <w:p>
            <w:pPr>
              <w:spacing w:after="0"/>
            </w:pPr>
            <w:r/>
            <w:r>
              <w:rPr>
                <w:rFonts w:ascii="Arial" w:hAnsi="Arial"/>
                <w:b w:val="0"/>
                <w:sz w:val="17"/>
              </w:rPr>
              <w:t>Griffiths and Barnard Limited</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Structural Engineer</w:t>
            </w:r>
          </w:p>
        </w:tc>
        <w:tc>
          <w:tcPr>
            <w:tcW w:type="dxa" w:w="4986"/>
            <w:vAlign w:val="center"/>
            <w:tcMar>
              <w:top w:w="80" w:type="dxa"/>
              <w:start w:w="90" w:type="dxa"/>
              <w:bottom w:w="80" w:type="dxa"/>
              <w:end w:w="90" w:type="dxa"/>
            </w:tcMar>
          </w:tcPr>
          <w:p>
            <w:pPr>
              <w:spacing w:after="0"/>
            </w:pPr>
            <w:r/>
            <w:r>
              <w:rPr>
                <w:rFonts w:ascii="Arial" w:hAnsi="Arial"/>
                <w:b w:val="0"/>
                <w:sz w:val="17"/>
              </w:rPr>
              <w:t>T. Wakley, TW Design Services</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Oak frame designer / installer</w:t>
            </w:r>
          </w:p>
        </w:tc>
        <w:tc>
          <w:tcPr>
            <w:tcW w:type="dxa" w:w="4986"/>
            <w:vAlign w:val="center"/>
            <w:tcMar>
              <w:top w:w="80" w:type="dxa"/>
              <w:start w:w="90" w:type="dxa"/>
              <w:bottom w:w="80" w:type="dxa"/>
              <w:end w:w="90" w:type="dxa"/>
            </w:tcMar>
          </w:tcPr>
          <w:p>
            <w:pPr>
              <w:spacing w:after="0"/>
            </w:pPr>
            <w:r/>
            <w:r>
              <w:rPr>
                <w:rFonts w:ascii="Arial" w:hAnsi="Arial"/>
                <w:b w:val="0"/>
                <w:sz w:val="17"/>
              </w:rPr>
              <w:t>Prime Oak</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Building Control</w:t>
            </w:r>
          </w:p>
        </w:tc>
        <w:tc>
          <w:tcPr>
            <w:tcW w:type="dxa" w:w="4986"/>
            <w:vAlign w:val="center"/>
            <w:tcMar>
              <w:top w:w="80" w:type="dxa"/>
              <w:start w:w="90" w:type="dxa"/>
              <w:bottom w:w="80" w:type="dxa"/>
              <w:end w:w="90" w:type="dxa"/>
            </w:tcMar>
          </w:tcPr>
          <w:p>
            <w:pPr>
              <w:spacing w:after="0"/>
            </w:pPr>
            <w:r/>
            <w:r>
              <w:rPr>
                <w:rFonts w:ascii="Arial" w:hAnsi="Arial"/>
                <w:b w:val="0"/>
                <w:sz w:val="17"/>
              </w:rPr>
              <w:t>To be confirmed prior to commencement</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Principal Designer</w:t>
            </w:r>
          </w:p>
        </w:tc>
        <w:tc>
          <w:tcPr>
            <w:tcW w:type="dxa" w:w="4986"/>
            <w:vAlign w:val="center"/>
            <w:tcMar>
              <w:top w:w="80" w:type="dxa"/>
              <w:start w:w="90" w:type="dxa"/>
              <w:bottom w:w="80" w:type="dxa"/>
              <w:end w:w="90" w:type="dxa"/>
            </w:tcMar>
          </w:tcPr>
          <w:p>
            <w:pPr>
              <w:spacing w:after="0"/>
            </w:pPr>
            <w:r/>
            <w:r>
              <w:rPr>
                <w:rFonts w:ascii="Arial" w:hAnsi="Arial"/>
                <w:b w:val="0"/>
                <w:sz w:val="17"/>
              </w:rPr>
              <w:t>To be confirmed / recorded in the Construction Phase Plan</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Site Manager</w:t>
            </w:r>
          </w:p>
        </w:tc>
        <w:tc>
          <w:tcPr>
            <w:tcW w:type="dxa" w:w="4986"/>
            <w:vAlign w:val="center"/>
            <w:tcMar>
              <w:top w:w="80" w:type="dxa"/>
              <w:start w:w="90" w:type="dxa"/>
              <w:bottom w:w="80" w:type="dxa"/>
              <w:end w:w="90" w:type="dxa"/>
            </w:tcMar>
          </w:tcPr>
          <w:p>
            <w:pPr>
              <w:spacing w:after="0"/>
            </w:pPr>
            <w:r/>
            <w:r>
              <w:rPr>
                <w:rFonts w:ascii="Arial" w:hAnsi="Arial"/>
                <w:b w:val="0"/>
                <w:sz w:val="17"/>
              </w:rPr>
              <w:t>To be appointed by Griffiths and Barnard Limited</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Emergency assembly point</w:t>
            </w:r>
          </w:p>
        </w:tc>
        <w:tc>
          <w:tcPr>
            <w:tcW w:type="dxa" w:w="4986"/>
            <w:vAlign w:val="center"/>
            <w:tcMar>
              <w:top w:w="80" w:type="dxa"/>
              <w:start w:w="90" w:type="dxa"/>
              <w:bottom w:w="80" w:type="dxa"/>
              <w:end w:w="90" w:type="dxa"/>
            </w:tcMar>
          </w:tcPr>
          <w:p>
            <w:pPr>
              <w:spacing w:after="0"/>
            </w:pPr>
            <w:r/>
            <w:r>
              <w:rPr>
                <w:rFonts w:ascii="Arial" w:hAnsi="Arial"/>
                <w:b w:val="0"/>
                <w:sz w:val="17"/>
              </w:rPr>
              <w:t>To be identified on the site logistics plan and induction board</w:t>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Nearest hospital / minor injuries unit</w:t>
            </w:r>
          </w:p>
        </w:tc>
        <w:tc>
          <w:tcPr>
            <w:tcW w:type="dxa" w:w="4986"/>
            <w:vAlign w:val="center"/>
            <w:tcMar>
              <w:top w:w="80" w:type="dxa"/>
              <w:start w:w="90" w:type="dxa"/>
              <w:bottom w:w="80" w:type="dxa"/>
              <w:end w:w="90" w:type="dxa"/>
            </w:tcMar>
          </w:tcPr>
          <w:p>
            <w:pPr>
              <w:spacing w:after="0"/>
            </w:pPr>
            <w:r/>
            <w:r>
              <w:rPr>
                <w:rFonts w:ascii="Arial" w:hAnsi="Arial"/>
                <w:b w:val="0"/>
                <w:sz w:val="17"/>
              </w:rPr>
              <w:t>To be confirmed and displayed in the welfare unit before commencement</w:t>
            </w:r>
          </w:p>
        </w:tc>
      </w:tr>
    </w:tbl>
    <w:p>
      <w:pPr>
        <w:pStyle w:val="Heading2"/>
        <w:keepNext/>
      </w:pPr>
      <w:r>
        <w:t>2.1 Responsibilities</w:t>
      </w:r>
    </w:p>
    <w:p>
      <w:r>
        <w:t>Griffiths and Barnard Limited, as Principal Contractor where more than one contractor is involved, will plan, manage, monitor and coordinate the construction phase. The Site Manager will control day-to-day implementation, inductions, permits, inspections, liaison with the client, coordination of trades and environmental monitoring.</w:t>
      </w:r>
    </w:p>
    <w:p>
      <w:pPr>
        <w:pStyle w:val="ListBullet"/>
      </w:pPr>
      <w:r>
        <w:t>No contractor may start until competence, insurance, task RAMS and relevant training have been checked.</w:t>
      </w:r>
    </w:p>
    <w:p>
      <w:pPr>
        <w:pStyle w:val="ListBullet"/>
      </w:pPr>
      <w:r>
        <w:t>All persons will receive a site-specific induction, including the canal hazard and pollution controls.</w:t>
      </w:r>
    </w:p>
    <w:p>
      <w:pPr>
        <w:pStyle w:val="ListBullet"/>
      </w:pPr>
      <w:r>
        <w:t>Design changes or unexpected ground conditions will be referred to the Structural Engineer and Principal Designer before work proceeds.</w:t>
      </w:r>
    </w:p>
    <w:p>
      <w:pPr>
        <w:pStyle w:val="ListBullet"/>
      </w:pPr>
      <w:r>
        <w:t>Workers will be consulted through daily briefings, toolbox talks, coordination meetings and the reporting of near misses.</w:t>
      </w:r>
    </w:p>
    <w:p>
      <w:pPr>
        <w:pStyle w:val="ListBullet"/>
      </w:pPr>
      <w:r>
        <w:t>The site will be secured against unauthorised access throughout the construction period.</w:t>
      </w:r>
    </w:p>
    <w:p>
      <w:pPr>
        <w:pStyle w:val="Heading1"/>
        <w:keepNext/>
      </w:pPr>
      <w:r>
        <w:t>3. Description and Scope of Works</w:t>
      </w:r>
    </w:p>
    <w:p>
      <w:r>
        <w:t>The works comprise a new oak-framed extension of approximately 5.5 m by 5.0 m to the north of the existing outbuilding, together with refurbishment of the existing oak structure. The extension will be constructed on traditional strip / trench-fill foundations and a traditional ground-bearing concrete slab, all in accordance with the design and details prepared by T. Wakley of TW Design Services.</w:t>
      </w:r>
    </w:p>
    <w:p>
      <w:pPr>
        <w:pStyle w:val="ListBullet"/>
      </w:pPr>
      <w:r>
        <w:t>Site mobilisation, temporary security, welfare, signage, emergency equipment and health and safety compound.</w:t>
      </w:r>
    </w:p>
    <w:p>
      <w:pPr>
        <w:pStyle w:val="ListBullet"/>
      </w:pPr>
      <w:r>
        <w:t>Surveying, setting out, service detection and protection of existing features.</w:t>
      </w:r>
    </w:p>
    <w:p>
      <w:pPr>
        <w:pStyle w:val="ListBullet"/>
      </w:pPr>
      <w:r>
        <w:t>Controlled excavation in short lengths using a mini excavator or hand methods only.</w:t>
      </w:r>
    </w:p>
    <w:p>
      <w:pPr>
        <w:pStyle w:val="ListBullet"/>
      </w:pPr>
      <w:r>
        <w:t>600 mm wide strip foundations with a minimum 500 mm concrete depth; formation generally 1.0 m below ground level and locally 1.25 m adjacent to the identified Cypress tree, subject to approved drawings and inspection.</w:t>
      </w:r>
    </w:p>
    <w:p>
      <w:pPr>
        <w:pStyle w:val="ListBullet"/>
      </w:pPr>
      <w:r>
        <w:t>Connection to existing foundations using the engineer-specified dowel detail where shown.</w:t>
      </w:r>
    </w:p>
    <w:p>
      <w:pPr>
        <w:pStyle w:val="ListBullet"/>
      </w:pPr>
      <w:r>
        <w:t>Masonry below DPC, damp-proofing, insulation, below-ground drainage and ground-bearing concrete floor slab.</w:t>
      </w:r>
    </w:p>
    <w:p>
      <w:pPr>
        <w:pStyle w:val="ListBullet"/>
      </w:pPr>
      <w:r>
        <w:t>Prime Oak delivery and erection of the oak frame, including temporary stability measures and lifting operations.</w:t>
      </w:r>
    </w:p>
    <w:p>
      <w:pPr>
        <w:pStyle w:val="ListBullet"/>
      </w:pPr>
      <w:r>
        <w:t>Erection and inspection of scaffolding; roof structure, underlay, battens, flashings and new clay tiles.</w:t>
      </w:r>
    </w:p>
    <w:p>
      <w:pPr>
        <w:pStyle w:val="ListBullet"/>
      </w:pPr>
      <w:r>
        <w:t>Refurbishment of the existing building including insulation, plastering, plumbing, electrical and mechanical services, kitchen, bathroom, joinery, decoration, testing and commissioning.</w:t>
      </w:r>
    </w:p>
    <w:p>
      <w:pPr>
        <w:pStyle w:val="ListBullet"/>
      </w:pPr>
      <w:r>
        <w:t>Final external works, removal of temporary controls when safe, cleaning, reinstatement and handover.</w:t>
      </w:r>
    </w:p>
    <w:p>
      <w:pPr>
        <w:pStyle w:val="Heading2"/>
        <w:keepNext/>
      </w:pPr>
      <w:r>
        <w:t>3.1 Anticipated Construction Sequence</w:t>
      </w:r>
    </w:p>
    <w:p>
      <w:pPr>
        <w:pStyle w:val="ListNumber"/>
      </w:pPr>
      <w:r>
        <w:t>Pre-start approvals, surveys and utility information.</w:t>
      </w:r>
    </w:p>
    <w:p>
      <w:pPr>
        <w:pStyle w:val="ListNumber"/>
      </w:pPr>
      <w:r>
        <w:t>Set up compound, welfare, security fencing and canal-side exclusion controls.</w:t>
      </w:r>
    </w:p>
    <w:p>
      <w:pPr>
        <w:pStyle w:val="ListNumber"/>
      </w:pPr>
      <w:r>
        <w:t>Set out extension and prove service locations.</w:t>
      </w:r>
    </w:p>
    <w:p>
      <w:pPr>
        <w:pStyle w:val="ListNumber"/>
      </w:pPr>
      <w:r>
        <w:t>Excavate foundations in short controlled sections.</w:t>
      </w:r>
    </w:p>
    <w:p>
      <w:pPr>
        <w:pStyle w:val="ListNumber"/>
      </w:pPr>
      <w:r>
        <w:t>Inspect formation and place concrete without avoidable delay.</w:t>
      </w:r>
    </w:p>
    <w:p>
      <w:pPr>
        <w:pStyle w:val="ListNumber"/>
      </w:pPr>
      <w:r>
        <w:t>Construct below-ground masonry, drainage and ground-bearing slab.</w:t>
      </w:r>
    </w:p>
    <w:p>
      <w:pPr>
        <w:pStyle w:val="ListNumber"/>
      </w:pPr>
      <w:r>
        <w:t>Allow adequate curing and prepare for oak frame erection.</w:t>
      </w:r>
    </w:p>
    <w:p>
      <w:pPr>
        <w:pStyle w:val="ListNumber"/>
      </w:pPr>
      <w:r>
        <w:t>Deliver and erect the oak frame under an approved lifting and temporary stability plan.</w:t>
      </w:r>
    </w:p>
    <w:p>
      <w:pPr>
        <w:pStyle w:val="ListNumber"/>
      </w:pPr>
      <w:r>
        <w:t>Erect / adapt scaffolding and complete roof covering and weathering.</w:t>
      </w:r>
    </w:p>
    <w:p>
      <w:pPr>
        <w:pStyle w:val="ListNumber"/>
      </w:pPr>
      <w:r>
        <w:t>Refurbish existing building and undertake services / fit-out.</w:t>
      </w:r>
    </w:p>
    <w:p>
      <w:pPr>
        <w:pStyle w:val="ListNumber"/>
      </w:pPr>
      <w:r>
        <w:t>Test, commission, complete snagging, reinstate and demobilise.</w:t>
      </w:r>
    </w:p>
    <w:p>
      <w:pPr>
        <w:pStyle w:val="Heading1"/>
        <w:keepNext/>
      </w:pPr>
      <w:r>
        <w:t>4. Existing Site Conditions and Constraints</w:t>
      </w:r>
    </w:p>
    <w:p>
      <w:r>
        <w:t>The extension is located beside an existing canal, with the nearest proposed construction approximately 3.5 m from the canal edge. The canal is understood to be approximately 1.2-1.5 m deep adjacent to the bank and deeper toward the centre. An existing retaining wall supports the canal edge. The Structural Engineer recorded no visible signs of instability, movement or distress at the time of inspection.</w:t>
      </w:r>
    </w:p>
    <w:p>
      <w:r>
        <w:t>A trial pit identified stiff clay extending to at least 1.25 m below existing ground level, with no groundwater or tree roots encountered in that excavation. The stiff cohesive soil is considered suitable for traditional strip foundations, subject to formation inspection and the specific tree-related depths stated in the engineer's design.</w:t>
      </w:r>
    </w:p>
    <w:p>
      <w:pPr>
        <w:pStyle w:val="Heading2"/>
        <w:keepNext/>
      </w:pPr>
      <w:r>
        <w:t>4.1 Principal Constraints</w:t>
      </w:r>
    </w:p>
    <w:p>
      <w:pPr>
        <w:pStyle w:val="ListBullet"/>
      </w:pPr>
      <w:r>
        <w:t>Immediate proximity of open water, creating fall, drowning and rescue risks.</w:t>
      </w:r>
    </w:p>
    <w:p>
      <w:pPr>
        <w:pStyle w:val="ListBullet"/>
      </w:pPr>
      <w:r>
        <w:t>Potential for surcharge, vibration, excavation or stockpiling to affect the retained canal bank.</w:t>
      </w:r>
    </w:p>
    <w:p>
      <w:pPr>
        <w:pStyle w:val="ListBullet"/>
      </w:pPr>
      <w:r>
        <w:t>Potential release of silt, wet concrete, cement washout, fuel, oil or other contaminants to the canal.</w:t>
      </w:r>
    </w:p>
    <w:p>
      <w:pPr>
        <w:pStyle w:val="ListBullet"/>
      </w:pPr>
      <w:r>
        <w:t>Limited working space between the new extension and canal-side boundary.</w:t>
      </w:r>
    </w:p>
    <w:p>
      <w:pPr>
        <w:pStyle w:val="ListBullet"/>
      </w:pPr>
      <w:r>
        <w:t>Existing occupied property and the need to maintain safe separation from the client and visitors.</w:t>
      </w:r>
    </w:p>
    <w:p>
      <w:pPr>
        <w:pStyle w:val="ListBullet"/>
      </w:pPr>
      <w:r>
        <w:t>Unknown or partially recorded underground services until positively located.</w:t>
      </w:r>
    </w:p>
    <w:p>
      <w:pPr>
        <w:pStyle w:val="ListBullet"/>
      </w:pPr>
      <w:r>
        <w:t>Nearby Cypress tree influencing foundation depth and requiring protection from unnecessary damage.</w:t>
      </w:r>
    </w:p>
    <w:p>
      <w:pPr>
        <w:pStyle w:val="ListBullet"/>
      </w:pPr>
      <w:r>
        <w:t>Delivery and lifting requirements for oak frame components and clay roof tiles.</w:t>
      </w:r>
    </w:p>
    <w:p>
      <w:pPr>
        <w:pStyle w:val="ListBullet"/>
      </w:pPr>
      <w:r>
        <w:t>Work at height during frame, scaffold and roof activities.</w:t>
      </w:r>
    </w:p>
    <w:p>
      <w:pPr>
        <w:pStyle w:val="ListBullet"/>
      </w:pPr>
      <w:r>
        <w:t>Weather conditions, including heavy rain, high winds, frost and reduced visibility.</w:t>
      </w:r>
    </w:p>
    <w:p>
      <w:pPr>
        <w:pStyle w:val="Heading2"/>
        <w:keepNext/>
      </w:pPr>
      <w:r>
        <w:t>4.2 Hold Points</w:t>
      </w:r>
    </w:p>
    <w:p>
      <w:pPr>
        <w:pStyle w:val="ListBullet"/>
      </w:pPr>
      <w:r>
        <w:t>No mobilisation until the planning condition is discharged and any separate Canal &amp; River Trust / landowner requirements have been confirmed.</w:t>
      </w:r>
    </w:p>
    <w:p>
      <w:pPr>
        <w:pStyle w:val="ListBullet"/>
      </w:pPr>
      <w:r>
        <w:t>No excavation until service plans are reviewed, a cable avoidance tool scan is completed and the work area is marked.</w:t>
      </w:r>
    </w:p>
    <w:p>
      <w:pPr>
        <w:pStyle w:val="ListBullet"/>
      </w:pPr>
      <w:r>
        <w:t>No foundation concrete until formation has been accepted by Building Control and, where requested, the Structural Engineer.</w:t>
      </w:r>
    </w:p>
    <w:p>
      <w:pPr>
        <w:pStyle w:val="ListBullet"/>
      </w:pPr>
      <w:r>
        <w:t>No frame erection until foundation / slab strength, dimensions, holding-down details and crane / lifting arrangements are confirmed.</w:t>
      </w:r>
    </w:p>
    <w:p>
      <w:pPr>
        <w:pStyle w:val="ListBullet"/>
      </w:pPr>
      <w:r>
        <w:t>No scaffold use until handover certification and statutory inspection are complete.</w:t>
      </w:r>
    </w:p>
    <w:p>
      <w:pPr>
        <w:pStyle w:val="ListBullet"/>
      </w:pPr>
      <w:r>
        <w:t>No removal of canal-side barriers until all external works are complete and the Site Manager confirms the edge is safe.</w:t>
      </w:r>
    </w:p>
    <w:p>
      <w:pPr>
        <w:pStyle w:val="Heading1"/>
        <w:keepNext/>
      </w:pPr>
      <w:r>
        <w:t>5. Management Arrangements under CDM 2015</w:t>
      </w:r>
    </w:p>
    <w:p>
      <w:r>
        <w:t>The Construction Phase Plan will be maintained as a live document. This method statement may be incorporated into that plan, but project administration such as appointments, competence records, F10 status, design risk information, insurance, training and contractor details will be retained separately in the site file.</w:t>
      </w:r>
    </w:p>
    <w:p>
      <w:pPr>
        <w:pStyle w:val="Heading2"/>
        <w:keepNext/>
      </w:pPr>
      <w:r>
        <w:t>5.1 Site Rules</w:t>
      </w:r>
    </w:p>
    <w:p>
      <w:pPr>
        <w:pStyle w:val="ListBullet"/>
      </w:pPr>
      <w:r>
        <w:t>Sign in and out; report to the Site Manager before entering work areas.</w:t>
      </w:r>
    </w:p>
    <w:p>
      <w:pPr>
        <w:pStyle w:val="ListBullet"/>
      </w:pPr>
      <w:r>
        <w:t>Minimum PPE: safety footwear, high-visibility clothing and suitable work clothing; task-specific head, eye, hearing, hand, respiratory and fall-protection PPE as assessed.</w:t>
      </w:r>
    </w:p>
    <w:p>
      <w:pPr>
        <w:pStyle w:val="ListBullet"/>
      </w:pPr>
      <w:r>
        <w:t>No lone working beside the canal, in excavations, during lifting operations or for high-risk activities.</w:t>
      </w:r>
    </w:p>
    <w:p>
      <w:pPr>
        <w:pStyle w:val="ListBullet"/>
      </w:pPr>
      <w:r>
        <w:t>No person under the influence of alcohol or drugs; prescribed medication affecting safety must be reported confidentially.</w:t>
      </w:r>
    </w:p>
    <w:p>
      <w:pPr>
        <w:pStyle w:val="ListBullet"/>
      </w:pPr>
      <w:r>
        <w:t>No unauthorised alteration to barriers, scaffold, temporary works, services or environmental controls.</w:t>
      </w:r>
    </w:p>
    <w:p>
      <w:pPr>
        <w:pStyle w:val="ListBullet"/>
      </w:pPr>
      <w:r>
        <w:t>No refuelling, chemical mixing, concrete washout or storage in the canal protection zone.</w:t>
      </w:r>
    </w:p>
    <w:p>
      <w:pPr>
        <w:pStyle w:val="ListBullet"/>
      </w:pPr>
      <w:r>
        <w:t>Good housekeeping is mandatory; access and escape routes must remain clear.</w:t>
      </w:r>
    </w:p>
    <w:p>
      <w:pPr>
        <w:pStyle w:val="ListBullet"/>
      </w:pPr>
      <w:r>
        <w:t>All incidents, near misses, spills, ground movement, damaged barriers and unexpected conditions must be reported immediately.</w:t>
      </w:r>
    </w:p>
    <w:p>
      <w:pPr>
        <w:pStyle w:val="ListBullet"/>
      </w:pPr>
      <w:r>
        <w:t>Work stops during unsafe weather or whenever the Site Manager considers controls ineffective.</w:t>
      </w:r>
    </w:p>
    <w:p>
      <w:pPr>
        <w:pStyle w:val="Heading2"/>
        <w:keepNext/>
      </w:pPr>
      <w:r>
        <w:t>5.2 Induction and Briefing</w:t>
      </w:r>
    </w:p>
    <w:p>
      <w:r>
        <w:t>The induction will include: project scope; canal-side limits; rescue arrangements; emergency contacts; traffic routes; welfare; fire and first aid; reporting procedures; environmental controls; relevant design restrictions; prohibited areas; and the requirement to stop work if the canal bank, retaining wall or excavation shows cracking, slumping, bulging, water ingress or movement.</w:t>
      </w:r>
    </w:p>
    <w:p>
      <w:pPr>
        <w:pStyle w:val="Heading2"/>
        <w:keepNext/>
      </w:pPr>
      <w:r>
        <w:t>5.3 Monitoring</w:t>
      </w:r>
    </w:p>
    <w:p>
      <w:pPr>
        <w:pStyle w:val="ListBullet"/>
      </w:pPr>
      <w:r>
        <w:t>Daily start-of-shift visual inspection of canal edge, barriers, excavations, stockpiles, spill controls and weather forecast.</w:t>
      </w:r>
    </w:p>
    <w:p>
      <w:pPr>
        <w:pStyle w:val="ListBullet"/>
      </w:pPr>
      <w:r>
        <w:t>Weekly recorded site inspection by the Site Manager.</w:t>
      </w:r>
    </w:p>
    <w:p>
      <w:pPr>
        <w:pStyle w:val="ListBullet"/>
      </w:pPr>
      <w:r>
        <w:t>Additional inspection following heavy rainfall, high winds, flooding, impact, spill, design change or prolonged shutdown.</w:t>
      </w:r>
    </w:p>
    <w:p>
      <w:pPr>
        <w:pStyle w:val="ListBullet"/>
      </w:pPr>
      <w:r>
        <w:t>Formal scaffold inspections in accordance with legal requirements and after events likely to affect stability.</w:t>
      </w:r>
    </w:p>
    <w:p>
      <w:pPr>
        <w:pStyle w:val="ListBullet"/>
      </w:pPr>
      <w:r>
        <w:t>Review of RAMS and briefings whenever the sequence or conditions change.</w:t>
      </w:r>
    </w:p>
    <w:p>
      <w:pPr>
        <w:pStyle w:val="Heading1"/>
        <w:keepNext/>
      </w:pPr>
      <w:r>
        <w:t>6. Site Establishment, Security and Welfare</w:t>
      </w:r>
    </w:p>
    <w:p>
      <w:pPr>
        <w:pStyle w:val="Heading2"/>
        <w:keepNext/>
      </w:pPr>
      <w:r>
        <w:t>6.1 Site Compound and Segregation</w:t>
      </w:r>
    </w:p>
    <w:p>
      <w:r>
        <w:t>A compact health and safety compound will be established in the part of the property furthest practicable from the canal and outside the structural engineer's no-loading restrictions. The compound will contain welfare, first aid, fire points, secure tool storage, waste containers, spill equipment, COSHH storage and the site information board. The precise arrangement will be shown on a site logistics sketch before mobilisation.</w:t>
      </w:r>
    </w:p>
    <w:p>
      <w:pPr>
        <w:pStyle w:val="ListBullet"/>
      </w:pPr>
      <w:r>
        <w:t>Interlocking Heras-type panels on suitable bases, clipped together and stabilised so they cannot be displaced by wind or casual contact.</w:t>
      </w:r>
    </w:p>
    <w:p>
      <w:pPr>
        <w:pStyle w:val="ListBullet"/>
      </w:pPr>
      <w:r>
        <w:t>Locked access gate outside working hours and warning signage at entry points.</w:t>
      </w:r>
    </w:p>
    <w:p>
      <w:pPr>
        <w:pStyle w:val="ListBullet"/>
      </w:pPr>
      <w:r>
        <w:t>Separate canal-side edge barrier / exclusion line of sufficient strength and stability to prevent a person falling into the water; ordinary lightweight fencing alone will not be relied upon where a foreseeable fall could occur.</w:t>
      </w:r>
    </w:p>
    <w:p>
      <w:pPr>
        <w:pStyle w:val="ListBullet"/>
      </w:pPr>
      <w:r>
        <w:t>Pedestrian routes separated from excavation, plant and delivery routes.</w:t>
      </w:r>
    </w:p>
    <w:p>
      <w:pPr>
        <w:pStyle w:val="ListBullet"/>
      </w:pPr>
      <w:r>
        <w:t>No materials leaned against canal-side fencing and no gap beneath or between panels that could allow access.</w:t>
      </w:r>
    </w:p>
    <w:p>
      <w:pPr>
        <w:pStyle w:val="Heading2"/>
        <w:keepNext/>
      </w:pPr>
      <w:r>
        <w:t>6.2 Welfare</w:t>
      </w:r>
    </w:p>
    <w:p>
      <w:pPr>
        <w:pStyle w:val="ListBullet"/>
      </w:pPr>
      <w:r>
        <w:t>Flush or chemical toilet maintained hygienically.</w:t>
      </w:r>
    </w:p>
    <w:p>
      <w:pPr>
        <w:pStyle w:val="ListBullet"/>
      </w:pPr>
      <w:r>
        <w:t>Hot and cold or warm running water, soap and drying facilities.</w:t>
      </w:r>
    </w:p>
    <w:p>
      <w:pPr>
        <w:pStyle w:val="ListBullet"/>
      </w:pPr>
      <w:r>
        <w:t>Potable drinking water.</w:t>
      </w:r>
    </w:p>
    <w:p>
      <w:pPr>
        <w:pStyle w:val="ListBullet"/>
      </w:pPr>
      <w:r>
        <w:t>Heated / weatherproof rest area with seating, table and means to heat food and water.</w:t>
      </w:r>
    </w:p>
    <w:p>
      <w:pPr>
        <w:pStyle w:val="ListBullet"/>
      </w:pPr>
      <w:r>
        <w:t>Changing and drying arrangements for wet clothing and PPE.</w:t>
      </w:r>
    </w:p>
    <w:p>
      <w:pPr>
        <w:pStyle w:val="ListBullet"/>
      </w:pPr>
      <w:r>
        <w:t>Suitable storage for personal belongings.</w:t>
      </w:r>
    </w:p>
    <w:p>
      <w:pPr>
        <w:pStyle w:val="ListBullet"/>
      </w:pPr>
      <w:r>
        <w:t>Welfare available from the first day until completion and serviced at appropriate intervals.</w:t>
      </w:r>
    </w:p>
    <w:p>
      <w:pPr>
        <w:pStyle w:val="Heading2"/>
        <w:keepNext/>
      </w:pPr>
      <w:r>
        <w:t>6.3 Security and Public Protection</w:t>
      </w:r>
    </w:p>
    <w:p>
      <w:r>
        <w:t>The property owner and visitors will be kept outside the construction zone. Deliveries will be supervised. Open excavations, access ladders, tools, chemicals and plant will be secured at the end of each shift. Where the canal towpath or third-party land could be affected, the relevant owner / navigation authority will be consulted and no obstruction will be created without written agreement.</w:t>
      </w:r>
    </w:p>
    <w:p>
      <w:pPr>
        <w:pStyle w:val="Heading1"/>
        <w:keepNext/>
      </w:pPr>
      <w:r>
        <w:t>7. Access, Deliveries and Traffic Management</w:t>
      </w:r>
    </w:p>
    <w:p>
      <w:r>
        <w:t>A delivery schedule will be agreed to avoid congestion and uncontrolled reversing. Drivers will receive arrival instructions and will not enter until directed by the Site Manager or banksman. Delivery vehicles will use existing hardstanding wherever practicable and will not be positioned so that axles, outriggers or loads impose surcharge on the canal bank.</w:t>
      </w:r>
    </w:p>
    <w:p>
      <w:pPr>
        <w:pStyle w:val="ListBullet"/>
      </w:pPr>
      <w:r>
        <w:t>Banksman for reversing and restricted manoeuvres.</w:t>
      </w:r>
    </w:p>
    <w:p>
      <w:pPr>
        <w:pStyle w:val="ListBullet"/>
      </w:pPr>
      <w:r>
        <w:t>Engine off during waiting and unloading where practicable.</w:t>
      </w:r>
    </w:p>
    <w:p>
      <w:pPr>
        <w:pStyle w:val="ListBullet"/>
      </w:pPr>
      <w:r>
        <w:t>No vehicle washing or concrete chute washing on site unless a fully contained designated facility is provided.</w:t>
      </w:r>
    </w:p>
    <w:p>
      <w:pPr>
        <w:pStyle w:val="ListBullet"/>
      </w:pPr>
      <w:r>
        <w:t>Materials pre-planned in suitable load sizes to minimise storage and double handling.</w:t>
      </w:r>
    </w:p>
    <w:p>
      <w:pPr>
        <w:pStyle w:val="ListBullet"/>
      </w:pPr>
      <w:r>
        <w:t>Large oak-frame components delivered just in time and laid on level bearers in the approved storage area.</w:t>
      </w:r>
    </w:p>
    <w:p>
      <w:pPr>
        <w:pStyle w:val="ListBullet"/>
      </w:pPr>
      <w:r>
        <w:t>Road and access kept free of mud; dry sweeping / contained cleaning used before considering water.</w:t>
      </w:r>
    </w:p>
    <w:p>
      <w:pPr>
        <w:pStyle w:val="ListBullet"/>
      </w:pPr>
      <w:r>
        <w:t>Any road or footway damage, obstruction or complaint recorded and addressed promptly.</w:t>
      </w:r>
    </w:p>
    <w:p>
      <w:pPr>
        <w:pStyle w:val="Heading2"/>
        <w:keepNext/>
      </w:pPr>
      <w:r>
        <w:t>7.1 Plant Limits Adjacent to Canal</w:t>
      </w:r>
    </w:p>
    <w:p>
      <w:r>
        <w:t>Foundation excavation shall be undertaken using a small mini excavator or hand methods only. Plant shall remain a minimum of 3.0 m from the canal edge at all times, in accordance with the Structural Engineer's report and section drawing. No heavy tracked plant, stockpile, crane outrigger or material storage will be placed adjacent to the canal retaining wall. Any proposed departure requires prior written engineering review.</w:t>
      </w:r>
    </w:p>
    <w:p>
      <w:pPr>
        <w:pStyle w:val="Heading1"/>
        <w:keepNext/>
      </w:pPr>
      <w:r>
        <w:t>8. Protection of the Canal, Bank and Retaining Wall</w:t>
      </w:r>
    </w:p>
    <w:p>
      <w:pPr>
        <w:pStyle w:val="Heading2"/>
        <w:keepNext/>
      </w:pPr>
      <w:r>
        <w:t>8.1 Canal Protection Zone</w:t>
      </w:r>
    </w:p>
    <w:p>
      <w:r>
        <w:t>Before other construction work starts, the Site Manager will establish a clearly marked Canal Protection Zone along the full affected length. Access will be limited to authorised persons carrying out inspection or specifically planned work. The zone will remain free of stored materials, waste, spoil, chemicals, welfare units and plant.</w:t>
      </w:r>
    </w:p>
    <w:p>
      <w:pPr>
        <w:pStyle w:val="ListBullet"/>
      </w:pPr>
      <w:r>
        <w:t>Robust edge protection / barrier to prevent falls into water.</w:t>
      </w:r>
    </w:p>
    <w:p>
      <w:pPr>
        <w:pStyle w:val="ListBullet"/>
      </w:pPr>
      <w:r>
        <w:t>Warning signs: "Deep Water", "No Unauthorised Access" and "No Storage / No Plant".</w:t>
      </w:r>
    </w:p>
    <w:p>
      <w:pPr>
        <w:pStyle w:val="ListBullet"/>
      </w:pPr>
      <w:r>
        <w:t>Rescue station with a life ring or buoyancy aid attached to an adequate throw line, plus a separate throw line where appropriate.</w:t>
      </w:r>
    </w:p>
    <w:p>
      <w:pPr>
        <w:pStyle w:val="ListBullet"/>
      </w:pPr>
      <w:r>
        <w:t>Unobstructed access to the rescue equipment and a nominated point from which emergency services can be directed.</w:t>
      </w:r>
    </w:p>
    <w:p>
      <w:pPr>
        <w:pStyle w:val="ListBullet"/>
      </w:pPr>
      <w:r>
        <w:t>Daily check of the retaining wall, ground surface and fencing for movement, cracking, slumping, washout, bulging or impact damage.</w:t>
      </w:r>
    </w:p>
    <w:p>
      <w:pPr>
        <w:pStyle w:val="ListBullet"/>
      </w:pPr>
      <w:r>
        <w:t>No attachment, drilling, loading or fixing into the canal retaining wall without the responsible owner's and engineer's approval.</w:t>
      </w:r>
    </w:p>
    <w:p>
      <w:pPr>
        <w:pStyle w:val="Heading2"/>
        <w:keepNext/>
      </w:pPr>
      <w:r>
        <w:t>8.2 Stop-Work Triggers</w:t>
      </w:r>
    </w:p>
    <w:p>
      <w:pPr>
        <w:pStyle w:val="ListBullet"/>
      </w:pPr>
      <w:r>
        <w:t>Any visible movement, new cracking, subsidence or deformation of the canal bank or retaining wall.</w:t>
      </w:r>
    </w:p>
    <w:p>
      <w:pPr>
        <w:pStyle w:val="ListBullet"/>
      </w:pPr>
      <w:r>
        <w:t>Unexpected water ingress, piping, erosion, boiling ground or rapid softening of excavation faces.</w:t>
      </w:r>
    </w:p>
    <w:p>
      <w:pPr>
        <w:pStyle w:val="ListBullet"/>
      </w:pPr>
      <w:r>
        <w:t>Excavation profile encroaching on the engineer's 1:3 support line or the indicated exclusion zone.</w:t>
      </w:r>
    </w:p>
    <w:p>
      <w:pPr>
        <w:pStyle w:val="ListBullet"/>
      </w:pPr>
      <w:r>
        <w:t>Plant or stockpile entering the 3 m minimum stand-off.</w:t>
      </w:r>
    </w:p>
    <w:p>
      <w:pPr>
        <w:pStyle w:val="ListBullet"/>
      </w:pPr>
      <w:r>
        <w:t>Failure or displacement of the edge barrier.</w:t>
      </w:r>
    </w:p>
    <w:p>
      <w:pPr>
        <w:pStyle w:val="ListBullet"/>
      </w:pPr>
      <w:r>
        <w:t>Pollutant or sediment reaching, or being likely to reach, the canal.</w:t>
      </w:r>
    </w:p>
    <w:p>
      <w:pPr>
        <w:pStyle w:val="ListBullet"/>
      </w:pPr>
      <w:r>
        <w:t>Heavy rain, flood warning or wind conditions that make the planned controls unreliable.</w:t>
      </w:r>
    </w:p>
    <w:p>
      <w:r>
        <w:t>On any trigger, work will cease, personnel will withdraw to a safe area, the Site Manager will make the area secure and the Structural Engineer / relevant authority will be contacted as appropriate. Work will restart only after a competent written review and revised briefing.</w:t>
      </w:r>
    </w:p>
    <w:p>
      <w:pPr>
        <w:pStyle w:val="Heading1"/>
        <w:keepNext/>
      </w:pPr>
      <w:r>
        <w:t>9. Environmental Management and Pollution Prevention</w:t>
      </w:r>
    </w:p>
    <w:p>
      <w:pPr>
        <w:pStyle w:val="Heading2"/>
        <w:keepNext/>
      </w:pPr>
      <w:r>
        <w:t>9.1 General Principles</w:t>
      </w:r>
    </w:p>
    <w:p>
      <w:r>
        <w:t>The project will apply the hierarchy of prevent, contain, recover and report. No liquid, slurry, silty water, cementitious material, fuel, oil, paint, solvent, sealant, cleaning water or waste will be discharged to the canal, ground drainage or surface-water system.</w:t>
      </w:r>
    </w:p>
    <w:p>
      <w:pPr>
        <w:pStyle w:val="Heading2"/>
        <w:keepNext/>
      </w:pPr>
      <w:r>
        <w:t>9.2 Fuel, Oil and Chemicals</w:t>
      </w:r>
    </w:p>
    <w:p>
      <w:pPr>
        <w:pStyle w:val="ListBullet"/>
      </w:pPr>
      <w:r>
        <w:t>Only minimum daily quantities brought to site where practicable.</w:t>
      </w:r>
    </w:p>
    <w:p>
      <w:pPr>
        <w:pStyle w:val="ListBullet"/>
      </w:pPr>
      <w:r>
        <w:t>Containers labelled, closed, upright and kept in a locked, weatherproof COSHH store away from the canal.</w:t>
      </w:r>
    </w:p>
    <w:p>
      <w:pPr>
        <w:pStyle w:val="ListBullet"/>
      </w:pPr>
      <w:r>
        <w:t>Liquid storage provided with secondary containment of at least 110% of the largest container or 25% of the total stored volume, whichever is greater, unless a stricter product / statutory requirement applies.</w:t>
      </w:r>
    </w:p>
    <w:p>
      <w:pPr>
        <w:pStyle w:val="ListBullet"/>
      </w:pPr>
      <w:r>
        <w:t>Refuelling in the designated compound on an impermeable drip tray, supervised throughout; no unattended transfer.</w:t>
      </w:r>
    </w:p>
    <w:p>
      <w:pPr>
        <w:pStyle w:val="ListBullet"/>
      </w:pPr>
      <w:r>
        <w:t>Plant inspected for leaks before use; leaking plant removed from service or contained and repaired.</w:t>
      </w:r>
    </w:p>
    <w:p>
      <w:pPr>
        <w:pStyle w:val="ListBullet"/>
      </w:pPr>
      <w:r>
        <w:t>Spill kits suitable for hydrocarbons and general chemicals located at the compound and near active plant, but outside the fall hazard area.</w:t>
      </w:r>
    </w:p>
    <w:p>
      <w:pPr>
        <w:pStyle w:val="Heading2"/>
        <w:keepNext/>
      </w:pPr>
      <w:r>
        <w:t>9.3 Concrete and Cement</w:t>
      </w:r>
    </w:p>
    <w:p>
      <w:pPr>
        <w:pStyle w:val="ListBullet"/>
      </w:pPr>
      <w:r>
        <w:t>Ready-mix deliveries timed so excavations are approved and ready, reducing waiting and washout risk.</w:t>
      </w:r>
    </w:p>
    <w:p>
      <w:pPr>
        <w:pStyle w:val="ListBullet"/>
      </w:pPr>
      <w:r>
        <w:t>Chutes, pumps and hoses inspected before discharge and positioned to prevent overspill.</w:t>
      </w:r>
    </w:p>
    <w:p>
      <w:pPr>
        <w:pStyle w:val="ListBullet"/>
      </w:pPr>
      <w:r>
        <w:t>No concrete pump priming material, surplus concrete, grout or wash water placed on bare ground or into drainage.</w:t>
      </w:r>
    </w:p>
    <w:p>
      <w:pPr>
        <w:pStyle w:val="ListBullet"/>
      </w:pPr>
      <w:r>
        <w:t>Designated lined and contained concrete washout facility positioned well away from the canal and protected from rain; hardened residue removed as controlled construction waste.</w:t>
      </w:r>
    </w:p>
    <w:p>
      <w:pPr>
        <w:pStyle w:val="ListBullet"/>
      </w:pPr>
      <w:r>
        <w:t>Dry cement stored under cover and protected from wind and rain.</w:t>
      </w:r>
    </w:p>
    <w:p>
      <w:pPr>
        <w:pStyle w:val="ListBullet"/>
      </w:pPr>
      <w:r>
        <w:t>Wet concrete burns controlled through waterproof gloves, long sleeves, boots and immediate washing arrangements.</w:t>
      </w:r>
    </w:p>
    <w:p>
      <w:pPr>
        <w:pStyle w:val="Heading2"/>
        <w:keepNext/>
      </w:pPr>
      <w:r>
        <w:t>9.4 Silt and Surface Water</w:t>
      </w:r>
    </w:p>
    <w:p>
      <w:pPr>
        <w:pStyle w:val="ListBullet"/>
      </w:pPr>
      <w:r>
        <w:t>Excavations covered, surrounded by clean-water cut-off measures or otherwise protected where heavy rain is forecast.</w:t>
      </w:r>
    </w:p>
    <w:p>
      <w:pPr>
        <w:pStyle w:val="ListBullet"/>
      </w:pPr>
      <w:r>
        <w:t>Spoil and aggregates placed on sheeting / hardstanding away from the canal and covered when unattended or during rain.</w:t>
      </w:r>
    </w:p>
    <w:p>
      <w:pPr>
        <w:pStyle w:val="ListBullet"/>
      </w:pPr>
      <w:r>
        <w:t>No pumping from excavations directly to the canal. Water will be assessed; clean water may be disposed of only to an agreed location, while silty or contaminated water will be settled, treated or removed by a licensed waste contractor.</w:t>
      </w:r>
    </w:p>
    <w:p>
      <w:pPr>
        <w:pStyle w:val="ListBullet"/>
      </w:pPr>
      <w:r>
        <w:t>Sandbags, drain covers, absorbent booms and silt socks kept available where runoff pathways exist.</w:t>
      </w:r>
    </w:p>
    <w:p>
      <w:pPr>
        <w:pStyle w:val="ListBullet"/>
      </w:pPr>
      <w:r>
        <w:t>Weather forecast reviewed daily and vulnerable work postponed before intense rainfall.</w:t>
      </w:r>
    </w:p>
    <w:p>
      <w:pPr>
        <w:pStyle w:val="Heading2"/>
        <w:keepNext/>
      </w:pPr>
      <w:r>
        <w:t>9.5 Spill Response</w:t>
      </w:r>
    </w:p>
    <w:p>
      <w:pPr>
        <w:pStyle w:val="ListNumber"/>
      </w:pPr>
      <w:r>
        <w:t>Stop the source if safe: shut valve, upright container, switch off plant or deploy drain cover.</w:t>
      </w:r>
    </w:p>
    <w:p>
      <w:pPr>
        <w:pStyle w:val="ListNumber"/>
      </w:pPr>
      <w:r>
        <w:t>Protect people and the canal; raise alarm and stop nearby work.</w:t>
      </w:r>
    </w:p>
    <w:p>
      <w:pPr>
        <w:pStyle w:val="ListNumber"/>
      </w:pPr>
      <w:r>
        <w:t>Contain using absorbent socks, pads, sand or booms. Do not wash the spill away.</w:t>
      </w:r>
    </w:p>
    <w:p>
      <w:pPr>
        <w:pStyle w:val="ListNumber"/>
      </w:pPr>
      <w:r>
        <w:t>Notify the Site Manager immediately.</w:t>
      </w:r>
    </w:p>
    <w:p>
      <w:pPr>
        <w:pStyle w:val="ListNumber"/>
      </w:pPr>
      <w:r>
        <w:t>Recover contaminated materials into labelled containers for lawful disposal.</w:t>
      </w:r>
    </w:p>
    <w:p>
      <w:pPr>
        <w:pStyle w:val="ListNumber"/>
      </w:pPr>
      <w:r>
        <w:t>If pollution has entered or is likely to enter the canal, contact emergency services where necessary, the Environment Agency incident hotline and the canal owner / navigation authority; record advice and actions.</w:t>
      </w:r>
    </w:p>
    <w:p>
      <w:pPr>
        <w:pStyle w:val="ListNumber"/>
      </w:pPr>
      <w:r>
        <w:t>Investigate, replace spill materials and review controls before work resumes.</w:t>
      </w:r>
    </w:p>
    <w:p>
      <w:pPr>
        <w:pStyle w:val="Heading1"/>
        <w:keepNext/>
      </w:pPr>
      <w:r>
        <w:t>10. Detailed Construction Methodology</w:t>
      </w:r>
    </w:p>
    <w:p>
      <w:pPr>
        <w:pStyle w:val="Heading2"/>
        <w:keepNext/>
      </w:pPr>
      <w:r>
        <w:t>10.1 Pre-Start</w:t>
      </w:r>
    </w:p>
    <w:p>
      <w:pPr>
        <w:pStyle w:val="ListNumber"/>
      </w:pPr>
      <w:r>
        <w:t>Confirm planning discharge and all statutory / third-party consents.</w:t>
      </w:r>
    </w:p>
    <w:p>
      <w:pPr>
        <w:pStyle w:val="ListNumber"/>
      </w:pPr>
      <w:r>
        <w:t>Review current architectural, structural and service drawings.</w:t>
      </w:r>
    </w:p>
    <w:p>
      <w:pPr>
        <w:pStyle w:val="ListNumber"/>
      </w:pPr>
      <w:r>
        <w:t>Complete site logistics sketch, Construction Phase Plan, contractor appointments and emergency information.</w:t>
      </w:r>
    </w:p>
    <w:p>
      <w:pPr>
        <w:pStyle w:val="ListNumber"/>
      </w:pPr>
      <w:r>
        <w:t>Brief the client on segregation and access arrangements.</w:t>
      </w:r>
    </w:p>
    <w:p>
      <w:pPr>
        <w:pStyle w:val="ListNumber"/>
      </w:pPr>
      <w:r>
        <w:t>Install security, canal-side barriers, welfare, spill controls and rescue equipment.</w:t>
      </w:r>
    </w:p>
    <w:p>
      <w:pPr>
        <w:pStyle w:val="ListNumber"/>
      </w:pPr>
      <w:r>
        <w:t>Photograph existing canal wall, bank, access and neighbouring surfaces for condition records.</w:t>
      </w:r>
    </w:p>
    <w:p>
      <w:pPr>
        <w:pStyle w:val="Heading2"/>
        <w:keepNext/>
      </w:pPr>
      <w:r>
        <w:t>10.2 Setting Out and Services</w:t>
      </w:r>
    </w:p>
    <w:p>
      <w:r>
        <w:t>The extension will be set out by a competent person from the approved drawings. Existing services will be identified using plans, consultation with the owner, visual checks, cable avoidance equipment and trial holes. Mechanical excavation will not proceed within the tolerance zone of a service until its position and depth are positively established. Any discrepancy will be reported before excavation continues.</w:t>
      </w:r>
    </w:p>
    <w:p>
      <w:pPr>
        <w:pStyle w:val="Heading2"/>
        <w:keepNext/>
      </w:pPr>
      <w:r>
        <w:t>10.3 Foundation Excavation</w:t>
      </w:r>
    </w:p>
    <w:p>
      <w:pPr>
        <w:pStyle w:val="ListNumber"/>
      </w:pPr>
      <w:r>
        <w:t>Mark the 3 m plant stand-off and the engineer's excavation limits.</w:t>
      </w:r>
    </w:p>
    <w:p>
      <w:pPr>
        <w:pStyle w:val="ListNumber"/>
      </w:pPr>
      <w:r>
        <w:t>Excavate in short sections using a mini excavator positioned outside the canal exclusion distance, or hand dig where access / geometry requires.</w:t>
      </w:r>
    </w:p>
    <w:p>
      <w:pPr>
        <w:pStyle w:val="ListNumber"/>
      </w:pPr>
      <w:r>
        <w:t>Keep spoil away from the canal bank and load directly into a suitable location or vehicle where possible.</w:t>
      </w:r>
    </w:p>
    <w:p>
      <w:pPr>
        <w:pStyle w:val="ListNumber"/>
      </w:pPr>
      <w:r>
        <w:t>Maintain open faces approaching the canal at a maximum temporary slope of approximately 1 vertical to 3 horizontal, or flatter where required by the design / actual conditions.</w:t>
      </w:r>
    </w:p>
    <w:p>
      <w:pPr>
        <w:pStyle w:val="ListNumber"/>
      </w:pPr>
      <w:r>
        <w:t>Do not undercut the canal retaining wall or extend beneath its assumed support zone.</w:t>
      </w:r>
    </w:p>
    <w:p>
      <w:pPr>
        <w:pStyle w:val="ListNumber"/>
      </w:pPr>
      <w:r>
        <w:t>Protect excavation edges with barriers; provide safe access only where personnel entry is required.</w:t>
      </w:r>
    </w:p>
    <w:p>
      <w:pPr>
        <w:pStyle w:val="ListNumber"/>
      </w:pPr>
      <w:r>
        <w:t>Do not leave excavations open longer than necessary; inspect at the start of each shift and after rain, frost or disturbance.</w:t>
      </w:r>
    </w:p>
    <w:p>
      <w:pPr>
        <w:pStyle w:val="ListNumber"/>
      </w:pPr>
      <w:r>
        <w:t>Stop for soft spots, made ground, roots, groundwater, services, instability or any condition different from the report.</w:t>
      </w:r>
    </w:p>
    <w:p>
      <w:pPr>
        <w:pStyle w:val="Heading2"/>
        <w:keepNext/>
      </w:pPr>
      <w:r>
        <w:t>10.4 Foundation Inspection and Concrete</w:t>
      </w:r>
    </w:p>
    <w:p>
      <w:pPr>
        <w:pStyle w:val="ListNumber"/>
      </w:pPr>
      <w:r>
        <w:t>Trim formation without smearing or over-excavation.</w:t>
      </w:r>
    </w:p>
    <w:p>
      <w:pPr>
        <w:pStyle w:val="ListNumber"/>
      </w:pPr>
      <w:r>
        <w:t>Building Control to inspect formation; Structural Engineer to inspect where requested or where conditions differ.</w:t>
      </w:r>
    </w:p>
    <w:p>
      <w:pPr>
        <w:pStyle w:val="ListNumber"/>
      </w:pPr>
      <w:r>
        <w:t>Remove unsuitable local material and replace only as instructed, typically with mass concrete.</w:t>
      </w:r>
    </w:p>
    <w:p>
      <w:pPr>
        <w:pStyle w:val="ListNumber"/>
      </w:pPr>
      <w:r>
        <w:t>Confirm width, depth, steps and dowel locations against drawing 260706/ST-01.</w:t>
      </w:r>
    </w:p>
    <w:p>
      <w:pPr>
        <w:pStyle w:val="ListNumber"/>
      </w:pPr>
      <w:r>
        <w:t>Place concrete promptly following approval, continuously where practicable, without uncontrolled free fall or contamination.</w:t>
      </w:r>
    </w:p>
    <w:p>
      <w:pPr>
        <w:pStyle w:val="ListNumber"/>
      </w:pPr>
      <w:r>
        <w:t>Prevent concrete from entering cavities, drains or the canal; manage delivery / washout in accordance with Section 9.</w:t>
      </w:r>
    </w:p>
    <w:p>
      <w:pPr>
        <w:pStyle w:val="ListNumber"/>
      </w:pPr>
      <w:r>
        <w:t>Protect and cure concrete; do not backfill until adequate strength is achieved.</w:t>
      </w:r>
    </w:p>
    <w:p>
      <w:pPr>
        <w:pStyle w:val="Heading2"/>
        <w:keepNext/>
      </w:pPr>
      <w:r>
        <w:t>10.5 Below-Ground Construction and Slab</w:t>
      </w:r>
    </w:p>
    <w:p>
      <w:r>
        <w:t>Below-ground masonry, DPC, DPM, insulation, service penetrations, drainage and ground-bearing slab will follow approved architectural and structural details. Fill material will be suitable, clean and compacted in controlled layers using equipment selected to avoid excessive vibration adjacent to the canal. DPM joints and service penetrations will be sealed; insulation and radon / gas measures, if specified, will be inspected before concrete placement.</w:t>
      </w:r>
    </w:p>
    <w:p>
      <w:pPr>
        <w:pStyle w:val="Heading2"/>
        <w:keepNext/>
      </w:pPr>
      <w:r>
        <w:t>10.6 Oak Frame Erection</w:t>
      </w:r>
    </w:p>
    <w:p>
      <w:pPr>
        <w:pStyle w:val="ListBullet"/>
      </w:pPr>
      <w:r>
        <w:t>Prime Oak to provide erection RAMS, component weights, lifting points, temporary bracing requirements and sequence.</w:t>
      </w:r>
    </w:p>
    <w:p>
      <w:pPr>
        <w:pStyle w:val="ListBullet"/>
      </w:pPr>
      <w:r>
        <w:t>Foundation / slab dimensions, levels, anchors and strength verified before delivery.</w:t>
      </w:r>
    </w:p>
    <w:p>
      <w:pPr>
        <w:pStyle w:val="ListBullet"/>
      </w:pPr>
      <w:r>
        <w:t>Crane, telehandler or lifting appliance selected and positioned outside restricted canal loading zones; outriggers on designed mats and never adjacent to the bank without engineering confirmation.</w:t>
      </w:r>
    </w:p>
    <w:p>
      <w:pPr>
        <w:pStyle w:val="ListBullet"/>
      </w:pPr>
      <w:r>
        <w:t>Exclusion zone maintained beneath suspended loads; tag lines used where appropriate; no hands between mating components.</w:t>
      </w:r>
    </w:p>
    <w:p>
      <w:pPr>
        <w:pStyle w:val="ListBullet"/>
      </w:pPr>
      <w:r>
        <w:t>Frame braced progressively and not left unstable. Temporary bracing removed only when permanent stability is complete and authorised.</w:t>
      </w:r>
    </w:p>
    <w:p>
      <w:pPr>
        <w:pStyle w:val="ListBullet"/>
      </w:pPr>
      <w:r>
        <w:t>Work suspended in wind conditions exceeding manufacturer or lifting-plan limits.</w:t>
      </w:r>
    </w:p>
    <w:p>
      <w:pPr>
        <w:pStyle w:val="Heading2"/>
        <w:keepNext/>
      </w:pPr>
      <w:r>
        <w:t>10.7 Roof and Weatherproofing</w:t>
      </w:r>
    </w:p>
    <w:p>
      <w:r>
        <w:t>Scaffolding will be erected by a competent specialist to a suitable design, with double guardrails, toe boards, safe access and loading bays as required. Roof trusses / rafters, underlay, battens, clay tiles, flashings and rainwater goods will be installed to the approved design. Materials will be distributed to avoid overloading. Fragile or incomplete roof areas will be treated as fall risks; crawling boards, collective protection or personal fall protection will be used where required by task RAMS.</w:t>
      </w:r>
    </w:p>
    <w:p>
      <w:pPr>
        <w:pStyle w:val="Heading1"/>
        <w:keepNext/>
      </w:pPr>
      <w:r>
        <w:t>11. Temporary Works and Excavation Controls</w:t>
      </w:r>
    </w:p>
    <w:p>
      <w:r>
        <w:t>The Site Manager will act as Temporary Works Coordinator for straightforward temporary works unless another competent person is formally appointed. Temporary works include excavation slopes, barriers, scaffold, lifting / outrigger mats, temporary oak-frame bracing and any propping to the existing building.</w:t>
      </w:r>
    </w:p>
    <w:p>
      <w:pPr>
        <w:pStyle w:val="ListBullet"/>
      </w:pPr>
      <w:r>
        <w:t>Each temporary work item identified, classified, designed / selected, checked, installed, inspected and formally released where appropriate.</w:t>
      </w:r>
    </w:p>
    <w:p>
      <w:pPr>
        <w:pStyle w:val="ListBullet"/>
      </w:pPr>
      <w:r>
        <w:t>Engineer's excavation restriction: 1:3 temporary slope near the canal, mini excavator or hand dig, minimum 3 m plant offset, no spoil or material storage adjacent to retaining wall.</w:t>
      </w:r>
    </w:p>
    <w:p>
      <w:pPr>
        <w:pStyle w:val="ListBullet"/>
      </w:pPr>
      <w:r>
        <w:t>No person to enter an unsupported excavation where collapse could cause injury. Where entry is necessary, safe access and appropriate support / battering will be provided.</w:t>
      </w:r>
    </w:p>
    <w:p>
      <w:pPr>
        <w:pStyle w:val="ListBullet"/>
      </w:pPr>
      <w:r>
        <w:t>Ladders secured and extending sufficiently above landing; no jumping across trenches.</w:t>
      </w:r>
    </w:p>
    <w:p>
      <w:pPr>
        <w:pStyle w:val="ListBullet"/>
      </w:pPr>
      <w:r>
        <w:t>Excavations covered or guarded when unattended and checked for water accumulation.</w:t>
      </w:r>
    </w:p>
    <w:p>
      <w:pPr>
        <w:pStyle w:val="ListBullet"/>
      </w:pPr>
      <w:r>
        <w:t>Any temporary support to the existing structure designed and installed before disturbing loadbearing elements.</w:t>
      </w:r>
    </w:p>
    <w:p>
      <w:pPr>
        <w:pStyle w:val="Heading1"/>
        <w:keepNext/>
      </w:pPr>
      <w:r>
        <w:t>12. Plant, Lifting and Materials Handling</w:t>
      </w:r>
    </w:p>
    <w:p>
      <w:pPr>
        <w:pStyle w:val="Heading2"/>
        <w:keepNext/>
      </w:pPr>
      <w:r>
        <w:t>12.1 Plant</w:t>
      </w:r>
    </w:p>
    <w:p>
      <w:pPr>
        <w:pStyle w:val="ListBullet"/>
      </w:pPr>
      <w:r>
        <w:t>Operated only by trained and authorised persons.</w:t>
      </w:r>
    </w:p>
    <w:p>
      <w:pPr>
        <w:pStyle w:val="ListBullet"/>
      </w:pPr>
      <w:r>
        <w:t>Daily pre-use checks and defect reporting.</w:t>
      </w:r>
    </w:p>
    <w:p>
      <w:pPr>
        <w:pStyle w:val="ListBullet"/>
      </w:pPr>
      <w:r>
        <w:t>Seat belts worn where fitted; no passengers unless designed seating is provided.</w:t>
      </w:r>
    </w:p>
    <w:p>
      <w:pPr>
        <w:pStyle w:val="ListBullet"/>
      </w:pPr>
      <w:r>
        <w:t>Banksman used for restricted visibility and reversing.</w:t>
      </w:r>
    </w:p>
    <w:p>
      <w:pPr>
        <w:pStyle w:val="ListBullet"/>
      </w:pPr>
      <w:r>
        <w:t>Keys removed and attachments lowered when unattended.</w:t>
      </w:r>
    </w:p>
    <w:p>
      <w:pPr>
        <w:pStyle w:val="ListBullet"/>
      </w:pPr>
      <w:r>
        <w:t>No idling beside occupied areas; noise and emissions minimised.</w:t>
      </w:r>
    </w:p>
    <w:p>
      <w:pPr>
        <w:pStyle w:val="ListBullet"/>
      </w:pPr>
      <w:r>
        <w:t>Plant parked outside canal protection and excavation zones.</w:t>
      </w:r>
    </w:p>
    <w:p>
      <w:pPr>
        <w:pStyle w:val="Heading2"/>
        <w:keepNext/>
      </w:pPr>
      <w:r>
        <w:t>12.2 Lifting Operations</w:t>
      </w:r>
    </w:p>
    <w:p>
      <w:r>
        <w:t>All lifting operations will be properly planned by a competent person, appropriately supervised and carried out safely. The plan will address load weights, radius, ground bearing capacity, proximity to canal, services, overhead obstructions, weather, communications, exclusion zones and emergency arrangements. Accessories will be certified, identifiable and inspected.</w:t>
      </w:r>
    </w:p>
    <w:p>
      <w:pPr>
        <w:pStyle w:val="Heading2"/>
        <w:keepNext/>
      </w:pPr>
      <w:r>
        <w:t>12.3 Manual Handling</w:t>
      </w:r>
    </w:p>
    <w:p>
      <w:pPr>
        <w:pStyle w:val="ListBullet"/>
      </w:pPr>
      <w:r>
        <w:t>Avoid by mechanical means and delivery close to point of use.</w:t>
      </w:r>
    </w:p>
    <w:p>
      <w:pPr>
        <w:pStyle w:val="ListBullet"/>
      </w:pPr>
      <w:r>
        <w:t>Assess weight, shape, route and team requirements.</w:t>
      </w:r>
    </w:p>
    <w:p>
      <w:pPr>
        <w:pStyle w:val="ListBullet"/>
      </w:pPr>
      <w:r>
        <w:t>Use tile hoists, trolleys, vacuum lifters or handling aids as appropriate.</w:t>
      </w:r>
    </w:p>
    <w:p>
      <w:pPr>
        <w:pStyle w:val="ListBullet"/>
      </w:pPr>
      <w:r>
        <w:t>Break loads down; rotate repetitive tasks; maintain clear routes.</w:t>
      </w:r>
    </w:p>
    <w:p>
      <w:pPr>
        <w:pStyle w:val="ListBullet"/>
      </w:pPr>
      <w:r>
        <w:t>Specific controls for oak members, plasterboard, sanitaryware, kitchen units and tiles.</w:t>
      </w:r>
    </w:p>
    <w:p>
      <w:pPr>
        <w:pStyle w:val="Heading1"/>
        <w:keepNext/>
      </w:pPr>
      <w:r>
        <w:t>13. Work at Height, Scaffolding and Roofing</w:t>
      </w:r>
    </w:p>
    <w:p>
      <w:r>
        <w:t>Work at height will be avoided where reasonably practicable, otherwise collective protection will be prioritised. Ladders will be restricted to short-duration, light work where a risk assessment confirms they are suitable.</w:t>
      </w:r>
    </w:p>
    <w:p>
      <w:pPr>
        <w:pStyle w:val="ListBullet"/>
      </w:pPr>
      <w:r>
        <w:t>Scaffold erected, altered and dismantled only by competent scaffolders.</w:t>
      </w:r>
    </w:p>
    <w:p>
      <w:pPr>
        <w:pStyle w:val="ListBullet"/>
      </w:pPr>
      <w:r>
        <w:t>Handover certificate before first use; inspection at least every 7 days and after alteration / severe weather / impact.</w:t>
      </w:r>
    </w:p>
    <w:p>
      <w:pPr>
        <w:pStyle w:val="ListBullet"/>
      </w:pPr>
      <w:r>
        <w:t>Loading class, loading bays and tie pattern communicated; no unauthorised sheeting or removal of ties.</w:t>
      </w:r>
    </w:p>
    <w:p>
      <w:pPr>
        <w:pStyle w:val="ListBullet"/>
      </w:pPr>
      <w:r>
        <w:t>Mobile towers assembled to manufacturer instructions and not moved with persons or loose materials on them.</w:t>
      </w:r>
    </w:p>
    <w:p>
      <w:pPr>
        <w:pStyle w:val="ListBullet"/>
      </w:pPr>
      <w:r>
        <w:t>Roof edge protection maintained throughout roof work.</w:t>
      </w:r>
    </w:p>
    <w:p>
      <w:pPr>
        <w:pStyle w:val="ListBullet"/>
      </w:pPr>
      <w:r>
        <w:t>Materials secured against wind; incomplete roofs made safe before leaving site.</w:t>
      </w:r>
    </w:p>
    <w:p>
      <w:pPr>
        <w:pStyle w:val="ListBullet"/>
      </w:pPr>
      <w:r>
        <w:t>Personal fall-arrest equipment only where collective measures are insufficient, with a rescue plan and suitable anchor points.</w:t>
      </w:r>
    </w:p>
    <w:p>
      <w:pPr>
        <w:pStyle w:val="Heading1"/>
        <w:keepNext/>
      </w:pPr>
      <w:r>
        <w:t>14. Refurbishment, Services and Internal Fit-Out</w:t>
      </w:r>
    </w:p>
    <w:p>
      <w:pPr>
        <w:pStyle w:val="Heading2"/>
        <w:keepNext/>
      </w:pPr>
      <w:r>
        <w:t>14.1 Existing Building</w:t>
      </w:r>
    </w:p>
    <w:p>
      <w:r>
        <w:t>Before refurbishment, the existing structure will be inspected for instability, hidden services, damp, biological contamination and suspect hazardous materials. Because the building may pre-date the current work, an asbestos refurbishment survey will be obtained where the age and previous construction make asbestos foreseeable. No intrusive work will begin in an unassessed area.</w:t>
      </w:r>
    </w:p>
    <w:p>
      <w:pPr>
        <w:pStyle w:val="Heading2"/>
        <w:keepNext/>
      </w:pPr>
      <w:r>
        <w:t>14.2 Electrical and Mechanical</w:t>
      </w:r>
    </w:p>
    <w:p>
      <w:pPr>
        <w:pStyle w:val="ListBullet"/>
      </w:pPr>
      <w:r>
        <w:t>Temporary electrical supplies installed and inspected; 110 V centre-tapped tools preferred where practicable.</w:t>
      </w:r>
    </w:p>
    <w:p>
      <w:pPr>
        <w:pStyle w:val="ListBullet"/>
      </w:pPr>
      <w:r>
        <w:t>RCD protection, PAT / formal equipment checks and cable management.</w:t>
      </w:r>
    </w:p>
    <w:p>
      <w:pPr>
        <w:pStyle w:val="ListBullet"/>
      </w:pPr>
      <w:r>
        <w:t>Isolation, lock-off and prove-dead procedure before work on existing circuits.</w:t>
      </w:r>
    </w:p>
    <w:p>
      <w:pPr>
        <w:pStyle w:val="ListBullet"/>
      </w:pPr>
      <w:r>
        <w:t>Gas, water and heating work by competent persons with pressure / tightness testing and certificates.</w:t>
      </w:r>
    </w:p>
    <w:p>
      <w:pPr>
        <w:pStyle w:val="ListBullet"/>
      </w:pPr>
      <w:r>
        <w:t>Hot works controlled by permit, removal of combustibles, extinguishers and post-work fire watch.</w:t>
      </w:r>
    </w:p>
    <w:p>
      <w:pPr>
        <w:pStyle w:val="ListBullet"/>
      </w:pPr>
      <w:r>
        <w:t>Commissioning records, test certificates and user information included in handover.</w:t>
      </w:r>
    </w:p>
    <w:p>
      <w:pPr>
        <w:pStyle w:val="Heading2"/>
        <w:keepNext/>
      </w:pPr>
      <w:r>
        <w:t>14.3 Finishes</w:t>
      </w:r>
    </w:p>
    <w:p>
      <w:pPr>
        <w:pStyle w:val="ListBullet"/>
      </w:pPr>
      <w:r>
        <w:t>Dust extraction at source for cutting and sanding; suitable RPE face-fit tested where required.</w:t>
      </w:r>
    </w:p>
    <w:p>
      <w:pPr>
        <w:pStyle w:val="ListBullet"/>
      </w:pPr>
      <w:r>
        <w:t>Wet trades managed to prevent slips and cement / plaster contact.</w:t>
      </w:r>
    </w:p>
    <w:p>
      <w:pPr>
        <w:pStyle w:val="ListBullet"/>
      </w:pPr>
      <w:r>
        <w:t>Paints, adhesives and sealants used in ventilated areas under COSHH assessments.</w:t>
      </w:r>
    </w:p>
    <w:p>
      <w:pPr>
        <w:pStyle w:val="ListBullet"/>
      </w:pPr>
      <w:r>
        <w:t>Kitchen and bathroom units secured and services isolated during connections.</w:t>
      </w:r>
    </w:p>
    <w:p>
      <w:pPr>
        <w:pStyle w:val="ListBullet"/>
      </w:pPr>
      <w:r>
        <w:t>Housekeeping maintained and waste removed progressively.</w:t>
      </w:r>
    </w:p>
    <w:p>
      <w:pPr>
        <w:pStyle w:val="Heading1"/>
        <w:keepNext/>
      </w:pPr>
      <w:r>
        <w:t>15. Occupational Health Controls</w:t>
      </w:r>
    </w:p>
    <w:p>
      <w:pPr>
        <w:pStyle w:val="Heading2"/>
        <w:keepNext/>
      </w:pPr>
      <w:r>
        <w:t>15.1 Dust and Silica</w:t>
      </w:r>
    </w:p>
    <w:p>
      <w:r>
        <w:t>Cutting concrete, masonry, tiles and boards will be eliminated or reduced through off-site cutting, pre-cut materials, lower-dust methods, on-tool extraction and wet suppression where appropriate. Dry sweeping and compressed-air cleaning are prohibited. Suitable RPE will be selected as a final layer of protection and face-fit tested to the wearer.</w:t>
      </w:r>
    </w:p>
    <w:p>
      <w:pPr>
        <w:pStyle w:val="Heading2"/>
        <w:keepNext/>
      </w:pPr>
      <w:r>
        <w:t>15.2 Noise and Vibration</w:t>
      </w:r>
    </w:p>
    <w:p>
      <w:pPr>
        <w:pStyle w:val="ListBullet"/>
      </w:pPr>
      <w:r>
        <w:t>Select quieter / low-vibration tools and maintain them.</w:t>
      </w:r>
    </w:p>
    <w:p>
      <w:pPr>
        <w:pStyle w:val="ListBullet"/>
      </w:pPr>
      <w:r>
        <w:t>Limit exposure duration and rotate tasks.</w:t>
      </w:r>
    </w:p>
    <w:p>
      <w:pPr>
        <w:pStyle w:val="ListBullet"/>
      </w:pPr>
      <w:r>
        <w:t>Hearing protection zones and suitable hearing protection where required.</w:t>
      </w:r>
    </w:p>
    <w:p>
      <w:pPr>
        <w:pStyle w:val="ListBullet"/>
      </w:pPr>
      <w:r>
        <w:t>Monitor trigger times for vibrating tools and act on HAVS symptoms.</w:t>
      </w:r>
    </w:p>
    <w:p>
      <w:pPr>
        <w:pStyle w:val="ListBullet"/>
      </w:pPr>
      <w:r>
        <w:t>Restrict noisy works to reasonable daytime hours and notify the client of exceptional activities.</w:t>
      </w:r>
    </w:p>
    <w:p>
      <w:pPr>
        <w:pStyle w:val="Heading2"/>
        <w:keepNext/>
      </w:pPr>
      <w:r>
        <w:t>15.3 Skin, Manual Work and Welfare</w:t>
      </w:r>
    </w:p>
    <w:p>
      <w:pPr>
        <w:pStyle w:val="ListBullet"/>
      </w:pPr>
      <w:r>
        <w:t>Waterproof gloves and protective clothing for wet cement, concrete, plaster and chemicals.</w:t>
      </w:r>
    </w:p>
    <w:p>
      <w:pPr>
        <w:pStyle w:val="ListBullet"/>
      </w:pPr>
      <w:r>
        <w:t>Skin washing and drying facilities; no solvent cleaning of skin.</w:t>
      </w:r>
    </w:p>
    <w:p>
      <w:pPr>
        <w:pStyle w:val="ListBullet"/>
      </w:pPr>
      <w:r>
        <w:t>Sun protection and drinking water during hot weather.</w:t>
      </w:r>
    </w:p>
    <w:p>
      <w:pPr>
        <w:pStyle w:val="ListBullet"/>
      </w:pPr>
      <w:r>
        <w:t>Warm dry rest area and changed work methods during cold / wet conditions.</w:t>
      </w:r>
    </w:p>
    <w:p>
      <w:pPr>
        <w:pStyle w:val="ListBullet"/>
      </w:pPr>
      <w:r>
        <w:t>Early reporting of dermatitis, breathing problems, hearing changes, musculoskeletal pain or hand-arm symptoms.</w:t>
      </w:r>
    </w:p>
    <w:p>
      <w:pPr>
        <w:pStyle w:val="Heading1"/>
        <w:keepNext/>
      </w:pPr>
      <w:r>
        <w:t>16. Fire, First Aid and Emergency Arrangements</w:t>
      </w:r>
    </w:p>
    <w:p>
      <w:pPr>
        <w:pStyle w:val="Heading2"/>
        <w:keepNext/>
      </w:pPr>
      <w:r>
        <w:t>16.1 General Emergency Plan</w:t>
      </w:r>
    </w:p>
    <w:p>
      <w:pPr>
        <w:pStyle w:val="ListBullet"/>
      </w:pPr>
      <w:r>
        <w:t>Site address and What3Words / precise access details displayed at the site board once confirmed.</w:t>
      </w:r>
    </w:p>
    <w:p>
      <w:pPr>
        <w:pStyle w:val="ListBullet"/>
      </w:pPr>
      <w:r>
        <w:t>At least one appointed first aider appropriate to workforce and risks; stocked first-aid kit and eye wash.</w:t>
      </w:r>
    </w:p>
    <w:p>
      <w:pPr>
        <w:pStyle w:val="ListBullet"/>
      </w:pPr>
      <w:r>
        <w:t>Mobile phone available and emergency access kept clear.</w:t>
      </w:r>
    </w:p>
    <w:p>
      <w:pPr>
        <w:pStyle w:val="ListBullet"/>
      </w:pPr>
      <w:r>
        <w:t>Assembly point identified in induction.</w:t>
      </w:r>
    </w:p>
    <w:p>
      <w:pPr>
        <w:pStyle w:val="ListBullet"/>
      </w:pPr>
      <w:r>
        <w:t>All persons accounted for using sign-in records.</w:t>
      </w:r>
    </w:p>
    <w:p>
      <w:pPr>
        <w:pStyle w:val="ListBullet"/>
      </w:pPr>
      <w:r>
        <w:t>Emergency services met at site entrance and directed by a nominated person.</w:t>
      </w:r>
    </w:p>
    <w:p>
      <w:pPr>
        <w:pStyle w:val="Heading2"/>
        <w:keepNext/>
      </w:pPr>
      <w:r>
        <w:t>16.2 Water Rescue</w:t>
      </w:r>
    </w:p>
    <w:p>
      <w:pPr>
        <w:pStyle w:val="ListNumber"/>
      </w:pPr>
      <w:r>
        <w:t>Raise the alarm and call 999 immediately where a person is in difficulty.</w:t>
      </w:r>
    </w:p>
    <w:p>
      <w:pPr>
        <w:pStyle w:val="ListNumber"/>
      </w:pPr>
      <w:r>
        <w:t>Do not enter the water unless specifically trained, equipped and the rescue plan requires it.</w:t>
      </w:r>
    </w:p>
    <w:p>
      <w:pPr>
        <w:pStyle w:val="ListNumber"/>
      </w:pPr>
      <w:r>
        <w:t>Use reach or throw rescue: life ring, throw line, pole or other buoyant aid from a stable protected position.</w:t>
      </w:r>
    </w:p>
    <w:p>
      <w:pPr>
        <w:pStyle w:val="ListNumber"/>
      </w:pPr>
      <w:r>
        <w:t>Keep visual contact, encourage the casualty to float and guide them to the nearest safe exit point.</w:t>
      </w:r>
    </w:p>
    <w:p>
      <w:pPr>
        <w:pStyle w:val="ListNumber"/>
      </w:pPr>
      <w:r>
        <w:t>After recovery, provide first aid, remove wet clothing, prevent heat loss and obtain medical assessment due to cold-water shock / aspiration risks.</w:t>
      </w:r>
    </w:p>
    <w:p>
      <w:pPr>
        <w:pStyle w:val="ListNumber"/>
      </w:pPr>
      <w:r>
        <w:t>Preserve the scene and report / investigate the incident.</w:t>
      </w:r>
    </w:p>
    <w:p>
      <w:pPr>
        <w:pStyle w:val="Heading2"/>
        <w:keepNext/>
      </w:pPr>
      <w:r>
        <w:t>16.3 Fire</w:t>
      </w:r>
    </w:p>
    <w:p>
      <w:pPr>
        <w:pStyle w:val="ListBullet"/>
      </w:pPr>
      <w:r>
        <w:t>No smoking except in designated area away from combustibles.</w:t>
      </w:r>
    </w:p>
    <w:p>
      <w:pPr>
        <w:pStyle w:val="ListBullet"/>
      </w:pPr>
      <w:r>
        <w:t>Flammable products stored in minimum quantities and suitable cabinets.</w:t>
      </w:r>
    </w:p>
    <w:p>
      <w:pPr>
        <w:pStyle w:val="ListBullet"/>
      </w:pPr>
      <w:r>
        <w:t>Hot-work permit with gas cylinders secured upright, flashback arrestors where applicable and minimum fire watch.</w:t>
      </w:r>
    </w:p>
    <w:p>
      <w:pPr>
        <w:pStyle w:val="ListBullet"/>
      </w:pPr>
      <w:r>
        <w:t>Appropriate extinguishers at welfare, hot works and temporary electrical locations.</w:t>
      </w:r>
    </w:p>
    <w:p>
      <w:pPr>
        <w:pStyle w:val="ListBullet"/>
      </w:pPr>
      <w:r>
        <w:t>Escape routes maintained and temporary alarms / warning method briefed.</w:t>
      </w:r>
    </w:p>
    <w:p>
      <w:pPr>
        <w:pStyle w:val="ListBullet"/>
      </w:pPr>
      <w:r>
        <w:t>On discovering fire: raise alarm, call 999, evacuate, assemble and do not re-enter.</w:t>
      </w:r>
    </w:p>
    <w:p>
      <w:pPr>
        <w:pStyle w:val="Heading2"/>
        <w:keepNext/>
      </w:pPr>
      <w:r>
        <w:t>16.4 Pollution Emergency Contacts</w:t>
      </w:r>
    </w:p>
    <w:p>
      <w:r>
        <w:t>Current telephone numbers for the Environment Agency incident hotline, the Canal &amp; River Trust / relevant canal owner, Wiltshire Council, utility emergency services, Building Control, Structural Engineer and client will be completed on the site board before works commence. Emergency contact details shall be verified rather than copied from an outdated document.</w:t>
      </w:r>
    </w:p>
    <w:p>
      <w:pPr>
        <w:pStyle w:val="Heading1"/>
        <w:keepNext/>
      </w:pPr>
      <w:r>
        <w:t>17. Quality Assurance, Inspections and Records</w:t>
      </w:r>
    </w:p>
    <w:p>
      <w:pPr>
        <w:pStyle w:val="ListBullet"/>
      </w:pPr>
      <w:r>
        <w:t>Approved drawing register and revision checks before each stage.</w:t>
      </w:r>
    </w:p>
    <w:p>
      <w:pPr>
        <w:pStyle w:val="ListBullet"/>
      </w:pPr>
      <w:r>
        <w:t>Photographic records before, during and after excavation and concrete placement.</w:t>
      </w:r>
    </w:p>
    <w:p>
      <w:pPr>
        <w:pStyle w:val="ListBullet"/>
      </w:pPr>
      <w:r>
        <w:t>Formation inspection records and concrete delivery tickets.</w:t>
      </w:r>
    </w:p>
    <w:p>
      <w:pPr>
        <w:pStyle w:val="ListBullet"/>
      </w:pPr>
      <w:r>
        <w:t>Dimensions, levels, dowel installation, DPC / DPM, insulation and service penetration checks.</w:t>
      </w:r>
    </w:p>
    <w:p>
      <w:pPr>
        <w:pStyle w:val="ListBullet"/>
      </w:pPr>
      <w:r>
        <w:t>Foundation / slab strength confirmation before frame erection.</w:t>
      </w:r>
    </w:p>
    <w:p>
      <w:pPr>
        <w:pStyle w:val="ListBullet"/>
      </w:pPr>
      <w:r>
        <w:t>Oak frame installation and temporary bracing sign-off by specialist contractor.</w:t>
      </w:r>
    </w:p>
    <w:p>
      <w:pPr>
        <w:pStyle w:val="ListBullet"/>
      </w:pPr>
      <w:r>
        <w:t>Scaffold handover and inspection records.</w:t>
      </w:r>
    </w:p>
    <w:p>
      <w:pPr>
        <w:pStyle w:val="ListBullet"/>
      </w:pPr>
      <w:r>
        <w:t>Electrical, plumbing, heating and commissioning certificates.</w:t>
      </w:r>
    </w:p>
    <w:p>
      <w:pPr>
        <w:pStyle w:val="ListBullet"/>
      </w:pPr>
      <w:r>
        <w:t>Waste transfer notes and hazardous waste consignment notes where applicable.</w:t>
      </w:r>
    </w:p>
    <w:p>
      <w:pPr>
        <w:pStyle w:val="ListBullet"/>
      </w:pPr>
      <w:r>
        <w:t>Daily / weekly environmental and safety inspections, toolbox talks and incident records.</w:t>
      </w:r>
    </w:p>
    <w:p>
      <w:pPr>
        <w:pStyle w:val="ListBullet"/>
      </w:pPr>
      <w:r>
        <w:t>As-built information and Health and Safety File information provided to the Principal Designer / client.</w:t>
      </w:r>
    </w:p>
    <w:p>
      <w:pPr>
        <w:pStyle w:val="Heading1"/>
        <w:keepNext/>
      </w:pPr>
      <w:r>
        <w:t>18. Waste Management and Site Completion</w:t>
      </w:r>
    </w:p>
    <w:p>
      <w:pPr>
        <w:pStyle w:val="Heading2"/>
        <w:keepNext/>
      </w:pPr>
      <w:r>
        <w:t>18.1 Waste Hierarchy</w:t>
      </w:r>
    </w:p>
    <w:p>
      <w:pPr>
        <w:pStyle w:val="ListBullet"/>
      </w:pPr>
      <w:r>
        <w:t>Order accurately and protect materials to prevent damage.</w:t>
      </w:r>
    </w:p>
    <w:p>
      <w:pPr>
        <w:pStyle w:val="ListBullet"/>
      </w:pPr>
      <w:r>
        <w:t>Reuse suitable clean excavation material only where specified and lawful.</w:t>
      </w:r>
    </w:p>
    <w:p>
      <w:pPr>
        <w:pStyle w:val="ListBullet"/>
      </w:pPr>
      <w:r>
        <w:t>Segregate timber, metal, plasterboard, inert material, packaging and general waste where space allows.</w:t>
      </w:r>
    </w:p>
    <w:p>
      <w:pPr>
        <w:pStyle w:val="ListBullet"/>
      </w:pPr>
      <w:r>
        <w:t>Use registered waste carriers and authorised facilities; retain transfer documentation.</w:t>
      </w:r>
    </w:p>
    <w:p>
      <w:pPr>
        <w:pStyle w:val="ListBullet"/>
      </w:pPr>
      <w:r>
        <w:t>Store plasterboard separately and keep hazardous / liquid wastes in labelled contained receptacles.</w:t>
      </w:r>
    </w:p>
    <w:p>
      <w:pPr>
        <w:pStyle w:val="ListBullet"/>
      </w:pPr>
      <w:r>
        <w:t>No burning, burying or discharge of waste on site.</w:t>
      </w:r>
    </w:p>
    <w:p>
      <w:pPr>
        <w:pStyle w:val="Heading2"/>
        <w:keepNext/>
      </w:pPr>
      <w:r>
        <w:t>18.2 Completion</w:t>
      </w:r>
    </w:p>
    <w:p>
      <w:pPr>
        <w:pStyle w:val="ListNumber"/>
      </w:pPr>
      <w:r>
        <w:t>Complete testing, snagging and statutory inspections.</w:t>
      </w:r>
    </w:p>
    <w:p>
      <w:pPr>
        <w:pStyle w:val="ListNumber"/>
      </w:pPr>
      <w:r>
        <w:t>Remove waste, surplus materials and temporary services.</w:t>
      </w:r>
    </w:p>
    <w:p>
      <w:pPr>
        <w:pStyle w:val="ListNumber"/>
      </w:pPr>
      <w:r>
        <w:t>Clean and reinstate working areas and access routes.</w:t>
      </w:r>
    </w:p>
    <w:p>
      <w:pPr>
        <w:pStyle w:val="ListNumber"/>
      </w:pPr>
      <w:r>
        <w:t>Inspect canal edge and retaining wall against pre-start condition photographs; report any concern.</w:t>
      </w:r>
    </w:p>
    <w:p>
      <w:pPr>
        <w:pStyle w:val="ListNumber"/>
      </w:pPr>
      <w:r>
        <w:t>Remove canal-side barriers only after external work and fall risks are complete.</w:t>
      </w:r>
    </w:p>
    <w:p>
      <w:pPr>
        <w:pStyle w:val="ListNumber"/>
      </w:pPr>
      <w:r>
        <w:t>Handover certificates, manuals, warranties and Health and Safety File information.</w:t>
      </w:r>
    </w:p>
    <w:p>
      <w:pPr>
        <w:pStyle w:val="ListNumber"/>
      </w:pPr>
      <w:r>
        <w:t>Close out environmental records and obtain client acceptance.</w:t>
      </w:r>
    </w:p>
    <w:p>
      <w:pPr>
        <w:pStyle w:val="Heading1"/>
        <w:keepNext/>
      </w:pPr>
      <w:r>
        <w:t>19. Risk Assessment Methodology</w:t>
      </w:r>
    </w:p>
    <w:p>
      <w:r>
        <w:t>Risk is assessed as Likelihood (L) x Severity (S). Scores are: 1-4 Low, 5-9 Medium, 10-16 High and 17-25 Very High. Work must not start with an uncontrolled High or Very High residual risk. The assessment assumes the stated controls are fully implemented and supervised.</w:t>
      </w:r>
    </w:p>
    <w:tbl>
      <w:tblPr>
        <w:tblStyle w:val="TableGrid"/>
        <w:tblW w:type="auto" w:w="0"/>
        <w:jc w:val="center"/>
        <w:tblLook w:firstColumn="1" w:firstRow="1" w:lastColumn="0" w:lastRow="0" w:noHBand="0" w:noVBand="1" w:val="04A0"/>
      </w:tblPr>
      <w:tblGrid>
        <w:gridCol w:w="1662"/>
        <w:gridCol w:w="1662"/>
        <w:gridCol w:w="1662"/>
        <w:gridCol w:w="1662"/>
        <w:gridCol w:w="1662"/>
        <w:gridCol w:w="1662"/>
      </w:tblGrid>
      <w:tr>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S x L</w:t>
            </w:r>
          </w:p>
        </w:tc>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L1</w:t>
            </w:r>
          </w:p>
        </w:tc>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L2</w:t>
            </w:r>
          </w:p>
        </w:tc>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L3</w:t>
            </w:r>
          </w:p>
        </w:tc>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L4</w:t>
            </w:r>
          </w:p>
        </w:tc>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L5</w:t>
            </w:r>
          </w:p>
        </w:tc>
      </w:tr>
      <w:tr>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S1</w:t>
            </w:r>
          </w:p>
        </w:tc>
        <w:tc>
          <w:tcPr>
            <w:tcW w:type="dxa" w:w="1662"/>
            <w:vAlign w:val="center"/>
            <w:tcMar>
              <w:top w:w="80" w:type="dxa"/>
              <w:start w:w="90" w:type="dxa"/>
              <w:bottom w:w="80" w:type="dxa"/>
              <w:end w:w="90" w:type="dxa"/>
            </w:tcMar>
            <w:shd w:fill="C6E0B4"/>
          </w:tcPr>
          <w:p>
            <w:pPr>
              <w:spacing w:after="0"/>
            </w:pPr>
            <w:r/>
            <w:r>
              <w:rPr>
                <w:rFonts w:ascii="Arial" w:hAnsi="Arial"/>
                <w:b/>
                <w:sz w:val="16"/>
              </w:rPr>
              <w:t>1</w:t>
            </w:r>
          </w:p>
        </w:tc>
        <w:tc>
          <w:tcPr>
            <w:tcW w:type="dxa" w:w="1662"/>
            <w:vAlign w:val="center"/>
            <w:tcMar>
              <w:top w:w="80" w:type="dxa"/>
              <w:start w:w="90" w:type="dxa"/>
              <w:bottom w:w="80" w:type="dxa"/>
              <w:end w:w="90" w:type="dxa"/>
            </w:tcMar>
            <w:shd w:fill="C6E0B4"/>
          </w:tcPr>
          <w:p>
            <w:pPr>
              <w:spacing w:after="0"/>
            </w:pPr>
            <w:r/>
            <w:r>
              <w:rPr>
                <w:rFonts w:ascii="Arial" w:hAnsi="Arial"/>
                <w:b/>
                <w:sz w:val="16"/>
              </w:rPr>
              <w:t>2</w:t>
            </w:r>
          </w:p>
        </w:tc>
        <w:tc>
          <w:tcPr>
            <w:tcW w:type="dxa" w:w="1662"/>
            <w:vAlign w:val="center"/>
            <w:tcMar>
              <w:top w:w="80" w:type="dxa"/>
              <w:start w:w="90" w:type="dxa"/>
              <w:bottom w:w="80" w:type="dxa"/>
              <w:end w:w="90" w:type="dxa"/>
            </w:tcMar>
            <w:shd w:fill="C6E0B4"/>
          </w:tcPr>
          <w:p>
            <w:pPr>
              <w:spacing w:after="0"/>
            </w:pPr>
            <w:r/>
            <w:r>
              <w:rPr>
                <w:rFonts w:ascii="Arial" w:hAnsi="Arial"/>
                <w:b/>
                <w:sz w:val="16"/>
              </w:rPr>
              <w:t>3</w:t>
            </w:r>
          </w:p>
        </w:tc>
        <w:tc>
          <w:tcPr>
            <w:tcW w:type="dxa" w:w="1662"/>
            <w:vAlign w:val="center"/>
            <w:tcMar>
              <w:top w:w="80" w:type="dxa"/>
              <w:start w:w="90" w:type="dxa"/>
              <w:bottom w:w="80" w:type="dxa"/>
              <w:end w:w="90" w:type="dxa"/>
            </w:tcMar>
            <w:shd w:fill="C6E0B4"/>
          </w:tcPr>
          <w:p>
            <w:pPr>
              <w:spacing w:after="0"/>
            </w:pPr>
            <w:r/>
            <w:r>
              <w:rPr>
                <w:rFonts w:ascii="Arial" w:hAnsi="Arial"/>
                <w:b/>
                <w:sz w:val="16"/>
              </w:rPr>
              <w:t>4</w:t>
            </w:r>
          </w:p>
        </w:tc>
        <w:tc>
          <w:tcPr>
            <w:tcW w:type="dxa" w:w="1662"/>
            <w:vAlign w:val="center"/>
            <w:tcMar>
              <w:top w:w="80" w:type="dxa"/>
              <w:start w:w="90" w:type="dxa"/>
              <w:bottom w:w="80" w:type="dxa"/>
              <w:end w:w="90" w:type="dxa"/>
            </w:tcMar>
            <w:shd w:fill="FFE699"/>
          </w:tcPr>
          <w:p>
            <w:pPr>
              <w:spacing w:after="0"/>
            </w:pPr>
            <w:r/>
            <w:r>
              <w:rPr>
                <w:rFonts w:ascii="Arial" w:hAnsi="Arial"/>
                <w:b/>
                <w:sz w:val="16"/>
              </w:rPr>
              <w:t>5</w:t>
            </w:r>
          </w:p>
        </w:tc>
      </w:tr>
      <w:tr>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S2</w:t>
            </w:r>
          </w:p>
        </w:tc>
        <w:tc>
          <w:tcPr>
            <w:tcW w:type="dxa" w:w="1662"/>
            <w:vAlign w:val="center"/>
            <w:tcMar>
              <w:top w:w="80" w:type="dxa"/>
              <w:start w:w="90" w:type="dxa"/>
              <w:bottom w:w="80" w:type="dxa"/>
              <w:end w:w="90" w:type="dxa"/>
            </w:tcMar>
            <w:shd w:fill="C6E0B4"/>
          </w:tcPr>
          <w:p>
            <w:pPr>
              <w:spacing w:after="0"/>
            </w:pPr>
            <w:r/>
            <w:r>
              <w:rPr>
                <w:rFonts w:ascii="Arial" w:hAnsi="Arial"/>
                <w:b/>
                <w:sz w:val="16"/>
              </w:rPr>
              <w:t>2</w:t>
            </w:r>
          </w:p>
        </w:tc>
        <w:tc>
          <w:tcPr>
            <w:tcW w:type="dxa" w:w="1662"/>
            <w:vAlign w:val="center"/>
            <w:tcMar>
              <w:top w:w="80" w:type="dxa"/>
              <w:start w:w="90" w:type="dxa"/>
              <w:bottom w:w="80" w:type="dxa"/>
              <w:end w:w="90" w:type="dxa"/>
            </w:tcMar>
            <w:shd w:fill="C6E0B4"/>
          </w:tcPr>
          <w:p>
            <w:pPr>
              <w:spacing w:after="0"/>
            </w:pPr>
            <w:r/>
            <w:r>
              <w:rPr>
                <w:rFonts w:ascii="Arial" w:hAnsi="Arial"/>
                <w:b/>
                <w:sz w:val="16"/>
              </w:rPr>
              <w:t>4</w:t>
            </w:r>
          </w:p>
        </w:tc>
        <w:tc>
          <w:tcPr>
            <w:tcW w:type="dxa" w:w="1662"/>
            <w:vAlign w:val="center"/>
            <w:tcMar>
              <w:top w:w="80" w:type="dxa"/>
              <w:start w:w="90" w:type="dxa"/>
              <w:bottom w:w="80" w:type="dxa"/>
              <w:end w:w="90" w:type="dxa"/>
            </w:tcMar>
            <w:shd w:fill="FFE699"/>
          </w:tcPr>
          <w:p>
            <w:pPr>
              <w:spacing w:after="0"/>
            </w:pPr>
            <w:r/>
            <w:r>
              <w:rPr>
                <w:rFonts w:ascii="Arial" w:hAnsi="Arial"/>
                <w:b/>
                <w:sz w:val="16"/>
              </w:rPr>
              <w:t>6</w:t>
            </w:r>
          </w:p>
        </w:tc>
        <w:tc>
          <w:tcPr>
            <w:tcW w:type="dxa" w:w="1662"/>
            <w:vAlign w:val="center"/>
            <w:tcMar>
              <w:top w:w="80" w:type="dxa"/>
              <w:start w:w="90" w:type="dxa"/>
              <w:bottom w:w="80" w:type="dxa"/>
              <w:end w:w="90" w:type="dxa"/>
            </w:tcMar>
            <w:shd w:fill="FFE699"/>
          </w:tcPr>
          <w:p>
            <w:pPr>
              <w:spacing w:after="0"/>
            </w:pPr>
            <w:r/>
            <w:r>
              <w:rPr>
                <w:rFonts w:ascii="Arial" w:hAnsi="Arial"/>
                <w:b/>
                <w:sz w:val="16"/>
              </w:rPr>
              <w:t>8</w:t>
            </w:r>
          </w:p>
        </w:tc>
        <w:tc>
          <w:tcPr>
            <w:tcW w:type="dxa" w:w="1662"/>
            <w:vAlign w:val="center"/>
            <w:tcMar>
              <w:top w:w="80" w:type="dxa"/>
              <w:start w:w="90" w:type="dxa"/>
              <w:bottom w:w="80" w:type="dxa"/>
              <w:end w:w="90" w:type="dxa"/>
            </w:tcMar>
            <w:shd w:fill="F4B183"/>
          </w:tcPr>
          <w:p>
            <w:pPr>
              <w:spacing w:after="0"/>
            </w:pPr>
            <w:r/>
            <w:r>
              <w:rPr>
                <w:rFonts w:ascii="Arial" w:hAnsi="Arial"/>
                <w:b/>
                <w:sz w:val="16"/>
              </w:rPr>
              <w:t>10</w:t>
            </w:r>
          </w:p>
        </w:tc>
      </w:tr>
      <w:tr>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S3</w:t>
            </w:r>
          </w:p>
        </w:tc>
        <w:tc>
          <w:tcPr>
            <w:tcW w:type="dxa" w:w="1662"/>
            <w:vAlign w:val="center"/>
            <w:tcMar>
              <w:top w:w="80" w:type="dxa"/>
              <w:start w:w="90" w:type="dxa"/>
              <w:bottom w:w="80" w:type="dxa"/>
              <w:end w:w="90" w:type="dxa"/>
            </w:tcMar>
            <w:shd w:fill="C6E0B4"/>
          </w:tcPr>
          <w:p>
            <w:pPr>
              <w:spacing w:after="0"/>
            </w:pPr>
            <w:r/>
            <w:r>
              <w:rPr>
                <w:rFonts w:ascii="Arial" w:hAnsi="Arial"/>
                <w:b/>
                <w:sz w:val="16"/>
              </w:rPr>
              <w:t>3</w:t>
            </w:r>
          </w:p>
        </w:tc>
        <w:tc>
          <w:tcPr>
            <w:tcW w:type="dxa" w:w="1662"/>
            <w:vAlign w:val="center"/>
            <w:tcMar>
              <w:top w:w="80" w:type="dxa"/>
              <w:start w:w="90" w:type="dxa"/>
              <w:bottom w:w="80" w:type="dxa"/>
              <w:end w:w="90" w:type="dxa"/>
            </w:tcMar>
            <w:shd w:fill="FFE699"/>
          </w:tcPr>
          <w:p>
            <w:pPr>
              <w:spacing w:after="0"/>
            </w:pPr>
            <w:r/>
            <w:r>
              <w:rPr>
                <w:rFonts w:ascii="Arial" w:hAnsi="Arial"/>
                <w:b/>
                <w:sz w:val="16"/>
              </w:rPr>
              <w:t>6</w:t>
            </w:r>
          </w:p>
        </w:tc>
        <w:tc>
          <w:tcPr>
            <w:tcW w:type="dxa" w:w="1662"/>
            <w:vAlign w:val="center"/>
            <w:tcMar>
              <w:top w:w="80" w:type="dxa"/>
              <w:start w:w="90" w:type="dxa"/>
              <w:bottom w:w="80" w:type="dxa"/>
              <w:end w:w="90" w:type="dxa"/>
            </w:tcMar>
            <w:shd w:fill="FFE699"/>
          </w:tcPr>
          <w:p>
            <w:pPr>
              <w:spacing w:after="0"/>
            </w:pPr>
            <w:r/>
            <w:r>
              <w:rPr>
                <w:rFonts w:ascii="Arial" w:hAnsi="Arial"/>
                <w:b/>
                <w:sz w:val="16"/>
              </w:rPr>
              <w:t>9</w:t>
            </w:r>
          </w:p>
        </w:tc>
        <w:tc>
          <w:tcPr>
            <w:tcW w:type="dxa" w:w="1662"/>
            <w:vAlign w:val="center"/>
            <w:tcMar>
              <w:top w:w="80" w:type="dxa"/>
              <w:start w:w="90" w:type="dxa"/>
              <w:bottom w:w="80" w:type="dxa"/>
              <w:end w:w="90" w:type="dxa"/>
            </w:tcMar>
            <w:shd w:fill="F4B183"/>
          </w:tcPr>
          <w:p>
            <w:pPr>
              <w:spacing w:after="0"/>
            </w:pPr>
            <w:r/>
            <w:r>
              <w:rPr>
                <w:rFonts w:ascii="Arial" w:hAnsi="Arial"/>
                <w:b/>
                <w:sz w:val="16"/>
              </w:rPr>
              <w:t>12</w:t>
            </w:r>
          </w:p>
        </w:tc>
        <w:tc>
          <w:tcPr>
            <w:tcW w:type="dxa" w:w="1662"/>
            <w:vAlign w:val="center"/>
            <w:tcMar>
              <w:top w:w="80" w:type="dxa"/>
              <w:start w:w="90" w:type="dxa"/>
              <w:bottom w:w="80" w:type="dxa"/>
              <w:end w:w="90" w:type="dxa"/>
            </w:tcMar>
            <w:shd w:fill="F4B183"/>
          </w:tcPr>
          <w:p>
            <w:pPr>
              <w:spacing w:after="0"/>
            </w:pPr>
            <w:r/>
            <w:r>
              <w:rPr>
                <w:rFonts w:ascii="Arial" w:hAnsi="Arial"/>
                <w:b/>
                <w:sz w:val="16"/>
              </w:rPr>
              <w:t>15</w:t>
            </w:r>
          </w:p>
        </w:tc>
      </w:tr>
      <w:tr>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S4</w:t>
            </w:r>
          </w:p>
        </w:tc>
        <w:tc>
          <w:tcPr>
            <w:tcW w:type="dxa" w:w="1662"/>
            <w:vAlign w:val="center"/>
            <w:tcMar>
              <w:top w:w="80" w:type="dxa"/>
              <w:start w:w="90" w:type="dxa"/>
              <w:bottom w:w="80" w:type="dxa"/>
              <w:end w:w="90" w:type="dxa"/>
            </w:tcMar>
            <w:shd w:fill="C6E0B4"/>
          </w:tcPr>
          <w:p>
            <w:pPr>
              <w:spacing w:after="0"/>
            </w:pPr>
            <w:r/>
            <w:r>
              <w:rPr>
                <w:rFonts w:ascii="Arial" w:hAnsi="Arial"/>
                <w:b/>
                <w:sz w:val="16"/>
              </w:rPr>
              <w:t>4</w:t>
            </w:r>
          </w:p>
        </w:tc>
        <w:tc>
          <w:tcPr>
            <w:tcW w:type="dxa" w:w="1662"/>
            <w:vAlign w:val="center"/>
            <w:tcMar>
              <w:top w:w="80" w:type="dxa"/>
              <w:start w:w="90" w:type="dxa"/>
              <w:bottom w:w="80" w:type="dxa"/>
              <w:end w:w="90" w:type="dxa"/>
            </w:tcMar>
            <w:shd w:fill="FFE699"/>
          </w:tcPr>
          <w:p>
            <w:pPr>
              <w:spacing w:after="0"/>
            </w:pPr>
            <w:r/>
            <w:r>
              <w:rPr>
                <w:rFonts w:ascii="Arial" w:hAnsi="Arial"/>
                <w:b/>
                <w:sz w:val="16"/>
              </w:rPr>
              <w:t>8</w:t>
            </w:r>
          </w:p>
        </w:tc>
        <w:tc>
          <w:tcPr>
            <w:tcW w:type="dxa" w:w="1662"/>
            <w:vAlign w:val="center"/>
            <w:tcMar>
              <w:top w:w="80" w:type="dxa"/>
              <w:start w:w="90" w:type="dxa"/>
              <w:bottom w:w="80" w:type="dxa"/>
              <w:end w:w="90" w:type="dxa"/>
            </w:tcMar>
            <w:shd w:fill="F4B183"/>
          </w:tcPr>
          <w:p>
            <w:pPr>
              <w:spacing w:after="0"/>
            </w:pPr>
            <w:r/>
            <w:r>
              <w:rPr>
                <w:rFonts w:ascii="Arial" w:hAnsi="Arial"/>
                <w:b/>
                <w:sz w:val="16"/>
              </w:rPr>
              <w:t>12</w:t>
            </w:r>
          </w:p>
        </w:tc>
        <w:tc>
          <w:tcPr>
            <w:tcW w:type="dxa" w:w="1662"/>
            <w:vAlign w:val="center"/>
            <w:tcMar>
              <w:top w:w="80" w:type="dxa"/>
              <w:start w:w="90" w:type="dxa"/>
              <w:bottom w:w="80" w:type="dxa"/>
              <w:end w:w="90" w:type="dxa"/>
            </w:tcMar>
            <w:shd w:fill="F4B183"/>
          </w:tcPr>
          <w:p>
            <w:pPr>
              <w:spacing w:after="0"/>
            </w:pPr>
            <w:r/>
            <w:r>
              <w:rPr>
                <w:rFonts w:ascii="Arial" w:hAnsi="Arial"/>
                <w:b/>
                <w:sz w:val="16"/>
              </w:rPr>
              <w:t>16</w:t>
            </w:r>
          </w:p>
        </w:tc>
        <w:tc>
          <w:tcPr>
            <w:tcW w:type="dxa" w:w="1662"/>
            <w:vAlign w:val="center"/>
            <w:tcMar>
              <w:top w:w="80" w:type="dxa"/>
              <w:start w:w="90" w:type="dxa"/>
              <w:bottom w:w="80" w:type="dxa"/>
              <w:end w:w="90" w:type="dxa"/>
            </w:tcMar>
            <w:shd w:fill="FF6666"/>
          </w:tcPr>
          <w:p>
            <w:pPr>
              <w:spacing w:after="0"/>
            </w:pPr>
            <w:r/>
            <w:r>
              <w:rPr>
                <w:rFonts w:ascii="Arial" w:hAnsi="Arial"/>
                <w:b/>
                <w:sz w:val="16"/>
              </w:rPr>
              <w:t>20</w:t>
            </w:r>
          </w:p>
        </w:tc>
      </w:tr>
      <w:tr>
        <w:tc>
          <w:tcPr>
            <w:tcW w:type="dxa" w:w="1662"/>
            <w:vAlign w:val="center"/>
            <w:tcMar>
              <w:top w:w="80" w:type="dxa"/>
              <w:start w:w="90" w:type="dxa"/>
              <w:bottom w:w="80" w:type="dxa"/>
              <w:end w:w="90" w:type="dxa"/>
            </w:tcMar>
            <w:shd w:fill="17365D"/>
          </w:tcPr>
          <w:p>
            <w:pPr>
              <w:spacing w:after="0"/>
            </w:pPr>
            <w:r/>
            <w:r>
              <w:rPr>
                <w:rFonts w:ascii="Arial" w:hAnsi="Arial"/>
                <w:b/>
                <w:color w:val="FFFFFF"/>
                <w:sz w:val="16"/>
              </w:rPr>
              <w:t>S5</w:t>
            </w:r>
          </w:p>
        </w:tc>
        <w:tc>
          <w:tcPr>
            <w:tcW w:type="dxa" w:w="1662"/>
            <w:vAlign w:val="center"/>
            <w:tcMar>
              <w:top w:w="80" w:type="dxa"/>
              <w:start w:w="90" w:type="dxa"/>
              <w:bottom w:w="80" w:type="dxa"/>
              <w:end w:w="90" w:type="dxa"/>
            </w:tcMar>
            <w:shd w:fill="FFE699"/>
          </w:tcPr>
          <w:p>
            <w:pPr>
              <w:spacing w:after="0"/>
            </w:pPr>
            <w:r/>
            <w:r>
              <w:rPr>
                <w:rFonts w:ascii="Arial" w:hAnsi="Arial"/>
                <w:b/>
                <w:sz w:val="16"/>
              </w:rPr>
              <w:t>5</w:t>
            </w:r>
          </w:p>
        </w:tc>
        <w:tc>
          <w:tcPr>
            <w:tcW w:type="dxa" w:w="1662"/>
            <w:vAlign w:val="center"/>
            <w:tcMar>
              <w:top w:w="80" w:type="dxa"/>
              <w:start w:w="90" w:type="dxa"/>
              <w:bottom w:w="80" w:type="dxa"/>
              <w:end w:w="90" w:type="dxa"/>
            </w:tcMar>
            <w:shd w:fill="F4B183"/>
          </w:tcPr>
          <w:p>
            <w:pPr>
              <w:spacing w:after="0"/>
            </w:pPr>
            <w:r/>
            <w:r>
              <w:rPr>
                <w:rFonts w:ascii="Arial" w:hAnsi="Arial"/>
                <w:b/>
                <w:sz w:val="16"/>
              </w:rPr>
              <w:t>10</w:t>
            </w:r>
          </w:p>
        </w:tc>
        <w:tc>
          <w:tcPr>
            <w:tcW w:type="dxa" w:w="1662"/>
            <w:vAlign w:val="center"/>
            <w:tcMar>
              <w:top w:w="80" w:type="dxa"/>
              <w:start w:w="90" w:type="dxa"/>
              <w:bottom w:w="80" w:type="dxa"/>
              <w:end w:w="90" w:type="dxa"/>
            </w:tcMar>
            <w:shd w:fill="F4B183"/>
          </w:tcPr>
          <w:p>
            <w:pPr>
              <w:spacing w:after="0"/>
            </w:pPr>
            <w:r/>
            <w:r>
              <w:rPr>
                <w:rFonts w:ascii="Arial" w:hAnsi="Arial"/>
                <w:b/>
                <w:sz w:val="16"/>
              </w:rPr>
              <w:t>15</w:t>
            </w:r>
          </w:p>
        </w:tc>
        <w:tc>
          <w:tcPr>
            <w:tcW w:type="dxa" w:w="1662"/>
            <w:vAlign w:val="center"/>
            <w:tcMar>
              <w:top w:w="80" w:type="dxa"/>
              <w:start w:w="90" w:type="dxa"/>
              <w:bottom w:w="80" w:type="dxa"/>
              <w:end w:w="90" w:type="dxa"/>
            </w:tcMar>
            <w:shd w:fill="FF6666"/>
          </w:tcPr>
          <w:p>
            <w:pPr>
              <w:spacing w:after="0"/>
            </w:pPr>
            <w:r/>
            <w:r>
              <w:rPr>
                <w:rFonts w:ascii="Arial" w:hAnsi="Arial"/>
                <w:b/>
                <w:sz w:val="16"/>
              </w:rPr>
              <w:t>20</w:t>
            </w:r>
          </w:p>
        </w:tc>
        <w:tc>
          <w:tcPr>
            <w:tcW w:type="dxa" w:w="1662"/>
            <w:vAlign w:val="center"/>
            <w:tcMar>
              <w:top w:w="80" w:type="dxa"/>
              <w:start w:w="90" w:type="dxa"/>
              <w:bottom w:w="80" w:type="dxa"/>
              <w:end w:w="90" w:type="dxa"/>
            </w:tcMar>
            <w:shd w:fill="FF6666"/>
          </w:tcPr>
          <w:p>
            <w:pPr>
              <w:spacing w:after="0"/>
            </w:pPr>
            <w:r/>
            <w:r>
              <w:rPr>
                <w:rFonts w:ascii="Arial" w:hAnsi="Arial"/>
                <w:b/>
                <w:sz w:val="16"/>
              </w:rPr>
              <w:t>25</w:t>
            </w:r>
          </w:p>
        </w:tc>
      </w:tr>
    </w:tbl>
    <w:p>
      <w:pPr>
        <w:pStyle w:val="Heading1"/>
        <w:keepNext/>
      </w:pPr>
      <w:r>
        <w:t>20. Project Risk Register</w:t>
      </w:r>
    </w:p>
    <w:tbl>
      <w:tblPr>
        <w:tblStyle w:val="TableGrid"/>
        <w:tblW w:type="auto" w:w="0"/>
        <w:jc w:val="center"/>
        <w:tblLook w:firstColumn="1" w:firstRow="1" w:lastColumn="0" w:lastRow="0" w:noHBand="0" w:noVBand="1" w:val="04A0"/>
      </w:tblPr>
      <w:tblGrid>
        <w:gridCol w:w="1994"/>
        <w:gridCol w:w="1994"/>
        <w:gridCol w:w="1994"/>
        <w:gridCol w:w="1994"/>
        <w:gridCol w:w="1994"/>
      </w:tblGrid>
      <w:tr>
        <w:trPr>
          <w:tblHeader w:val="true"/>
        </w:trPr>
        <w:tc>
          <w:tcPr>
            <w:tcW w:type="dxa" w:w="1994"/>
            <w:vAlign w:val="center"/>
            <w:tcMar>
              <w:top w:w="80" w:type="dxa"/>
              <w:start w:w="90" w:type="dxa"/>
              <w:bottom w:w="80" w:type="dxa"/>
              <w:end w:w="90" w:type="dxa"/>
            </w:tcMar>
            <w:shd w:fill="17365D"/>
          </w:tcPr>
          <w:p>
            <w:pPr>
              <w:spacing w:after="0"/>
            </w:pPr>
            <w:r/>
            <w:r>
              <w:rPr>
                <w:rFonts w:ascii="Arial" w:hAnsi="Arial"/>
                <w:b/>
                <w:color w:val="FFFFFF"/>
                <w:sz w:val="15"/>
              </w:rPr>
              <w:t>Hazard</w:t>
            </w:r>
          </w:p>
        </w:tc>
        <w:tc>
          <w:tcPr>
            <w:tcW w:type="dxa" w:w="1994"/>
            <w:vAlign w:val="center"/>
            <w:tcMar>
              <w:top w:w="80" w:type="dxa"/>
              <w:start w:w="90" w:type="dxa"/>
              <w:bottom w:w="80" w:type="dxa"/>
              <w:end w:w="90" w:type="dxa"/>
            </w:tcMar>
            <w:shd w:fill="17365D"/>
          </w:tcPr>
          <w:p>
            <w:pPr>
              <w:spacing w:after="0"/>
            </w:pPr>
            <w:r/>
            <w:r>
              <w:rPr>
                <w:rFonts w:ascii="Arial" w:hAnsi="Arial"/>
                <w:b/>
                <w:color w:val="FFFFFF"/>
                <w:sz w:val="15"/>
              </w:rPr>
              <w:t>Persons at risk</w:t>
            </w:r>
          </w:p>
        </w:tc>
        <w:tc>
          <w:tcPr>
            <w:tcW w:type="dxa" w:w="1994"/>
            <w:vAlign w:val="center"/>
            <w:tcMar>
              <w:top w:w="80" w:type="dxa"/>
              <w:start w:w="90" w:type="dxa"/>
              <w:bottom w:w="80" w:type="dxa"/>
              <w:end w:w="90" w:type="dxa"/>
            </w:tcMar>
            <w:shd w:fill="17365D"/>
          </w:tcPr>
          <w:p>
            <w:pPr>
              <w:spacing w:after="0"/>
            </w:pPr>
            <w:r/>
            <w:r>
              <w:rPr>
                <w:rFonts w:ascii="Arial" w:hAnsi="Arial"/>
                <w:b/>
                <w:color w:val="FFFFFF"/>
                <w:sz w:val="15"/>
              </w:rPr>
              <w:t>Initial risk</w:t>
            </w:r>
          </w:p>
        </w:tc>
        <w:tc>
          <w:tcPr>
            <w:tcW w:type="dxa" w:w="1994"/>
            <w:vAlign w:val="center"/>
            <w:tcMar>
              <w:top w:w="80" w:type="dxa"/>
              <w:start w:w="90" w:type="dxa"/>
              <w:bottom w:w="80" w:type="dxa"/>
              <w:end w:w="90" w:type="dxa"/>
            </w:tcMar>
            <w:shd w:fill="17365D"/>
          </w:tcPr>
          <w:p>
            <w:pPr>
              <w:spacing w:after="0"/>
            </w:pPr>
            <w:r/>
            <w:r>
              <w:rPr>
                <w:rFonts w:ascii="Arial" w:hAnsi="Arial"/>
                <w:b/>
                <w:color w:val="FFFFFF"/>
                <w:sz w:val="15"/>
              </w:rPr>
              <w:t>Principal controls</w:t>
            </w:r>
          </w:p>
        </w:tc>
        <w:tc>
          <w:tcPr>
            <w:tcW w:type="dxa" w:w="1994"/>
            <w:vAlign w:val="center"/>
            <w:tcMar>
              <w:top w:w="80" w:type="dxa"/>
              <w:start w:w="90" w:type="dxa"/>
              <w:bottom w:w="80" w:type="dxa"/>
              <w:end w:w="90" w:type="dxa"/>
            </w:tcMar>
            <w:shd w:fill="17365D"/>
          </w:tcPr>
          <w:p>
            <w:pPr>
              <w:spacing w:after="0"/>
            </w:pPr>
            <w:r/>
            <w:r>
              <w:rPr>
                <w:rFonts w:ascii="Arial" w:hAnsi="Arial"/>
                <w:b/>
                <w:color w:val="FFFFFF"/>
                <w:sz w:val="15"/>
              </w:rPr>
              <w:t>Residual risk</w:t>
            </w:r>
          </w:p>
        </w:tc>
      </w:tr>
      <w:tr>
        <w:tc>
          <w:tcPr>
            <w:tcW w:type="dxa" w:w="1994"/>
            <w:vAlign w:val="center"/>
            <w:tcMar>
              <w:top w:w="80" w:type="dxa"/>
              <w:start w:w="90" w:type="dxa"/>
              <w:bottom w:w="80" w:type="dxa"/>
              <w:end w:w="90" w:type="dxa"/>
            </w:tcMar>
          </w:tcPr>
          <w:p>
            <w:pPr>
              <w:spacing w:after="0"/>
            </w:pPr>
            <w:r/>
            <w:r>
              <w:rPr>
                <w:rFonts w:ascii="Arial" w:hAnsi="Arial"/>
                <w:b w:val="0"/>
                <w:sz w:val="14"/>
              </w:rPr>
              <w:t>Fall into canal / drowning</w:t>
            </w:r>
          </w:p>
        </w:tc>
        <w:tc>
          <w:tcPr>
            <w:tcW w:type="dxa" w:w="1994"/>
            <w:vAlign w:val="center"/>
            <w:tcMar>
              <w:top w:w="80" w:type="dxa"/>
              <w:start w:w="90" w:type="dxa"/>
              <w:bottom w:w="80" w:type="dxa"/>
              <w:end w:w="90" w:type="dxa"/>
            </w:tcMar>
          </w:tcPr>
          <w:p>
            <w:pPr>
              <w:spacing w:after="0"/>
            </w:pPr>
            <w:r/>
            <w:r>
              <w:rPr>
                <w:rFonts w:ascii="Arial" w:hAnsi="Arial"/>
                <w:b w:val="0"/>
                <w:sz w:val="14"/>
              </w:rPr>
              <w:t>Operatives, visitors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Robust edge protection; exclusion zone; restricted access; rescue station; no lone working; induction; lighting; daily inspection</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Canal bank / retaining wall instability</w:t>
            </w:r>
          </w:p>
        </w:tc>
        <w:tc>
          <w:tcPr>
            <w:tcW w:type="dxa" w:w="1994"/>
            <w:vAlign w:val="center"/>
            <w:tcMar>
              <w:top w:w="80" w:type="dxa"/>
              <w:start w:w="90" w:type="dxa"/>
              <w:bottom w:w="80" w:type="dxa"/>
              <w:end w:w="90" w:type="dxa"/>
            </w:tcMar>
          </w:tcPr>
          <w:p>
            <w:pPr>
              <w:spacing w:after="0"/>
            </w:pPr>
            <w:r/>
            <w:r>
              <w:rPr>
                <w:rFonts w:ascii="Arial" w:hAnsi="Arial"/>
                <w:b w:val="0"/>
                <w:sz w:val="14"/>
              </w:rPr>
              <w:t>Workforce, public, property</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Engineer design; 1:3 excavation profile; 3 m plant stand-off; no surcharge / stockpiles; short sections; inspections; stop-work triggers</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Pollution of canal by fuel or oil</w:t>
            </w:r>
          </w:p>
        </w:tc>
        <w:tc>
          <w:tcPr>
            <w:tcW w:type="dxa" w:w="1994"/>
            <w:vAlign w:val="center"/>
            <w:tcMar>
              <w:top w:w="80" w:type="dxa"/>
              <w:start w:w="90" w:type="dxa"/>
              <w:bottom w:w="80" w:type="dxa"/>
              <w:end w:w="90" w:type="dxa"/>
            </w:tcMar>
          </w:tcPr>
          <w:p>
            <w:pPr>
              <w:spacing w:after="0"/>
            </w:pPr>
            <w:r/>
            <w:r>
              <w:rPr>
                <w:rFonts w:ascii="Arial" w:hAnsi="Arial"/>
                <w:b w:val="0"/>
                <w:sz w:val="14"/>
              </w:rPr>
              <w:t>Environment, public</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Bunded locked storage; drip trays; supervised refuelling away from canal; leak checks; spill kits; response plan</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Wet concrete / cement washout entering canal</w:t>
            </w:r>
          </w:p>
        </w:tc>
        <w:tc>
          <w:tcPr>
            <w:tcW w:type="dxa" w:w="1994"/>
            <w:vAlign w:val="center"/>
            <w:tcMar>
              <w:top w:w="80" w:type="dxa"/>
              <w:start w:w="90" w:type="dxa"/>
              <w:bottom w:w="80" w:type="dxa"/>
              <w:end w:w="90" w:type="dxa"/>
            </w:tcMar>
          </w:tcPr>
          <w:p>
            <w:pPr>
              <w:spacing w:after="0"/>
            </w:pPr>
            <w:r/>
            <w:r>
              <w:rPr>
                <w:rFonts w:ascii="Arial" w:hAnsi="Arial"/>
                <w:b w:val="0"/>
                <w:sz w:val="14"/>
              </w:rPr>
              <w:t>Environment, 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Contained delivery; lined washout away from canal; no discharge; PPE; surplus managed as waste</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Silt-laden runoff / excavation water</w:t>
            </w:r>
          </w:p>
        </w:tc>
        <w:tc>
          <w:tcPr>
            <w:tcW w:type="dxa" w:w="1994"/>
            <w:vAlign w:val="center"/>
            <w:tcMar>
              <w:top w:w="80" w:type="dxa"/>
              <w:start w:w="90" w:type="dxa"/>
              <w:bottom w:w="80" w:type="dxa"/>
              <w:end w:w="90" w:type="dxa"/>
            </w:tcMar>
          </w:tcPr>
          <w:p>
            <w:pPr>
              <w:spacing w:after="0"/>
            </w:pPr>
            <w:r/>
            <w:r>
              <w:rPr>
                <w:rFonts w:ascii="Arial" w:hAnsi="Arial"/>
                <w:b w:val="0"/>
                <w:sz w:val="14"/>
              </w:rPr>
              <w:t>Environment</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4x3=12 H</w:t>
            </w:r>
          </w:p>
        </w:tc>
        <w:tc>
          <w:tcPr>
            <w:tcW w:type="dxa" w:w="1994"/>
            <w:vAlign w:val="center"/>
            <w:tcMar>
              <w:top w:w="80" w:type="dxa"/>
              <w:start w:w="90" w:type="dxa"/>
              <w:bottom w:w="80" w:type="dxa"/>
              <w:end w:w="90" w:type="dxa"/>
            </w:tcMar>
          </w:tcPr>
          <w:p>
            <w:pPr>
              <w:spacing w:after="0"/>
            </w:pPr>
            <w:r/>
            <w:r>
              <w:rPr>
                <w:rFonts w:ascii="Arial" w:hAnsi="Arial"/>
                <w:b w:val="0"/>
                <w:sz w:val="14"/>
              </w:rPr>
              <w:t>Weather planning; covers / cut-offs; stockpile sheeting; no direct pumping; settlement / removal; silt controls</w:t>
            </w:r>
          </w:p>
        </w:tc>
        <w:tc>
          <w:tcPr>
            <w:tcW w:type="dxa" w:w="1994"/>
            <w:vAlign w:val="center"/>
            <w:tcMar>
              <w:top w:w="80" w:type="dxa"/>
              <w:start w:w="90" w:type="dxa"/>
              <w:bottom w:w="80" w:type="dxa"/>
              <w:end w:w="90" w:type="dxa"/>
            </w:tcMar>
            <w:shd w:fill="C6E0B4"/>
          </w:tcPr>
          <w:p>
            <w:pPr>
              <w:spacing w:after="0"/>
            </w:pPr>
            <w:r/>
            <w:r>
              <w:rPr>
                <w:rFonts w:ascii="Arial" w:hAnsi="Arial"/>
                <w:b w:val="0"/>
                <w:sz w:val="14"/>
              </w:rPr>
              <w:t>4x1=4 L</w:t>
            </w:r>
          </w:p>
        </w:tc>
      </w:tr>
      <w:tr>
        <w:tc>
          <w:tcPr>
            <w:tcW w:type="dxa" w:w="1994"/>
            <w:vAlign w:val="center"/>
            <w:tcMar>
              <w:top w:w="80" w:type="dxa"/>
              <w:start w:w="90" w:type="dxa"/>
              <w:bottom w:w="80" w:type="dxa"/>
              <w:end w:w="90" w:type="dxa"/>
            </w:tcMar>
          </w:tcPr>
          <w:p>
            <w:pPr>
              <w:spacing w:after="0"/>
            </w:pPr>
            <w:r/>
            <w:r>
              <w:rPr>
                <w:rFonts w:ascii="Arial" w:hAnsi="Arial"/>
                <w:b w:val="0"/>
                <w:sz w:val="14"/>
              </w:rPr>
              <w:t>Underground services strike</w:t>
            </w:r>
          </w:p>
        </w:tc>
        <w:tc>
          <w:tcPr>
            <w:tcW w:type="dxa" w:w="1994"/>
            <w:vAlign w:val="center"/>
            <w:tcMar>
              <w:top w:w="80" w:type="dxa"/>
              <w:start w:w="90" w:type="dxa"/>
              <w:bottom w:w="80" w:type="dxa"/>
              <w:end w:w="90" w:type="dxa"/>
            </w:tcMar>
          </w:tcPr>
          <w:p>
            <w:pPr>
              <w:spacing w:after="0"/>
            </w:pPr>
            <w:r/>
            <w:r>
              <w:rPr>
                <w:rFonts w:ascii="Arial" w:hAnsi="Arial"/>
                <w:b w:val="0"/>
                <w:sz w:val="14"/>
              </w:rPr>
              <w:t>Workers, property</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Plans; CAT and signal generator; marking; trial holes; hand dig; permit / briefing; isolation where possible</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Excavation collapse / fall into trench</w:t>
            </w:r>
          </w:p>
        </w:tc>
        <w:tc>
          <w:tcPr>
            <w:tcW w:type="dxa" w:w="1994"/>
            <w:vAlign w:val="center"/>
            <w:tcMar>
              <w:top w:w="80" w:type="dxa"/>
              <w:start w:w="90" w:type="dxa"/>
              <w:bottom w:w="80" w:type="dxa"/>
              <w:end w:w="90" w:type="dxa"/>
            </w:tcMar>
          </w:tcPr>
          <w:p>
            <w:pPr>
              <w:spacing w:after="0"/>
            </w:pPr>
            <w:r/>
            <w:r>
              <w:rPr>
                <w:rFonts w:ascii="Arial" w:hAnsi="Arial"/>
                <w:b w:val="0"/>
                <w:sz w:val="14"/>
              </w:rPr>
              <w:t>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Short duration; 1:3 batter near canal; barrier; inspection; no unsupported entry; safe access; stop after rain / change</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Plant collision or overturning</w:t>
            </w:r>
          </w:p>
        </w:tc>
        <w:tc>
          <w:tcPr>
            <w:tcW w:type="dxa" w:w="1994"/>
            <w:vAlign w:val="center"/>
            <w:tcMar>
              <w:top w:w="80" w:type="dxa"/>
              <w:start w:w="90" w:type="dxa"/>
              <w:bottom w:w="80" w:type="dxa"/>
              <w:end w:w="90" w:type="dxa"/>
            </w:tcMar>
          </w:tcPr>
          <w:p>
            <w:pPr>
              <w:spacing w:after="0"/>
            </w:pPr>
            <w:r/>
            <w:r>
              <w:rPr>
                <w:rFonts w:ascii="Arial" w:hAnsi="Arial"/>
                <w:b w:val="0"/>
                <w:sz w:val="14"/>
              </w:rPr>
              <w:t>Workers, client</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Competent operator; banksman; segregation; stable routes; seat belt; no plant near edge; daily checks</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Reversing delivery vehicles</w:t>
            </w:r>
          </w:p>
        </w:tc>
        <w:tc>
          <w:tcPr>
            <w:tcW w:type="dxa" w:w="1994"/>
            <w:vAlign w:val="center"/>
            <w:tcMar>
              <w:top w:w="80" w:type="dxa"/>
              <w:start w:w="90" w:type="dxa"/>
              <w:bottom w:w="80" w:type="dxa"/>
              <w:end w:w="90" w:type="dxa"/>
            </w:tcMar>
          </w:tcPr>
          <w:p>
            <w:pPr>
              <w:spacing w:after="0"/>
            </w:pPr>
            <w:r/>
            <w:r>
              <w:rPr>
                <w:rFonts w:ascii="Arial" w:hAnsi="Arial"/>
                <w:b w:val="0"/>
                <w:sz w:val="14"/>
              </w:rPr>
              <w:t>Workers, public</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Booked deliveries; banksman; clear route; pedestrian exclusion; driver briefing; minimise reversing</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Crane / telehandler loading near canal</w:t>
            </w:r>
          </w:p>
        </w:tc>
        <w:tc>
          <w:tcPr>
            <w:tcW w:type="dxa" w:w="1994"/>
            <w:vAlign w:val="center"/>
            <w:tcMar>
              <w:top w:w="80" w:type="dxa"/>
              <w:start w:w="90" w:type="dxa"/>
              <w:bottom w:w="80" w:type="dxa"/>
              <w:end w:w="90" w:type="dxa"/>
            </w:tcMar>
          </w:tcPr>
          <w:p>
            <w:pPr>
              <w:spacing w:after="0"/>
            </w:pPr>
            <w:r/>
            <w:r>
              <w:rPr>
                <w:rFonts w:ascii="Arial" w:hAnsi="Arial"/>
                <w:b w:val="0"/>
                <w:sz w:val="14"/>
              </w:rPr>
              <w:t>Workers, structure</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Lift plan; ground assessment; engineer approval of position; mats; exclusion zone; competent personnel; wind limits</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Falling suspended oak-frame components</w:t>
            </w:r>
          </w:p>
        </w:tc>
        <w:tc>
          <w:tcPr>
            <w:tcW w:type="dxa" w:w="1994"/>
            <w:vAlign w:val="center"/>
            <w:tcMar>
              <w:top w:w="80" w:type="dxa"/>
              <w:start w:w="90" w:type="dxa"/>
              <w:bottom w:w="80" w:type="dxa"/>
              <w:end w:w="90" w:type="dxa"/>
            </w:tcMar>
          </w:tcPr>
          <w:p>
            <w:pPr>
              <w:spacing w:after="0"/>
            </w:pPr>
            <w:r/>
            <w:r>
              <w:rPr>
                <w:rFonts w:ascii="Arial" w:hAnsi="Arial"/>
                <w:b w:val="0"/>
                <w:sz w:val="14"/>
              </w:rPr>
              <w:t>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Planned lift; certified accessories; exclusion zone; tag lines; no work under load; competent slinger / signaller</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Oak frame temporary instability</w:t>
            </w:r>
          </w:p>
        </w:tc>
        <w:tc>
          <w:tcPr>
            <w:tcW w:type="dxa" w:w="1994"/>
            <w:vAlign w:val="center"/>
            <w:tcMar>
              <w:top w:w="80" w:type="dxa"/>
              <w:start w:w="90" w:type="dxa"/>
              <w:bottom w:w="80" w:type="dxa"/>
              <w:end w:w="90" w:type="dxa"/>
            </w:tcMar>
          </w:tcPr>
          <w:p>
            <w:pPr>
              <w:spacing w:after="0"/>
            </w:pPr>
            <w:r/>
            <w:r>
              <w:rPr>
                <w:rFonts w:ascii="Arial" w:hAnsi="Arial"/>
                <w:b w:val="0"/>
                <w:sz w:val="14"/>
              </w:rPr>
              <w:t>Workers, property</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Manufacturer sequence; progressive bracing; temporary works check; no removal until permanent stability achieved</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Fall from scaffold / roof</w:t>
            </w:r>
          </w:p>
        </w:tc>
        <w:tc>
          <w:tcPr>
            <w:tcW w:type="dxa" w:w="1994"/>
            <w:vAlign w:val="center"/>
            <w:tcMar>
              <w:top w:w="80" w:type="dxa"/>
              <w:start w:w="90" w:type="dxa"/>
              <w:bottom w:w="80" w:type="dxa"/>
              <w:end w:w="90" w:type="dxa"/>
            </w:tcMar>
          </w:tcPr>
          <w:p>
            <w:pPr>
              <w:spacing w:after="0"/>
            </w:pPr>
            <w:r/>
            <w:r>
              <w:rPr>
                <w:rFonts w:ascii="Arial" w:hAnsi="Arial"/>
                <w:b w:val="0"/>
                <w:sz w:val="14"/>
              </w:rPr>
              <w:t>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Designed scaffold; guardrails / toe boards; handover and inspections; safe access; roof edge protection; weather limits</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Falling materials from height</w:t>
            </w:r>
          </w:p>
        </w:tc>
        <w:tc>
          <w:tcPr>
            <w:tcW w:type="dxa" w:w="1994"/>
            <w:vAlign w:val="center"/>
            <w:tcMar>
              <w:top w:w="80" w:type="dxa"/>
              <w:start w:w="90" w:type="dxa"/>
              <w:bottom w:w="80" w:type="dxa"/>
              <w:end w:w="90" w:type="dxa"/>
            </w:tcMar>
          </w:tcPr>
          <w:p>
            <w:pPr>
              <w:spacing w:after="0"/>
            </w:pPr>
            <w:r/>
            <w:r>
              <w:rPr>
                <w:rFonts w:ascii="Arial" w:hAnsi="Arial"/>
                <w:b w:val="0"/>
                <w:sz w:val="14"/>
              </w:rPr>
              <w:t>Workers, client</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Toe boards; loading controls; exclusion below; debris containment; tool tethering where appropriate; hard hats</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Scaffold instability</w:t>
            </w:r>
          </w:p>
        </w:tc>
        <w:tc>
          <w:tcPr>
            <w:tcW w:type="dxa" w:w="1994"/>
            <w:vAlign w:val="center"/>
            <w:tcMar>
              <w:top w:w="80" w:type="dxa"/>
              <w:start w:w="90" w:type="dxa"/>
              <w:bottom w:w="80" w:type="dxa"/>
              <w:end w:w="90" w:type="dxa"/>
            </w:tcMar>
          </w:tcPr>
          <w:p>
            <w:pPr>
              <w:spacing w:after="0"/>
            </w:pPr>
            <w:r/>
            <w:r>
              <w:rPr>
                <w:rFonts w:ascii="Arial" w:hAnsi="Arial"/>
                <w:b w:val="0"/>
                <w:sz w:val="14"/>
              </w:rPr>
              <w:t>Workers, property</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Competent design / erection; ties; foundations; handover; 7-day / event inspections; no unauthorised alteration</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Manual handling injury</w:t>
            </w:r>
          </w:p>
        </w:tc>
        <w:tc>
          <w:tcPr>
            <w:tcW w:type="dxa" w:w="1994"/>
            <w:vAlign w:val="center"/>
            <w:tcMar>
              <w:top w:w="80" w:type="dxa"/>
              <w:start w:w="90" w:type="dxa"/>
              <w:bottom w:w="80" w:type="dxa"/>
              <w:end w:w="90" w:type="dxa"/>
            </w:tcMar>
          </w:tcPr>
          <w:p>
            <w:pPr>
              <w:spacing w:after="0"/>
            </w:pPr>
            <w:r/>
            <w:r>
              <w:rPr>
                <w:rFonts w:ascii="Arial" w:hAnsi="Arial"/>
                <w:b w:val="0"/>
                <w:sz w:val="14"/>
              </w:rPr>
              <w:t>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3x4=12 H</w:t>
            </w:r>
          </w:p>
        </w:tc>
        <w:tc>
          <w:tcPr>
            <w:tcW w:type="dxa" w:w="1994"/>
            <w:vAlign w:val="center"/>
            <w:tcMar>
              <w:top w:w="80" w:type="dxa"/>
              <w:start w:w="90" w:type="dxa"/>
              <w:bottom w:w="80" w:type="dxa"/>
              <w:end w:w="90" w:type="dxa"/>
            </w:tcMar>
          </w:tcPr>
          <w:p>
            <w:pPr>
              <w:spacing w:after="0"/>
            </w:pPr>
            <w:r/>
            <w:r>
              <w:rPr>
                <w:rFonts w:ascii="Arial" w:hAnsi="Arial"/>
                <w:b w:val="0"/>
                <w:sz w:val="14"/>
              </w:rPr>
              <w:t>Mechanical aids; team lifts; route planning; load reduction; training; task rotation</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3x2=6 M</w:t>
            </w:r>
          </w:p>
        </w:tc>
      </w:tr>
      <w:tr>
        <w:tc>
          <w:tcPr>
            <w:tcW w:type="dxa" w:w="1994"/>
            <w:vAlign w:val="center"/>
            <w:tcMar>
              <w:top w:w="80" w:type="dxa"/>
              <w:start w:w="90" w:type="dxa"/>
              <w:bottom w:w="80" w:type="dxa"/>
              <w:end w:w="90" w:type="dxa"/>
            </w:tcMar>
          </w:tcPr>
          <w:p>
            <w:pPr>
              <w:spacing w:after="0"/>
            </w:pPr>
            <w:r/>
            <w:r>
              <w:rPr>
                <w:rFonts w:ascii="Arial" w:hAnsi="Arial"/>
                <w:b w:val="0"/>
                <w:sz w:val="14"/>
              </w:rPr>
              <w:t>Respirable silica / construction dust</w:t>
            </w:r>
          </w:p>
        </w:tc>
        <w:tc>
          <w:tcPr>
            <w:tcW w:type="dxa" w:w="1994"/>
            <w:vAlign w:val="center"/>
            <w:tcMar>
              <w:top w:w="80" w:type="dxa"/>
              <w:start w:w="90" w:type="dxa"/>
              <w:bottom w:w="80" w:type="dxa"/>
              <w:end w:w="90" w:type="dxa"/>
            </w:tcMar>
          </w:tcPr>
          <w:p>
            <w:pPr>
              <w:spacing w:after="0"/>
            </w:pPr>
            <w:r/>
            <w:r>
              <w:rPr>
                <w:rFonts w:ascii="Arial" w:hAnsi="Arial"/>
                <w:b w:val="0"/>
                <w:sz w:val="14"/>
              </w:rPr>
              <w:t>Workers, occupants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Eliminate / reduce; on-tool extraction; wet cutting; segregation; no dry sweeping; suitable face-fit-tested RPE</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Noise exposure / nuisance</w:t>
            </w:r>
          </w:p>
        </w:tc>
        <w:tc>
          <w:tcPr>
            <w:tcW w:type="dxa" w:w="1994"/>
            <w:vAlign w:val="center"/>
            <w:tcMar>
              <w:top w:w="80" w:type="dxa"/>
              <w:start w:w="90" w:type="dxa"/>
              <w:bottom w:w="80" w:type="dxa"/>
              <w:end w:w="90" w:type="dxa"/>
            </w:tcMar>
          </w:tcPr>
          <w:p>
            <w:pPr>
              <w:spacing w:after="0"/>
            </w:pPr>
            <w:r/>
            <w:r>
              <w:rPr>
                <w:rFonts w:ascii="Arial" w:hAnsi="Arial"/>
                <w:b w:val="0"/>
                <w:sz w:val="14"/>
              </w:rPr>
              <w:t>Workers, neighbours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4x3=12 H</w:t>
            </w:r>
          </w:p>
        </w:tc>
        <w:tc>
          <w:tcPr>
            <w:tcW w:type="dxa" w:w="1994"/>
            <w:vAlign w:val="center"/>
            <w:tcMar>
              <w:top w:w="80" w:type="dxa"/>
              <w:start w:w="90" w:type="dxa"/>
              <w:bottom w:w="80" w:type="dxa"/>
              <w:end w:w="90" w:type="dxa"/>
            </w:tcMar>
          </w:tcPr>
          <w:p>
            <w:pPr>
              <w:spacing w:after="0"/>
            </w:pPr>
            <w:r/>
            <w:r>
              <w:rPr>
                <w:rFonts w:ascii="Arial" w:hAnsi="Arial"/>
                <w:b w:val="0"/>
                <w:sz w:val="14"/>
              </w:rPr>
              <w:t>Quieter tools; maintenance; time limits; hearing protection; reasonable hours; notification</w:t>
            </w:r>
          </w:p>
        </w:tc>
        <w:tc>
          <w:tcPr>
            <w:tcW w:type="dxa" w:w="1994"/>
            <w:vAlign w:val="center"/>
            <w:tcMar>
              <w:top w:w="80" w:type="dxa"/>
              <w:start w:w="90" w:type="dxa"/>
              <w:bottom w:w="80" w:type="dxa"/>
              <w:end w:w="90" w:type="dxa"/>
            </w:tcMar>
            <w:shd w:fill="C6E0B4"/>
          </w:tcPr>
          <w:p>
            <w:pPr>
              <w:spacing w:after="0"/>
            </w:pPr>
            <w:r/>
            <w:r>
              <w:rPr>
                <w:rFonts w:ascii="Arial" w:hAnsi="Arial"/>
                <w:b w:val="0"/>
                <w:sz w:val="14"/>
              </w:rPr>
              <w:t>4x1=4 L</w:t>
            </w:r>
          </w:p>
        </w:tc>
      </w:tr>
      <w:tr>
        <w:tc>
          <w:tcPr>
            <w:tcW w:type="dxa" w:w="1994"/>
            <w:vAlign w:val="center"/>
            <w:tcMar>
              <w:top w:w="80" w:type="dxa"/>
              <w:start w:w="90" w:type="dxa"/>
              <w:bottom w:w="80" w:type="dxa"/>
              <w:end w:w="90" w:type="dxa"/>
            </w:tcMar>
          </w:tcPr>
          <w:p>
            <w:pPr>
              <w:spacing w:after="0"/>
            </w:pPr>
            <w:r/>
            <w:r>
              <w:rPr>
                <w:rFonts w:ascii="Arial" w:hAnsi="Arial"/>
                <w:b w:val="0"/>
                <w:sz w:val="14"/>
              </w:rPr>
              <w:t>Hand-arm vibration</w:t>
            </w:r>
          </w:p>
        </w:tc>
        <w:tc>
          <w:tcPr>
            <w:tcW w:type="dxa" w:w="1994"/>
            <w:vAlign w:val="center"/>
            <w:tcMar>
              <w:top w:w="80" w:type="dxa"/>
              <w:start w:w="90" w:type="dxa"/>
              <w:bottom w:w="80" w:type="dxa"/>
              <w:end w:w="90" w:type="dxa"/>
            </w:tcMar>
          </w:tcPr>
          <w:p>
            <w:pPr>
              <w:spacing w:after="0"/>
            </w:pPr>
            <w:r/>
            <w:r>
              <w:rPr>
                <w:rFonts w:ascii="Arial" w:hAnsi="Arial"/>
                <w:b w:val="0"/>
                <w:sz w:val="14"/>
              </w:rPr>
              <w:t>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4x3=12 H</w:t>
            </w:r>
          </w:p>
        </w:tc>
        <w:tc>
          <w:tcPr>
            <w:tcW w:type="dxa" w:w="1994"/>
            <w:vAlign w:val="center"/>
            <w:tcMar>
              <w:top w:w="80" w:type="dxa"/>
              <w:start w:w="90" w:type="dxa"/>
              <w:bottom w:w="80" w:type="dxa"/>
              <w:end w:w="90" w:type="dxa"/>
            </w:tcMar>
          </w:tcPr>
          <w:p>
            <w:pPr>
              <w:spacing w:after="0"/>
            </w:pPr>
            <w:r/>
            <w:r>
              <w:rPr>
                <w:rFonts w:ascii="Arial" w:hAnsi="Arial"/>
                <w:b w:val="0"/>
                <w:sz w:val="14"/>
              </w:rPr>
              <w:t>Low-vibration tools; trigger-time controls; rotation; maintenance; health reporting / surveillance where required</w:t>
            </w:r>
          </w:p>
        </w:tc>
        <w:tc>
          <w:tcPr>
            <w:tcW w:type="dxa" w:w="1994"/>
            <w:vAlign w:val="center"/>
            <w:tcMar>
              <w:top w:w="80" w:type="dxa"/>
              <w:start w:w="90" w:type="dxa"/>
              <w:bottom w:w="80" w:type="dxa"/>
              <w:end w:w="90" w:type="dxa"/>
            </w:tcMar>
            <w:shd w:fill="C6E0B4"/>
          </w:tcPr>
          <w:p>
            <w:pPr>
              <w:spacing w:after="0"/>
            </w:pPr>
            <w:r/>
            <w:r>
              <w:rPr>
                <w:rFonts w:ascii="Arial" w:hAnsi="Arial"/>
                <w:b w:val="0"/>
                <w:sz w:val="14"/>
              </w:rPr>
              <w:t>4x1=4 L</w:t>
            </w:r>
          </w:p>
        </w:tc>
      </w:tr>
      <w:tr>
        <w:tc>
          <w:tcPr>
            <w:tcW w:type="dxa" w:w="1994"/>
            <w:vAlign w:val="center"/>
            <w:tcMar>
              <w:top w:w="80" w:type="dxa"/>
              <w:start w:w="90" w:type="dxa"/>
              <w:bottom w:w="80" w:type="dxa"/>
              <w:end w:w="90" w:type="dxa"/>
            </w:tcMar>
          </w:tcPr>
          <w:p>
            <w:pPr>
              <w:spacing w:after="0"/>
            </w:pPr>
            <w:r/>
            <w:r>
              <w:rPr>
                <w:rFonts w:ascii="Arial" w:hAnsi="Arial"/>
                <w:b w:val="0"/>
                <w:sz w:val="14"/>
              </w:rPr>
              <w:t>Temporary electricity / electric shock</w:t>
            </w:r>
          </w:p>
        </w:tc>
        <w:tc>
          <w:tcPr>
            <w:tcW w:type="dxa" w:w="1994"/>
            <w:vAlign w:val="center"/>
            <w:tcMar>
              <w:top w:w="80" w:type="dxa"/>
              <w:start w:w="90" w:type="dxa"/>
              <w:bottom w:w="80" w:type="dxa"/>
              <w:end w:w="90" w:type="dxa"/>
            </w:tcMar>
          </w:tcPr>
          <w:p>
            <w:pPr>
              <w:spacing w:after="0"/>
            </w:pPr>
            <w:r/>
            <w:r>
              <w:rPr>
                <w:rFonts w:ascii="Arial" w:hAnsi="Arial"/>
                <w:b w:val="0"/>
                <w:sz w:val="14"/>
              </w:rPr>
              <w:t>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Competent installation; RCD; 110 V tools where practicable; inspections; dry connections; isolation / lock-off</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Hot works / fire</w:t>
            </w:r>
          </w:p>
        </w:tc>
        <w:tc>
          <w:tcPr>
            <w:tcW w:type="dxa" w:w="1994"/>
            <w:vAlign w:val="center"/>
            <w:tcMar>
              <w:top w:w="80" w:type="dxa"/>
              <w:start w:w="90" w:type="dxa"/>
              <w:bottom w:w="80" w:type="dxa"/>
              <w:end w:w="90" w:type="dxa"/>
            </w:tcMar>
          </w:tcPr>
          <w:p>
            <w:pPr>
              <w:spacing w:after="0"/>
            </w:pPr>
            <w:r/>
            <w:r>
              <w:rPr>
                <w:rFonts w:ascii="Arial" w:hAnsi="Arial"/>
                <w:b w:val="0"/>
                <w:sz w:val="14"/>
              </w:rPr>
              <w:t>Workers, property</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Permit; remove combustibles; extinguishers; cylinder controls; fire watch; alarm and escape plan</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Hazardous substances / dermatitis</w:t>
            </w:r>
          </w:p>
        </w:tc>
        <w:tc>
          <w:tcPr>
            <w:tcW w:type="dxa" w:w="1994"/>
            <w:vAlign w:val="center"/>
            <w:tcMar>
              <w:top w:w="80" w:type="dxa"/>
              <w:start w:w="90" w:type="dxa"/>
              <w:bottom w:w="80" w:type="dxa"/>
              <w:end w:w="90" w:type="dxa"/>
            </w:tcMar>
          </w:tcPr>
          <w:p>
            <w:pPr>
              <w:spacing w:after="0"/>
            </w:pPr>
            <w:r/>
            <w:r>
              <w:rPr>
                <w:rFonts w:ascii="Arial" w:hAnsi="Arial"/>
                <w:b w:val="0"/>
                <w:sz w:val="14"/>
              </w:rPr>
              <w:t>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4x3=12 H</w:t>
            </w:r>
          </w:p>
        </w:tc>
        <w:tc>
          <w:tcPr>
            <w:tcW w:type="dxa" w:w="1994"/>
            <w:vAlign w:val="center"/>
            <w:tcMar>
              <w:top w:w="80" w:type="dxa"/>
              <w:start w:w="90" w:type="dxa"/>
              <w:bottom w:w="80" w:type="dxa"/>
              <w:end w:w="90" w:type="dxa"/>
            </w:tcMar>
          </w:tcPr>
          <w:p>
            <w:pPr>
              <w:spacing w:after="0"/>
            </w:pPr>
            <w:r/>
            <w:r>
              <w:rPr>
                <w:rFonts w:ascii="Arial" w:hAnsi="Arial"/>
                <w:b w:val="0"/>
                <w:sz w:val="14"/>
              </w:rPr>
              <w:t>COSHH; substitution; labelled storage; gloves / clothing; ventilation; hygiene; spill control</w:t>
            </w:r>
          </w:p>
        </w:tc>
        <w:tc>
          <w:tcPr>
            <w:tcW w:type="dxa" w:w="1994"/>
            <w:vAlign w:val="center"/>
            <w:tcMar>
              <w:top w:w="80" w:type="dxa"/>
              <w:start w:w="90" w:type="dxa"/>
              <w:bottom w:w="80" w:type="dxa"/>
              <w:end w:w="90" w:type="dxa"/>
            </w:tcMar>
            <w:shd w:fill="C6E0B4"/>
          </w:tcPr>
          <w:p>
            <w:pPr>
              <w:spacing w:after="0"/>
            </w:pPr>
            <w:r/>
            <w:r>
              <w:rPr>
                <w:rFonts w:ascii="Arial" w:hAnsi="Arial"/>
                <w:b w:val="0"/>
                <w:sz w:val="14"/>
              </w:rPr>
              <w:t>4x1=4 L</w:t>
            </w:r>
          </w:p>
        </w:tc>
      </w:tr>
      <w:tr>
        <w:tc>
          <w:tcPr>
            <w:tcW w:type="dxa" w:w="1994"/>
            <w:vAlign w:val="center"/>
            <w:tcMar>
              <w:top w:w="80" w:type="dxa"/>
              <w:start w:w="90" w:type="dxa"/>
              <w:bottom w:w="80" w:type="dxa"/>
              <w:end w:w="90" w:type="dxa"/>
            </w:tcMar>
          </w:tcPr>
          <w:p>
            <w:pPr>
              <w:spacing w:after="0"/>
            </w:pPr>
            <w:r/>
            <w:r>
              <w:rPr>
                <w:rFonts w:ascii="Arial" w:hAnsi="Arial"/>
                <w:b w:val="0"/>
                <w:sz w:val="14"/>
              </w:rPr>
              <w:t>Asbestos disturbance in existing building</w:t>
            </w:r>
          </w:p>
        </w:tc>
        <w:tc>
          <w:tcPr>
            <w:tcW w:type="dxa" w:w="1994"/>
            <w:vAlign w:val="center"/>
            <w:tcMar>
              <w:top w:w="80" w:type="dxa"/>
              <w:start w:w="90" w:type="dxa"/>
              <w:bottom w:w="80" w:type="dxa"/>
              <w:end w:w="90" w:type="dxa"/>
            </w:tcMar>
          </w:tcPr>
          <w:p>
            <w:pPr>
              <w:spacing w:after="0"/>
            </w:pPr>
            <w:r/>
            <w:r>
              <w:rPr>
                <w:rFonts w:ascii="Arial" w:hAnsi="Arial"/>
                <w:b w:val="0"/>
                <w:sz w:val="14"/>
              </w:rPr>
              <w:t>Workers, occupants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Refurbishment survey before intrusive work; stop for suspect material; licensed / competent removal as applicable</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Slips, trips and poor housekeeping</w:t>
            </w:r>
          </w:p>
        </w:tc>
        <w:tc>
          <w:tcPr>
            <w:tcW w:type="dxa" w:w="1994"/>
            <w:vAlign w:val="center"/>
            <w:tcMar>
              <w:top w:w="80" w:type="dxa"/>
              <w:start w:w="90" w:type="dxa"/>
              <w:bottom w:w="80" w:type="dxa"/>
              <w:end w:w="90" w:type="dxa"/>
            </w:tcMar>
          </w:tcPr>
          <w:p>
            <w:pPr>
              <w:spacing w:after="0"/>
            </w:pPr>
            <w:r/>
            <w:r>
              <w:rPr>
                <w:rFonts w:ascii="Arial" w:hAnsi="Arial"/>
                <w:b w:val="0"/>
                <w:sz w:val="14"/>
              </w:rPr>
              <w:t>All persons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3x4=12 H</w:t>
            </w:r>
          </w:p>
        </w:tc>
        <w:tc>
          <w:tcPr>
            <w:tcW w:type="dxa" w:w="1994"/>
            <w:vAlign w:val="center"/>
            <w:tcMar>
              <w:top w:w="80" w:type="dxa"/>
              <w:start w:w="90" w:type="dxa"/>
              <w:bottom w:w="80" w:type="dxa"/>
              <w:end w:w="90" w:type="dxa"/>
            </w:tcMar>
          </w:tcPr>
          <w:p>
            <w:pPr>
              <w:spacing w:after="0"/>
            </w:pPr>
            <w:r/>
            <w:r>
              <w:rPr>
                <w:rFonts w:ascii="Arial" w:hAnsi="Arial"/>
                <w:b w:val="0"/>
                <w:sz w:val="14"/>
              </w:rPr>
              <w:t>Clear routes; cable management; lighting; regular clean-up; waste removal; prompt spill response</w:t>
            </w:r>
          </w:p>
        </w:tc>
        <w:tc>
          <w:tcPr>
            <w:tcW w:type="dxa" w:w="1994"/>
            <w:vAlign w:val="center"/>
            <w:tcMar>
              <w:top w:w="80" w:type="dxa"/>
              <w:start w:w="90" w:type="dxa"/>
              <w:bottom w:w="80" w:type="dxa"/>
              <w:end w:w="90" w:type="dxa"/>
            </w:tcMar>
            <w:shd w:fill="C6E0B4"/>
          </w:tcPr>
          <w:p>
            <w:pPr>
              <w:spacing w:after="0"/>
            </w:pPr>
            <w:r/>
            <w:r>
              <w:rPr>
                <w:rFonts w:ascii="Arial" w:hAnsi="Arial"/>
                <w:b w:val="0"/>
                <w:sz w:val="14"/>
              </w:rPr>
              <w:t>3x1=3 L</w:t>
            </w:r>
          </w:p>
        </w:tc>
      </w:tr>
      <w:tr>
        <w:tc>
          <w:tcPr>
            <w:tcW w:type="dxa" w:w="1994"/>
            <w:vAlign w:val="center"/>
            <w:tcMar>
              <w:top w:w="80" w:type="dxa"/>
              <w:start w:w="90" w:type="dxa"/>
              <w:bottom w:w="80" w:type="dxa"/>
              <w:end w:w="90" w:type="dxa"/>
            </w:tcMar>
          </w:tcPr>
          <w:p>
            <w:pPr>
              <w:spacing w:after="0"/>
            </w:pPr>
            <w:r/>
            <w:r>
              <w:rPr>
                <w:rFonts w:ascii="Arial" w:hAnsi="Arial"/>
                <w:b w:val="0"/>
                <w:sz w:val="14"/>
              </w:rPr>
              <w:t>Adverse weather / high winds</w:t>
            </w:r>
          </w:p>
        </w:tc>
        <w:tc>
          <w:tcPr>
            <w:tcW w:type="dxa" w:w="1994"/>
            <w:vAlign w:val="center"/>
            <w:tcMar>
              <w:top w:w="80" w:type="dxa"/>
              <w:start w:w="90" w:type="dxa"/>
              <w:bottom w:w="80" w:type="dxa"/>
              <w:end w:w="90" w:type="dxa"/>
            </w:tcMar>
          </w:tcPr>
          <w:p>
            <w:pPr>
              <w:spacing w:after="0"/>
            </w:pPr>
            <w:r/>
            <w:r>
              <w:rPr>
                <w:rFonts w:ascii="Arial" w:hAnsi="Arial"/>
                <w:b w:val="0"/>
                <w:sz w:val="14"/>
              </w:rPr>
              <w:t>Workers, structure</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Forecast review; suspend lifting / roof work; secure materials; inspect after storms; protect excavations from rain</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Unauthorised access / child entry</w:t>
            </w:r>
          </w:p>
        </w:tc>
        <w:tc>
          <w:tcPr>
            <w:tcW w:type="dxa" w:w="1994"/>
            <w:vAlign w:val="center"/>
            <w:tcMar>
              <w:top w:w="80" w:type="dxa"/>
              <w:start w:w="90" w:type="dxa"/>
              <w:bottom w:w="80" w:type="dxa"/>
              <w:end w:w="90" w:type="dxa"/>
            </w:tcMar>
          </w:tcPr>
          <w:p>
            <w:pPr>
              <w:spacing w:after="0"/>
            </w:pPr>
            <w:r/>
            <w:r>
              <w:rPr>
                <w:rFonts w:ascii="Arial" w:hAnsi="Arial"/>
                <w:b w:val="0"/>
                <w:sz w:val="14"/>
              </w:rPr>
              <w:t>Public, client</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Secure Heras enclosure; locked gates; barriers; signage; remove access ladders; secure plant / chemicals</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Biological hazards from canal water</w:t>
            </w:r>
          </w:p>
        </w:tc>
        <w:tc>
          <w:tcPr>
            <w:tcW w:type="dxa" w:w="1994"/>
            <w:vAlign w:val="center"/>
            <w:tcMar>
              <w:top w:w="80" w:type="dxa"/>
              <w:start w:w="90" w:type="dxa"/>
              <w:bottom w:w="80" w:type="dxa"/>
              <w:end w:w="90" w:type="dxa"/>
            </w:tcMar>
          </w:tcPr>
          <w:p>
            <w:pPr>
              <w:spacing w:after="0"/>
            </w:pPr>
            <w:r/>
            <w:r>
              <w:rPr>
                <w:rFonts w:ascii="Arial" w:hAnsi="Arial"/>
                <w:b w:val="0"/>
                <w:sz w:val="14"/>
              </w:rPr>
              <w:t>Workers</w:t>
            </w:r>
          </w:p>
        </w:tc>
        <w:tc>
          <w:tcPr>
            <w:tcW w:type="dxa" w:w="1994"/>
            <w:vAlign w:val="center"/>
            <w:tcMar>
              <w:top w:w="80" w:type="dxa"/>
              <w:start w:w="90" w:type="dxa"/>
              <w:bottom w:w="80" w:type="dxa"/>
              <w:end w:w="90" w:type="dxa"/>
            </w:tcMar>
          </w:tcPr>
          <w:p>
            <w:pPr>
              <w:spacing w:after="0"/>
            </w:pPr>
            <w:r/>
            <w:r>
              <w:rPr>
                <w:rFonts w:ascii="Arial" w:hAnsi="Arial"/>
                <w:b w:val="0"/>
                <w:sz w:val="14"/>
              </w:rPr>
              <w:t>4x2=8 M</w:t>
            </w:r>
          </w:p>
        </w:tc>
        <w:tc>
          <w:tcPr>
            <w:tcW w:type="dxa" w:w="1994"/>
            <w:vAlign w:val="center"/>
            <w:tcMar>
              <w:top w:w="80" w:type="dxa"/>
              <w:start w:w="90" w:type="dxa"/>
              <w:bottom w:w="80" w:type="dxa"/>
              <w:end w:w="90" w:type="dxa"/>
            </w:tcMar>
          </w:tcPr>
          <w:p>
            <w:pPr>
              <w:spacing w:after="0"/>
            </w:pPr>
            <w:r/>
            <w:r>
              <w:rPr>
                <w:rFonts w:ascii="Arial" w:hAnsi="Arial"/>
                <w:b w:val="0"/>
                <w:sz w:val="14"/>
              </w:rPr>
              <w:t>Avoid contact; cover cuts; gloves; washing; report immersion; medical advice after exposure / illness</w:t>
            </w:r>
          </w:p>
        </w:tc>
        <w:tc>
          <w:tcPr>
            <w:tcW w:type="dxa" w:w="1994"/>
            <w:vAlign w:val="center"/>
            <w:tcMar>
              <w:top w:w="80" w:type="dxa"/>
              <w:start w:w="90" w:type="dxa"/>
              <w:bottom w:w="80" w:type="dxa"/>
              <w:end w:w="90" w:type="dxa"/>
            </w:tcMar>
            <w:shd w:fill="C6E0B4"/>
          </w:tcPr>
          <w:p>
            <w:pPr>
              <w:spacing w:after="0"/>
            </w:pPr>
            <w:r/>
            <w:r>
              <w:rPr>
                <w:rFonts w:ascii="Arial" w:hAnsi="Arial"/>
                <w:b w:val="0"/>
                <w:sz w:val="14"/>
              </w:rPr>
              <w:t>4x1=4 L</w:t>
            </w:r>
          </w:p>
        </w:tc>
      </w:tr>
      <w:tr>
        <w:tc>
          <w:tcPr>
            <w:tcW w:type="dxa" w:w="1994"/>
            <w:vAlign w:val="center"/>
            <w:tcMar>
              <w:top w:w="80" w:type="dxa"/>
              <w:start w:w="90" w:type="dxa"/>
              <w:bottom w:w="80" w:type="dxa"/>
              <w:end w:w="90" w:type="dxa"/>
            </w:tcMar>
          </w:tcPr>
          <w:p>
            <w:pPr>
              <w:spacing w:after="0"/>
            </w:pPr>
            <w:r/>
            <w:r>
              <w:rPr>
                <w:rFonts w:ascii="Arial" w:hAnsi="Arial"/>
                <w:b w:val="0"/>
                <w:sz w:val="14"/>
              </w:rPr>
              <w:t>Lone working / delayed rescue</w:t>
            </w:r>
          </w:p>
        </w:tc>
        <w:tc>
          <w:tcPr>
            <w:tcW w:type="dxa" w:w="1994"/>
            <w:vAlign w:val="center"/>
            <w:tcMar>
              <w:top w:w="80" w:type="dxa"/>
              <w:start w:w="90" w:type="dxa"/>
              <w:bottom w:w="80" w:type="dxa"/>
              <w:end w:w="90" w:type="dxa"/>
            </w:tcMar>
          </w:tcPr>
          <w:p>
            <w:pPr>
              <w:spacing w:after="0"/>
            </w:pPr>
            <w:r/>
            <w:r>
              <w:rPr>
                <w:rFonts w:ascii="Arial" w:hAnsi="Arial"/>
                <w:b w:val="0"/>
                <w:sz w:val="14"/>
              </w:rPr>
              <w:t>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No lone work for canal, excavation, lifting, roof or hot works; check-in arrangements for lower-risk tasks</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Existing structure instability during refurbishment</w:t>
            </w:r>
          </w:p>
        </w:tc>
        <w:tc>
          <w:tcPr>
            <w:tcW w:type="dxa" w:w="1994"/>
            <w:vAlign w:val="center"/>
            <w:tcMar>
              <w:top w:w="80" w:type="dxa"/>
              <w:start w:w="90" w:type="dxa"/>
              <w:bottom w:w="80" w:type="dxa"/>
              <w:end w:w="90" w:type="dxa"/>
            </w:tcMar>
          </w:tcPr>
          <w:p>
            <w:pPr>
              <w:spacing w:after="0"/>
            </w:pPr>
            <w:r/>
            <w:r>
              <w:rPr>
                <w:rFonts w:ascii="Arial" w:hAnsi="Arial"/>
                <w:b w:val="0"/>
                <w:sz w:val="14"/>
              </w:rPr>
              <w:t>Workers, property</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5x3=15 H</w:t>
            </w:r>
          </w:p>
        </w:tc>
        <w:tc>
          <w:tcPr>
            <w:tcW w:type="dxa" w:w="1994"/>
            <w:vAlign w:val="center"/>
            <w:tcMar>
              <w:top w:w="80" w:type="dxa"/>
              <w:start w:w="90" w:type="dxa"/>
              <w:bottom w:w="80" w:type="dxa"/>
              <w:end w:w="90" w:type="dxa"/>
            </w:tcMar>
          </w:tcPr>
          <w:p>
            <w:pPr>
              <w:spacing w:after="0"/>
            </w:pPr>
            <w:r/>
            <w:r>
              <w:rPr>
                <w:rFonts w:ascii="Arial" w:hAnsi="Arial"/>
                <w:b w:val="0"/>
                <w:sz w:val="14"/>
              </w:rPr>
              <w:t>Survey; sequence; temporary propping design; no removal of loadbearing elements without approval</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r>
        <w:tc>
          <w:tcPr>
            <w:tcW w:type="dxa" w:w="1994"/>
            <w:vAlign w:val="center"/>
            <w:tcMar>
              <w:top w:w="80" w:type="dxa"/>
              <w:start w:w="90" w:type="dxa"/>
              <w:bottom w:w="80" w:type="dxa"/>
              <w:end w:w="90" w:type="dxa"/>
            </w:tcMar>
          </w:tcPr>
          <w:p>
            <w:pPr>
              <w:spacing w:after="0"/>
            </w:pPr>
            <w:r/>
            <w:r>
              <w:rPr>
                <w:rFonts w:ascii="Arial" w:hAnsi="Arial"/>
                <w:b w:val="0"/>
                <w:sz w:val="14"/>
              </w:rPr>
              <w:t>Interface with client / occupied property</w:t>
            </w:r>
          </w:p>
        </w:tc>
        <w:tc>
          <w:tcPr>
            <w:tcW w:type="dxa" w:w="1994"/>
            <w:vAlign w:val="center"/>
            <w:tcMar>
              <w:top w:w="80" w:type="dxa"/>
              <w:start w:w="90" w:type="dxa"/>
              <w:bottom w:w="80" w:type="dxa"/>
              <w:end w:w="90" w:type="dxa"/>
            </w:tcMar>
          </w:tcPr>
          <w:p>
            <w:pPr>
              <w:spacing w:after="0"/>
            </w:pPr>
            <w:r/>
            <w:r>
              <w:rPr>
                <w:rFonts w:ascii="Arial" w:hAnsi="Arial"/>
                <w:b w:val="0"/>
                <w:sz w:val="14"/>
              </w:rPr>
              <w:t>Client, visitors, workers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4x3=12 H</w:t>
            </w:r>
          </w:p>
        </w:tc>
        <w:tc>
          <w:tcPr>
            <w:tcW w:type="dxa" w:w="1994"/>
            <w:vAlign w:val="center"/>
            <w:tcMar>
              <w:top w:w="80" w:type="dxa"/>
              <w:start w:w="90" w:type="dxa"/>
              <w:bottom w:w="80" w:type="dxa"/>
              <w:end w:w="90" w:type="dxa"/>
            </w:tcMar>
          </w:tcPr>
          <w:p>
            <w:pPr>
              <w:spacing w:after="0"/>
            </w:pPr>
            <w:r/>
            <w:r>
              <w:rPr>
                <w:rFonts w:ascii="Arial" w:hAnsi="Arial"/>
                <w:b w:val="0"/>
                <w:sz w:val="14"/>
              </w:rPr>
              <w:t>Segregation; communication; controlled access; dust / noise containment; secure end-of-shift condition</w:t>
            </w:r>
          </w:p>
        </w:tc>
        <w:tc>
          <w:tcPr>
            <w:tcW w:type="dxa" w:w="1994"/>
            <w:vAlign w:val="center"/>
            <w:tcMar>
              <w:top w:w="80" w:type="dxa"/>
              <w:start w:w="90" w:type="dxa"/>
              <w:bottom w:w="80" w:type="dxa"/>
              <w:end w:w="90" w:type="dxa"/>
            </w:tcMar>
            <w:shd w:fill="C6E0B4"/>
          </w:tcPr>
          <w:p>
            <w:pPr>
              <w:spacing w:after="0"/>
            </w:pPr>
            <w:r/>
            <w:r>
              <w:rPr>
                <w:rFonts w:ascii="Arial" w:hAnsi="Arial"/>
                <w:b w:val="0"/>
                <w:sz w:val="14"/>
              </w:rPr>
              <w:t>4x1=4 L</w:t>
            </w:r>
          </w:p>
        </w:tc>
      </w:tr>
      <w:tr>
        <w:tc>
          <w:tcPr>
            <w:tcW w:type="dxa" w:w="1994"/>
            <w:vAlign w:val="center"/>
            <w:tcMar>
              <w:top w:w="80" w:type="dxa"/>
              <w:start w:w="90" w:type="dxa"/>
              <w:bottom w:w="80" w:type="dxa"/>
              <w:end w:w="90" w:type="dxa"/>
            </w:tcMar>
          </w:tcPr>
          <w:p>
            <w:pPr>
              <w:spacing w:after="0"/>
            </w:pPr>
            <w:r/>
            <w:r>
              <w:rPr>
                <w:rFonts w:ascii="Arial" w:hAnsi="Arial"/>
                <w:b w:val="0"/>
                <w:sz w:val="14"/>
              </w:rPr>
              <w:t>Waste handling / sharps / contaminated materials</w:t>
            </w:r>
          </w:p>
        </w:tc>
        <w:tc>
          <w:tcPr>
            <w:tcW w:type="dxa" w:w="1994"/>
            <w:vAlign w:val="center"/>
            <w:tcMar>
              <w:top w:w="80" w:type="dxa"/>
              <w:start w:w="90" w:type="dxa"/>
              <w:bottom w:w="80" w:type="dxa"/>
              <w:end w:w="90" w:type="dxa"/>
            </w:tcMar>
          </w:tcPr>
          <w:p>
            <w:pPr>
              <w:spacing w:after="0"/>
            </w:pPr>
            <w:r/>
            <w:r>
              <w:rPr>
                <w:rFonts w:ascii="Arial" w:hAnsi="Arial"/>
                <w:b w:val="0"/>
                <w:sz w:val="14"/>
              </w:rPr>
              <w:t>Workers, environment</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4x3=12 H</w:t>
            </w:r>
          </w:p>
        </w:tc>
        <w:tc>
          <w:tcPr>
            <w:tcW w:type="dxa" w:w="1994"/>
            <w:vAlign w:val="center"/>
            <w:tcMar>
              <w:top w:w="80" w:type="dxa"/>
              <w:start w:w="90" w:type="dxa"/>
              <w:bottom w:w="80" w:type="dxa"/>
              <w:end w:w="90" w:type="dxa"/>
            </w:tcMar>
          </w:tcPr>
          <w:p>
            <w:pPr>
              <w:spacing w:after="0"/>
            </w:pPr>
            <w:r/>
            <w:r>
              <w:rPr>
                <w:rFonts w:ascii="Arial" w:hAnsi="Arial"/>
                <w:b w:val="0"/>
                <w:sz w:val="14"/>
              </w:rPr>
              <w:t>Segregated containers; gloves; no hand sorting; licensed disposal; hazardous waste procedure</w:t>
            </w:r>
          </w:p>
        </w:tc>
        <w:tc>
          <w:tcPr>
            <w:tcW w:type="dxa" w:w="1994"/>
            <w:vAlign w:val="center"/>
            <w:tcMar>
              <w:top w:w="80" w:type="dxa"/>
              <w:start w:w="90" w:type="dxa"/>
              <w:bottom w:w="80" w:type="dxa"/>
              <w:end w:w="90" w:type="dxa"/>
            </w:tcMar>
            <w:shd w:fill="C6E0B4"/>
          </w:tcPr>
          <w:p>
            <w:pPr>
              <w:spacing w:after="0"/>
            </w:pPr>
            <w:r/>
            <w:r>
              <w:rPr>
                <w:rFonts w:ascii="Arial" w:hAnsi="Arial"/>
                <w:b w:val="0"/>
                <w:sz w:val="14"/>
              </w:rPr>
              <w:t>4x1=4 L</w:t>
            </w:r>
          </w:p>
        </w:tc>
      </w:tr>
      <w:tr>
        <w:tc>
          <w:tcPr>
            <w:tcW w:type="dxa" w:w="1994"/>
            <w:vAlign w:val="center"/>
            <w:tcMar>
              <w:top w:w="80" w:type="dxa"/>
              <w:start w:w="90" w:type="dxa"/>
              <w:bottom w:w="80" w:type="dxa"/>
              <w:end w:w="90" w:type="dxa"/>
            </w:tcMar>
          </w:tcPr>
          <w:p>
            <w:pPr>
              <w:spacing w:after="0"/>
            </w:pPr>
            <w:r/>
            <w:r>
              <w:rPr>
                <w:rFonts w:ascii="Arial" w:hAnsi="Arial"/>
                <w:b w:val="0"/>
                <w:sz w:val="14"/>
              </w:rPr>
              <w:t>Flooding / rising canal level</w:t>
            </w:r>
          </w:p>
        </w:tc>
        <w:tc>
          <w:tcPr>
            <w:tcW w:type="dxa" w:w="1994"/>
            <w:vAlign w:val="center"/>
            <w:tcMar>
              <w:top w:w="80" w:type="dxa"/>
              <w:start w:w="90" w:type="dxa"/>
              <w:bottom w:w="80" w:type="dxa"/>
              <w:end w:w="90" w:type="dxa"/>
            </w:tcMar>
          </w:tcPr>
          <w:p>
            <w:pPr>
              <w:spacing w:after="0"/>
            </w:pPr>
            <w:r/>
            <w:r>
              <w:rPr>
                <w:rFonts w:ascii="Arial" w:hAnsi="Arial"/>
                <w:b w:val="0"/>
                <w:sz w:val="14"/>
              </w:rPr>
              <w:t>Workers, works</w:t>
            </w:r>
          </w:p>
        </w:tc>
        <w:tc>
          <w:tcPr>
            <w:tcW w:type="dxa" w:w="1994"/>
            <w:vAlign w:val="center"/>
            <w:tcMar>
              <w:top w:w="80" w:type="dxa"/>
              <w:start w:w="90" w:type="dxa"/>
              <w:bottom w:w="80" w:type="dxa"/>
              <w:end w:w="90" w:type="dxa"/>
            </w:tcMar>
            <w:shd w:fill="F4B183"/>
          </w:tcPr>
          <w:p>
            <w:pPr>
              <w:spacing w:after="0"/>
            </w:pPr>
            <w:r/>
            <w:r>
              <w:rPr>
                <w:rFonts w:ascii="Arial" w:hAnsi="Arial"/>
                <w:b w:val="0"/>
                <w:sz w:val="14"/>
              </w:rPr>
              <w:t>5x2=10 H</w:t>
            </w:r>
          </w:p>
        </w:tc>
        <w:tc>
          <w:tcPr>
            <w:tcW w:type="dxa" w:w="1994"/>
            <w:vAlign w:val="center"/>
            <w:tcMar>
              <w:top w:w="80" w:type="dxa"/>
              <w:start w:w="90" w:type="dxa"/>
              <w:bottom w:w="80" w:type="dxa"/>
              <w:end w:w="90" w:type="dxa"/>
            </w:tcMar>
          </w:tcPr>
          <w:p>
            <w:pPr>
              <w:spacing w:after="0"/>
            </w:pPr>
            <w:r/>
            <w:r>
              <w:rPr>
                <w:rFonts w:ascii="Arial" w:hAnsi="Arial"/>
                <w:b w:val="0"/>
                <w:sz w:val="14"/>
              </w:rPr>
              <w:t>Monitor forecast / warnings; secure materials; evacuation route; stop work and withdraw from edge; inspect before restart</w:t>
            </w:r>
          </w:p>
        </w:tc>
        <w:tc>
          <w:tcPr>
            <w:tcW w:type="dxa" w:w="1994"/>
            <w:vAlign w:val="center"/>
            <w:tcMar>
              <w:top w:w="80" w:type="dxa"/>
              <w:start w:w="90" w:type="dxa"/>
              <w:bottom w:w="80" w:type="dxa"/>
              <w:end w:w="90" w:type="dxa"/>
            </w:tcMar>
            <w:shd w:fill="FFE699"/>
          </w:tcPr>
          <w:p>
            <w:pPr>
              <w:spacing w:after="0"/>
            </w:pPr>
            <w:r/>
            <w:r>
              <w:rPr>
                <w:rFonts w:ascii="Arial" w:hAnsi="Arial"/>
                <w:b w:val="0"/>
                <w:sz w:val="14"/>
              </w:rPr>
              <w:t>5x1=5 M</w:t>
            </w:r>
          </w:p>
        </w:tc>
      </w:tr>
    </w:tbl>
    <w:p>
      <w:pPr>
        <w:pStyle w:val="Heading1"/>
        <w:keepNext/>
      </w:pPr>
      <w:r>
        <w:t>21. Inspection and Briefing Forms</w:t>
      </w:r>
    </w:p>
    <w:p>
      <w:pPr>
        <w:pStyle w:val="Heading2"/>
        <w:keepNext/>
      </w:pPr>
      <w:r>
        <w:t>21.1 Daily Canal-Side and Excavation Check</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vAlign w:val="center"/>
            <w:tcMar>
              <w:top w:w="80" w:type="dxa"/>
              <w:start w:w="90" w:type="dxa"/>
              <w:bottom w:w="80" w:type="dxa"/>
              <w:end w:w="90" w:type="dxa"/>
            </w:tcMar>
            <w:shd w:fill="17365D"/>
          </w:tcPr>
          <w:p>
            <w:pPr>
              <w:spacing w:after="0"/>
            </w:pPr>
            <w:r/>
            <w:r>
              <w:rPr>
                <w:rFonts w:ascii="Arial" w:hAnsi="Arial"/>
                <w:b/>
                <w:color w:val="FFFFFF"/>
                <w:sz w:val="16"/>
              </w:rPr>
              <w:t>Inspection item</w:t>
            </w:r>
          </w:p>
        </w:tc>
        <w:tc>
          <w:tcPr>
            <w:tcW w:type="dxa" w:w="2493"/>
            <w:vAlign w:val="center"/>
            <w:tcMar>
              <w:top w:w="80" w:type="dxa"/>
              <w:start w:w="90" w:type="dxa"/>
              <w:bottom w:w="80" w:type="dxa"/>
              <w:end w:w="90" w:type="dxa"/>
            </w:tcMar>
            <w:shd w:fill="17365D"/>
          </w:tcPr>
          <w:p>
            <w:pPr>
              <w:spacing w:after="0"/>
            </w:pPr>
            <w:r/>
            <w:r>
              <w:rPr>
                <w:rFonts w:ascii="Arial" w:hAnsi="Arial"/>
                <w:b/>
                <w:color w:val="FFFFFF"/>
                <w:sz w:val="16"/>
              </w:rPr>
              <w:t>Yes / No / N/A</w:t>
            </w:r>
          </w:p>
        </w:tc>
        <w:tc>
          <w:tcPr>
            <w:tcW w:type="dxa" w:w="2493"/>
            <w:vAlign w:val="center"/>
            <w:tcMar>
              <w:top w:w="80" w:type="dxa"/>
              <w:start w:w="90" w:type="dxa"/>
              <w:bottom w:w="80" w:type="dxa"/>
              <w:end w:w="90" w:type="dxa"/>
            </w:tcMar>
            <w:shd w:fill="17365D"/>
          </w:tcPr>
          <w:p>
            <w:pPr>
              <w:spacing w:after="0"/>
            </w:pPr>
            <w:r/>
            <w:r>
              <w:rPr>
                <w:rFonts w:ascii="Arial" w:hAnsi="Arial"/>
                <w:b/>
                <w:color w:val="FFFFFF"/>
                <w:sz w:val="16"/>
              </w:rPr>
              <w:t>Action required</w:t>
            </w:r>
          </w:p>
        </w:tc>
        <w:tc>
          <w:tcPr>
            <w:tcW w:type="dxa" w:w="2493"/>
            <w:vAlign w:val="center"/>
            <w:tcMar>
              <w:top w:w="80" w:type="dxa"/>
              <w:start w:w="90" w:type="dxa"/>
              <w:bottom w:w="80" w:type="dxa"/>
              <w:end w:w="90" w:type="dxa"/>
            </w:tcMar>
            <w:shd w:fill="17365D"/>
          </w:tcPr>
          <w:p>
            <w:pPr>
              <w:spacing w:after="0"/>
            </w:pPr>
            <w:r/>
            <w:r>
              <w:rPr>
                <w:rFonts w:ascii="Arial" w:hAnsi="Arial"/>
                <w:b/>
                <w:color w:val="FFFFFF"/>
                <w:sz w:val="16"/>
              </w:rPr>
              <w:t>Closed by / date</w:t>
            </w:r>
          </w:p>
        </w:tc>
      </w:tr>
      <w:tr>
        <w:tc>
          <w:tcPr>
            <w:tcW w:type="dxa" w:w="2493"/>
            <w:vAlign w:val="center"/>
            <w:tcMar>
              <w:top w:w="80" w:type="dxa"/>
              <w:start w:w="90" w:type="dxa"/>
              <w:bottom w:w="80" w:type="dxa"/>
              <w:end w:w="90" w:type="dxa"/>
            </w:tcMar>
          </w:tcPr>
          <w:p>
            <w:pPr>
              <w:spacing w:after="0"/>
            </w:pPr>
            <w:r/>
            <w:r>
              <w:rPr>
                <w:rFonts w:ascii="Arial" w:hAnsi="Arial"/>
                <w:b w:val="0"/>
                <w:sz w:val="16"/>
              </w:rPr>
              <w:t>Edge protection secure and continuous</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r>
        <w:tc>
          <w:tcPr>
            <w:tcW w:type="dxa" w:w="2493"/>
            <w:vAlign w:val="center"/>
            <w:tcMar>
              <w:top w:w="80" w:type="dxa"/>
              <w:start w:w="90" w:type="dxa"/>
              <w:bottom w:w="80" w:type="dxa"/>
              <w:end w:w="90" w:type="dxa"/>
            </w:tcMar>
          </w:tcPr>
          <w:p>
            <w:pPr>
              <w:spacing w:after="0"/>
            </w:pPr>
            <w:r/>
            <w:r>
              <w:rPr>
                <w:rFonts w:ascii="Arial" w:hAnsi="Arial"/>
                <w:b w:val="0"/>
                <w:sz w:val="16"/>
              </w:rPr>
              <w:t>Rescue equipment present, visible and serviceable</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r>
        <w:tc>
          <w:tcPr>
            <w:tcW w:type="dxa" w:w="2493"/>
            <w:vAlign w:val="center"/>
            <w:tcMar>
              <w:top w:w="80" w:type="dxa"/>
              <w:start w:w="90" w:type="dxa"/>
              <w:bottom w:w="80" w:type="dxa"/>
              <w:end w:w="90" w:type="dxa"/>
            </w:tcMar>
          </w:tcPr>
          <w:p>
            <w:pPr>
              <w:spacing w:after="0"/>
            </w:pPr>
            <w:r/>
            <w:r>
              <w:rPr>
                <w:rFonts w:ascii="Arial" w:hAnsi="Arial"/>
                <w:b w:val="0"/>
                <w:sz w:val="16"/>
              </w:rPr>
              <w:t>No plant / stockpile / materials within restricted zone</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r>
        <w:tc>
          <w:tcPr>
            <w:tcW w:type="dxa" w:w="2493"/>
            <w:vAlign w:val="center"/>
            <w:tcMar>
              <w:top w:w="80" w:type="dxa"/>
              <w:start w:w="90" w:type="dxa"/>
              <w:bottom w:w="80" w:type="dxa"/>
              <w:end w:w="90" w:type="dxa"/>
            </w:tcMar>
          </w:tcPr>
          <w:p>
            <w:pPr>
              <w:spacing w:after="0"/>
            </w:pPr>
            <w:r/>
            <w:r>
              <w:rPr>
                <w:rFonts w:ascii="Arial" w:hAnsi="Arial"/>
                <w:b w:val="0"/>
                <w:sz w:val="16"/>
              </w:rPr>
              <w:t>Canal wall and bank show no new crack, movement, slumping or erosion</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r>
        <w:tc>
          <w:tcPr>
            <w:tcW w:type="dxa" w:w="2493"/>
            <w:vAlign w:val="center"/>
            <w:tcMar>
              <w:top w:w="80" w:type="dxa"/>
              <w:start w:w="90" w:type="dxa"/>
              <w:bottom w:w="80" w:type="dxa"/>
              <w:end w:w="90" w:type="dxa"/>
            </w:tcMar>
          </w:tcPr>
          <w:p>
            <w:pPr>
              <w:spacing w:after="0"/>
            </w:pPr>
            <w:r/>
            <w:r>
              <w:rPr>
                <w:rFonts w:ascii="Arial" w:hAnsi="Arial"/>
                <w:b w:val="0"/>
                <w:sz w:val="16"/>
              </w:rPr>
              <w:t>Excavation profile and edges stable</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r>
        <w:tc>
          <w:tcPr>
            <w:tcW w:type="dxa" w:w="2493"/>
            <w:vAlign w:val="center"/>
            <w:tcMar>
              <w:top w:w="80" w:type="dxa"/>
              <w:start w:w="90" w:type="dxa"/>
              <w:bottom w:w="80" w:type="dxa"/>
              <w:end w:w="90" w:type="dxa"/>
            </w:tcMar>
          </w:tcPr>
          <w:p>
            <w:pPr>
              <w:spacing w:after="0"/>
            </w:pPr>
            <w:r/>
            <w:r>
              <w:rPr>
                <w:rFonts w:ascii="Arial" w:hAnsi="Arial"/>
                <w:b w:val="0"/>
                <w:sz w:val="16"/>
              </w:rPr>
              <w:t>No unexpected water ingress or softening</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r>
        <w:tc>
          <w:tcPr>
            <w:tcW w:type="dxa" w:w="2493"/>
            <w:vAlign w:val="center"/>
            <w:tcMar>
              <w:top w:w="80" w:type="dxa"/>
              <w:start w:w="90" w:type="dxa"/>
              <w:bottom w:w="80" w:type="dxa"/>
              <w:end w:w="90" w:type="dxa"/>
            </w:tcMar>
          </w:tcPr>
          <w:p>
            <w:pPr>
              <w:spacing w:after="0"/>
            </w:pPr>
            <w:r/>
            <w:r>
              <w:rPr>
                <w:rFonts w:ascii="Arial" w:hAnsi="Arial"/>
                <w:b w:val="0"/>
                <w:sz w:val="16"/>
              </w:rPr>
              <w:t>Weather and canal level acceptable</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r>
        <w:tc>
          <w:tcPr>
            <w:tcW w:type="dxa" w:w="2493"/>
            <w:vAlign w:val="center"/>
            <w:tcMar>
              <w:top w:w="80" w:type="dxa"/>
              <w:start w:w="90" w:type="dxa"/>
              <w:bottom w:w="80" w:type="dxa"/>
              <w:end w:w="90" w:type="dxa"/>
            </w:tcMar>
          </w:tcPr>
          <w:p>
            <w:pPr>
              <w:spacing w:after="0"/>
            </w:pPr>
            <w:r/>
            <w:r>
              <w:rPr>
                <w:rFonts w:ascii="Arial" w:hAnsi="Arial"/>
                <w:b w:val="0"/>
                <w:sz w:val="16"/>
              </w:rPr>
              <w:t>Spill kits and drain protection available</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r>
        <w:tc>
          <w:tcPr>
            <w:tcW w:type="dxa" w:w="2493"/>
            <w:vAlign w:val="center"/>
            <w:tcMar>
              <w:top w:w="80" w:type="dxa"/>
              <w:start w:w="90" w:type="dxa"/>
              <w:bottom w:w="80" w:type="dxa"/>
              <w:end w:w="90" w:type="dxa"/>
            </w:tcMar>
          </w:tcPr>
          <w:p>
            <w:pPr>
              <w:spacing w:after="0"/>
            </w:pPr>
            <w:r/>
            <w:r>
              <w:rPr>
                <w:rFonts w:ascii="Arial" w:hAnsi="Arial"/>
                <w:b w:val="0"/>
                <w:sz w:val="16"/>
              </w:rPr>
              <w:t>No evidence of pollution, silt release or waste</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r>
        <w:tc>
          <w:tcPr>
            <w:tcW w:type="dxa" w:w="2493"/>
            <w:vAlign w:val="center"/>
            <w:tcMar>
              <w:top w:w="80" w:type="dxa"/>
              <w:start w:w="90" w:type="dxa"/>
              <w:bottom w:w="80" w:type="dxa"/>
              <w:end w:w="90" w:type="dxa"/>
            </w:tcMar>
          </w:tcPr>
          <w:p>
            <w:pPr>
              <w:spacing w:after="0"/>
            </w:pPr>
            <w:r/>
            <w:r>
              <w:rPr>
                <w:rFonts w:ascii="Arial" w:hAnsi="Arial"/>
                <w:b w:val="0"/>
                <w:sz w:val="16"/>
              </w:rPr>
              <w:t>Work area and emergency access clear</w:t>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c>
          <w:tcPr>
            <w:tcW w:type="dxa" w:w="2493"/>
            <w:vAlign w:val="center"/>
            <w:tcMar>
              <w:top w:w="80" w:type="dxa"/>
              <w:start w:w="90" w:type="dxa"/>
              <w:bottom w:w="80" w:type="dxa"/>
              <w:end w:w="90" w:type="dxa"/>
            </w:tcMar>
          </w:tcPr>
          <w:p>
            <w:pPr>
              <w:spacing w:after="0"/>
            </w:pPr>
            <w:r/>
            <w:r>
              <w:rPr>
                <w:rFonts w:ascii="Arial" w:hAnsi="Arial"/>
                <w:b w:val="0"/>
                <w:sz w:val="16"/>
              </w:rPr>
            </w:r>
          </w:p>
        </w:tc>
      </w:tr>
    </w:tbl>
    <w:p>
      <w:pPr>
        <w:pStyle w:val="Heading2"/>
        <w:keepNext/>
      </w:pPr>
      <w:r>
        <w:t>21.2 Toolbox Talk Record</w:t>
      </w:r>
    </w:p>
    <w:tbl>
      <w:tblPr>
        <w:tblStyle w:val="TableGrid"/>
        <w:tblW w:type="auto" w:w="0"/>
        <w:tblLook w:firstColumn="1" w:firstRow="1" w:lastColumn="0" w:lastRow="0" w:noHBand="0" w:noVBand="1" w:val="04A0"/>
      </w:tblPr>
      <w:tblGrid>
        <w:gridCol w:w="4986"/>
        <w:gridCol w:w="4986"/>
      </w:tblGrid>
      <w:tr>
        <w:tc>
          <w:tcPr>
            <w:tcW w:type="dxa" w:w="4986"/>
            <w:vAlign w:val="center"/>
            <w:tcMar>
              <w:top w:w="80" w:type="dxa"/>
              <w:start w:w="90" w:type="dxa"/>
              <w:bottom w:w="80" w:type="dxa"/>
              <w:end w:w="90" w:type="dxa"/>
            </w:tcMar>
            <w:shd w:fill="D9E2F3"/>
          </w:tcPr>
          <w:p>
            <w:pPr>
              <w:spacing w:after="0"/>
            </w:pPr>
            <w:r/>
            <w:r>
              <w:rPr>
                <w:rFonts w:ascii="Arial" w:hAnsi="Arial"/>
                <w:b/>
                <w:sz w:val="16"/>
              </w:rPr>
              <w:t>Topic</w:t>
            </w:r>
          </w:p>
        </w:tc>
        <w:tc>
          <w:tcPr>
            <w:tcW w:type="dxa" w:w="4986"/>
            <w:vAlign w:val="center"/>
            <w:tcMar>
              <w:top w:w="80" w:type="dxa"/>
              <w:start w:w="90" w:type="dxa"/>
              <w:bottom w:w="80" w:type="dxa"/>
              <w:end w:w="90" w:type="dxa"/>
            </w:tcMar>
          </w:tcPr>
          <w:p>
            <w:pPr>
              <w:spacing w:after="0"/>
            </w:pPr>
            <w:r/>
            <w:r>
              <w:rPr>
                <w:rFonts w:ascii="Arial" w:hAnsi="Arial"/>
                <w:b w:val="0"/>
                <w:sz w:val="16"/>
              </w:rPr>
              <w:t>Working adjacent to canal / project-specific risks</w:t>
            </w:r>
          </w:p>
        </w:tc>
      </w:tr>
      <w:tr>
        <w:tc>
          <w:tcPr>
            <w:tcW w:type="dxa" w:w="4986"/>
            <w:vAlign w:val="center"/>
            <w:tcMar>
              <w:top w:w="80" w:type="dxa"/>
              <w:start w:w="90" w:type="dxa"/>
              <w:bottom w:w="80" w:type="dxa"/>
              <w:end w:w="90" w:type="dxa"/>
            </w:tcMar>
            <w:shd w:fill="D9E2F3"/>
          </w:tcPr>
          <w:p>
            <w:pPr>
              <w:spacing w:after="0"/>
            </w:pPr>
            <w:r/>
            <w:r>
              <w:rPr>
                <w:rFonts w:ascii="Arial" w:hAnsi="Arial"/>
                <w:b/>
                <w:sz w:val="16"/>
              </w:rPr>
              <w:t>Date / time</w:t>
            </w:r>
          </w:p>
        </w:tc>
        <w:tc>
          <w:tcPr>
            <w:tcW w:type="dxa" w:w="4986"/>
            <w:vAlign w:val="center"/>
            <w:tcMar>
              <w:top w:w="80" w:type="dxa"/>
              <w:start w:w="90" w:type="dxa"/>
              <w:bottom w:w="80" w:type="dxa"/>
              <w:end w:w="90" w:type="dxa"/>
            </w:tcMar>
          </w:tcPr>
          <w:p>
            <w:pPr>
              <w:spacing w:after="0"/>
            </w:pPr>
            <w:r/>
            <w:r>
              <w:rPr>
                <w:rFonts w:ascii="Arial" w:hAnsi="Arial"/>
                <w:b w:val="0"/>
                <w:sz w:val="16"/>
              </w:rPr>
            </w:r>
          </w:p>
        </w:tc>
      </w:tr>
      <w:tr>
        <w:tc>
          <w:tcPr>
            <w:tcW w:type="dxa" w:w="4986"/>
            <w:vAlign w:val="center"/>
            <w:tcMar>
              <w:top w:w="80" w:type="dxa"/>
              <w:start w:w="90" w:type="dxa"/>
              <w:bottom w:w="80" w:type="dxa"/>
              <w:end w:w="90" w:type="dxa"/>
            </w:tcMar>
            <w:shd w:fill="D9E2F3"/>
          </w:tcPr>
          <w:p>
            <w:pPr>
              <w:spacing w:after="0"/>
            </w:pPr>
            <w:r/>
            <w:r>
              <w:rPr>
                <w:rFonts w:ascii="Arial" w:hAnsi="Arial"/>
                <w:b/>
                <w:sz w:val="16"/>
              </w:rPr>
              <w:t>Delivered by</w:t>
            </w:r>
          </w:p>
        </w:tc>
        <w:tc>
          <w:tcPr>
            <w:tcW w:type="dxa" w:w="4986"/>
            <w:vAlign w:val="center"/>
            <w:tcMar>
              <w:top w:w="80" w:type="dxa"/>
              <w:start w:w="90" w:type="dxa"/>
              <w:bottom w:w="80" w:type="dxa"/>
              <w:end w:w="90" w:type="dxa"/>
            </w:tcMar>
          </w:tcPr>
          <w:p>
            <w:pPr>
              <w:spacing w:after="0"/>
            </w:pPr>
            <w:r/>
            <w:r>
              <w:rPr>
                <w:rFonts w:ascii="Arial" w:hAnsi="Arial"/>
                <w:b w:val="0"/>
                <w:sz w:val="16"/>
              </w:rPr>
            </w:r>
          </w:p>
        </w:tc>
      </w:tr>
      <w:tr>
        <w:tc>
          <w:tcPr>
            <w:tcW w:type="dxa" w:w="4986"/>
            <w:vAlign w:val="center"/>
            <w:tcMar>
              <w:top w:w="80" w:type="dxa"/>
              <w:start w:w="90" w:type="dxa"/>
              <w:bottom w:w="80" w:type="dxa"/>
              <w:end w:w="90" w:type="dxa"/>
            </w:tcMar>
            <w:shd w:fill="D9E2F3"/>
          </w:tcPr>
          <w:p>
            <w:pPr>
              <w:spacing w:after="0"/>
            </w:pPr>
            <w:r/>
            <w:r>
              <w:rPr>
                <w:rFonts w:ascii="Arial" w:hAnsi="Arial"/>
                <w:b/>
                <w:sz w:val="16"/>
              </w:rPr>
              <w:t>Key points / changes</w:t>
            </w:r>
          </w:p>
        </w:tc>
        <w:tc>
          <w:tcPr>
            <w:tcW w:type="dxa" w:w="4986"/>
            <w:vAlign w:val="center"/>
            <w:tcMar>
              <w:top w:w="80" w:type="dxa"/>
              <w:start w:w="90" w:type="dxa"/>
              <w:bottom w:w="80" w:type="dxa"/>
              <w:end w:w="90" w:type="dxa"/>
            </w:tcMar>
          </w:tcPr>
          <w:p>
            <w:pPr>
              <w:spacing w:after="0"/>
            </w:pPr>
            <w:r/>
            <w:r>
              <w:rPr>
                <w:rFonts w:ascii="Arial" w:hAnsi="Arial"/>
                <w:b w:val="0"/>
                <w:sz w:val="16"/>
              </w:rPr>
            </w:r>
          </w:p>
        </w:tc>
      </w:tr>
      <w:tr>
        <w:tc>
          <w:tcPr>
            <w:tcW w:type="dxa" w:w="4986"/>
            <w:vAlign w:val="center"/>
            <w:tcMar>
              <w:top w:w="80" w:type="dxa"/>
              <w:start w:w="90" w:type="dxa"/>
              <w:bottom w:w="80" w:type="dxa"/>
              <w:end w:w="90" w:type="dxa"/>
            </w:tcMar>
            <w:shd w:fill="D9E2F3"/>
          </w:tcPr>
          <w:p>
            <w:pPr>
              <w:spacing w:after="0"/>
            </w:pPr>
            <w:r/>
            <w:r>
              <w:rPr>
                <w:rFonts w:ascii="Arial" w:hAnsi="Arial"/>
                <w:b/>
                <w:sz w:val="16"/>
              </w:rPr>
              <w:t>Questions raised</w:t>
            </w:r>
          </w:p>
        </w:tc>
        <w:tc>
          <w:tcPr>
            <w:tcW w:type="dxa" w:w="4986"/>
            <w:vAlign w:val="center"/>
            <w:tcMar>
              <w:top w:w="80" w:type="dxa"/>
              <w:start w:w="90" w:type="dxa"/>
              <w:bottom w:w="80" w:type="dxa"/>
              <w:end w:w="90" w:type="dxa"/>
            </w:tcMar>
          </w:tcPr>
          <w:p>
            <w:pPr>
              <w:spacing w:after="0"/>
            </w:pPr>
            <w:r/>
            <w:r>
              <w:rPr>
                <w:rFonts w:ascii="Arial" w:hAnsi="Arial"/>
                <w:b w:val="0"/>
                <w:sz w:val="16"/>
              </w:rPr>
            </w:r>
          </w:p>
        </w:tc>
      </w:tr>
      <w:tr>
        <w:tc>
          <w:tcPr>
            <w:tcW w:type="dxa" w:w="4986"/>
            <w:vAlign w:val="center"/>
            <w:tcMar>
              <w:top w:w="80" w:type="dxa"/>
              <w:start w:w="90" w:type="dxa"/>
              <w:bottom w:w="80" w:type="dxa"/>
              <w:end w:w="90" w:type="dxa"/>
            </w:tcMar>
            <w:shd w:fill="D9E2F3"/>
          </w:tcPr>
          <w:p>
            <w:pPr>
              <w:spacing w:after="0"/>
            </w:pPr>
            <w:r/>
            <w:r>
              <w:rPr>
                <w:rFonts w:ascii="Arial" w:hAnsi="Arial"/>
                <w:b/>
                <w:sz w:val="16"/>
              </w:rPr>
              <w:t>Attendee names and signatures</w:t>
            </w:r>
          </w:p>
        </w:tc>
        <w:tc>
          <w:tcPr>
            <w:tcW w:type="dxa" w:w="4986"/>
            <w:vAlign w:val="center"/>
            <w:tcMar>
              <w:top w:w="80" w:type="dxa"/>
              <w:start w:w="90" w:type="dxa"/>
              <w:bottom w:w="80" w:type="dxa"/>
              <w:end w:w="90" w:type="dxa"/>
            </w:tcMar>
          </w:tcPr>
          <w:p>
            <w:pPr>
              <w:spacing w:after="0"/>
            </w:pPr>
            <w:r/>
            <w:r>
              <w:rPr>
                <w:rFonts w:ascii="Arial" w:hAnsi="Arial"/>
                <w:b w:val="0"/>
                <w:sz w:val="16"/>
              </w:rPr>
            </w:r>
          </w:p>
        </w:tc>
      </w:tr>
      <w:tr>
        <w:tc>
          <w:tcPr>
            <w:tcW w:type="dxa" w:w="4986"/>
            <w:vAlign w:val="center"/>
            <w:tcMar>
              <w:top w:w="80" w:type="dxa"/>
              <w:start w:w="90" w:type="dxa"/>
              <w:bottom w:w="80" w:type="dxa"/>
              <w:end w:w="90" w:type="dxa"/>
            </w:tcMar>
            <w:shd w:fill="D9E2F3"/>
          </w:tcPr>
          <w:p>
            <w:pPr>
              <w:spacing w:after="0"/>
            </w:pPr>
            <w:r/>
            <w:r>
              <w:rPr>
                <w:rFonts w:ascii="Arial" w:hAnsi="Arial"/>
                <w:b/>
                <w:sz w:val="16"/>
              </w:rPr>
              <w:t>Actions</w:t>
            </w:r>
          </w:p>
        </w:tc>
        <w:tc>
          <w:tcPr>
            <w:tcW w:type="dxa" w:w="4986"/>
            <w:vAlign w:val="center"/>
            <w:tcMar>
              <w:top w:w="80" w:type="dxa"/>
              <w:start w:w="90" w:type="dxa"/>
              <w:bottom w:w="80" w:type="dxa"/>
              <w:end w:w="90" w:type="dxa"/>
            </w:tcMar>
          </w:tcPr>
          <w:p>
            <w:pPr>
              <w:spacing w:after="0"/>
            </w:pPr>
            <w:r/>
            <w:r>
              <w:rPr>
                <w:rFonts w:ascii="Arial" w:hAnsi="Arial"/>
                <w:b w:val="0"/>
                <w:sz w:val="16"/>
              </w:rPr>
            </w:r>
          </w:p>
        </w:tc>
      </w:tr>
    </w:tbl>
    <w:p>
      <w:pPr>
        <w:pStyle w:val="Heading2"/>
        <w:keepNext/>
      </w:pPr>
      <w:r>
        <w:t>21.3 Pre-Concrete Hold Point</w:t>
      </w:r>
    </w:p>
    <w:tbl>
      <w:tblPr>
        <w:tblStyle w:val="TableGrid"/>
        <w:tblW w:type="auto" w:w="0"/>
        <w:jc w:val="center"/>
        <w:tblLook w:firstColumn="1" w:firstRow="1" w:lastColumn="0" w:lastRow="0" w:noHBand="0" w:noVBand="1" w:val="04A0"/>
      </w:tblPr>
      <w:tblGrid>
        <w:gridCol w:w="2948"/>
        <w:gridCol w:w="6690"/>
      </w:tblGrid>
      <w:tr>
        <w:tc>
          <w:tcPr>
            <w:tcW w:type="dxa" w:w="4986"/>
            <w:vAlign w:val="center"/>
            <w:tcMar>
              <w:top w:w="80" w:type="dxa"/>
              <w:start w:w="90" w:type="dxa"/>
              <w:bottom w:w="80" w:type="dxa"/>
              <w:end w:w="90" w:type="dxa"/>
            </w:tcMar>
            <w:shd w:fill="D9E2F3"/>
          </w:tcPr>
          <w:p>
            <w:pPr>
              <w:spacing w:after="0"/>
            </w:pPr>
            <w:r/>
            <w:r>
              <w:rPr>
                <w:rFonts w:ascii="Arial" w:hAnsi="Arial"/>
                <w:b/>
                <w:sz w:val="17"/>
              </w:rPr>
              <w:t>Drawing revision checked</w:t>
            </w:r>
          </w:p>
        </w:tc>
        <w:tc>
          <w:tcPr>
            <w:tcW w:type="dxa" w:w="4986"/>
            <w:vAlign w:val="center"/>
            <w:tcMar>
              <w:top w:w="80" w:type="dxa"/>
              <w:start w:w="90" w:type="dxa"/>
              <w:bottom w:w="80" w:type="dxa"/>
              <w:end w:w="90" w:type="dxa"/>
            </w:tcMar>
          </w:tcPr>
          <w:p>
            <w:pPr>
              <w:spacing w:after="0"/>
            </w:pPr>
            <w:r/>
            <w:r>
              <w:rPr>
                <w:rFonts w:ascii="Arial" w:hAnsi="Arial"/>
                <w:b w:val="0"/>
                <w:sz w:val="17"/>
              </w:rPr>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Foundation dimensions and depth checked</w:t>
            </w:r>
          </w:p>
        </w:tc>
        <w:tc>
          <w:tcPr>
            <w:tcW w:type="dxa" w:w="4986"/>
            <w:vAlign w:val="center"/>
            <w:tcMar>
              <w:top w:w="80" w:type="dxa"/>
              <w:start w:w="90" w:type="dxa"/>
              <w:bottom w:w="80" w:type="dxa"/>
              <w:end w:w="90" w:type="dxa"/>
            </w:tcMar>
          </w:tcPr>
          <w:p>
            <w:pPr>
              <w:spacing w:after="0"/>
            </w:pPr>
            <w:r/>
            <w:r>
              <w:rPr>
                <w:rFonts w:ascii="Arial" w:hAnsi="Arial"/>
                <w:b w:val="0"/>
                <w:sz w:val="17"/>
              </w:rPr>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Formation accepted by Building Control</w:t>
            </w:r>
          </w:p>
        </w:tc>
        <w:tc>
          <w:tcPr>
            <w:tcW w:type="dxa" w:w="4986"/>
            <w:vAlign w:val="center"/>
            <w:tcMar>
              <w:top w:w="80" w:type="dxa"/>
              <w:start w:w="90" w:type="dxa"/>
              <w:bottom w:w="80" w:type="dxa"/>
              <w:end w:w="90" w:type="dxa"/>
            </w:tcMar>
          </w:tcPr>
          <w:p>
            <w:pPr>
              <w:spacing w:after="0"/>
            </w:pPr>
            <w:r/>
            <w:r>
              <w:rPr>
                <w:rFonts w:ascii="Arial" w:hAnsi="Arial"/>
                <w:b w:val="0"/>
                <w:sz w:val="17"/>
              </w:rPr>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Engineer inspection / instruction reference</w:t>
            </w:r>
          </w:p>
        </w:tc>
        <w:tc>
          <w:tcPr>
            <w:tcW w:type="dxa" w:w="4986"/>
            <w:vAlign w:val="center"/>
            <w:tcMar>
              <w:top w:w="80" w:type="dxa"/>
              <w:start w:w="90" w:type="dxa"/>
              <w:bottom w:w="80" w:type="dxa"/>
              <w:end w:w="90" w:type="dxa"/>
            </w:tcMar>
          </w:tcPr>
          <w:p>
            <w:pPr>
              <w:spacing w:after="0"/>
            </w:pPr>
            <w:r/>
            <w:r>
              <w:rPr>
                <w:rFonts w:ascii="Arial" w:hAnsi="Arial"/>
                <w:b w:val="0"/>
                <w:sz w:val="17"/>
              </w:rPr>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Services, dowels and penetrations checked</w:t>
            </w:r>
          </w:p>
        </w:tc>
        <w:tc>
          <w:tcPr>
            <w:tcW w:type="dxa" w:w="4986"/>
            <w:vAlign w:val="center"/>
            <w:tcMar>
              <w:top w:w="80" w:type="dxa"/>
              <w:start w:w="90" w:type="dxa"/>
              <w:bottom w:w="80" w:type="dxa"/>
              <w:end w:w="90" w:type="dxa"/>
            </w:tcMar>
          </w:tcPr>
          <w:p>
            <w:pPr>
              <w:spacing w:after="0"/>
            </w:pPr>
            <w:r/>
            <w:r>
              <w:rPr>
                <w:rFonts w:ascii="Arial" w:hAnsi="Arial"/>
                <w:b w:val="0"/>
                <w:sz w:val="17"/>
              </w:rPr>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Weather and washout arrangements acceptable</w:t>
            </w:r>
          </w:p>
        </w:tc>
        <w:tc>
          <w:tcPr>
            <w:tcW w:type="dxa" w:w="4986"/>
            <w:vAlign w:val="center"/>
            <w:tcMar>
              <w:top w:w="80" w:type="dxa"/>
              <w:start w:w="90" w:type="dxa"/>
              <w:bottom w:w="80" w:type="dxa"/>
              <w:end w:w="90" w:type="dxa"/>
            </w:tcMar>
          </w:tcPr>
          <w:p>
            <w:pPr>
              <w:spacing w:after="0"/>
            </w:pPr>
            <w:r/>
            <w:r>
              <w:rPr>
                <w:rFonts w:ascii="Arial" w:hAnsi="Arial"/>
                <w:b w:val="0"/>
                <w:sz w:val="17"/>
              </w:rPr>
            </w:r>
          </w:p>
        </w:tc>
      </w:tr>
      <w:tr>
        <w:tc>
          <w:tcPr>
            <w:tcW w:type="dxa" w:w="4986"/>
            <w:vAlign w:val="center"/>
            <w:tcMar>
              <w:top w:w="80" w:type="dxa"/>
              <w:start w:w="90" w:type="dxa"/>
              <w:bottom w:w="80" w:type="dxa"/>
              <w:end w:w="90" w:type="dxa"/>
            </w:tcMar>
            <w:shd w:fill="D9E2F3"/>
          </w:tcPr>
          <w:p>
            <w:pPr>
              <w:spacing w:after="0"/>
            </w:pPr>
            <w:r/>
            <w:r>
              <w:rPr>
                <w:rFonts w:ascii="Arial" w:hAnsi="Arial"/>
                <w:b/>
                <w:sz w:val="17"/>
              </w:rPr>
              <w:t>Authorised to pour by / date</w:t>
            </w:r>
          </w:p>
        </w:tc>
        <w:tc>
          <w:tcPr>
            <w:tcW w:type="dxa" w:w="4986"/>
            <w:vAlign w:val="center"/>
            <w:tcMar>
              <w:top w:w="80" w:type="dxa"/>
              <w:start w:w="90" w:type="dxa"/>
              <w:bottom w:w="80" w:type="dxa"/>
              <w:end w:w="90" w:type="dxa"/>
            </w:tcMar>
          </w:tcPr>
          <w:p>
            <w:pPr>
              <w:spacing w:after="0"/>
            </w:pPr>
            <w:r/>
            <w:r>
              <w:rPr>
                <w:rFonts w:ascii="Arial" w:hAnsi="Arial"/>
                <w:b w:val="0"/>
                <w:sz w:val="17"/>
              </w:rPr>
            </w:r>
          </w:p>
        </w:tc>
      </w:tr>
    </w:tbl>
    <w:p>
      <w:pPr>
        <w:pStyle w:val="Heading1"/>
        <w:keepNext/>
      </w:pPr>
      <w:r>
        <w:t>22. Reference Documents</w:t>
      </w:r>
    </w:p>
    <w:p>
      <w:pPr>
        <w:pStyle w:val="ListBullet"/>
      </w:pPr>
      <w:r>
        <w:t>TW Design Services, Structural Report &amp; Method Statement: Timber Framed Barn Substructure Assessment, Project 260706, Revision 001, dated 26 July 2026.</w:t>
      </w:r>
    </w:p>
    <w:p>
      <w:pPr>
        <w:pStyle w:val="ListBullet"/>
      </w:pPr>
      <w:r>
        <w:t>TW Design Services drawing 260706/ST-01 - Foundation Plan and Details.</w:t>
      </w:r>
    </w:p>
    <w:p>
      <w:pPr>
        <w:pStyle w:val="ListBullet"/>
      </w:pPr>
      <w:r>
        <w:t>TW Design Services drawing 260706/ST-02 - Section 2-2, relationship between foundation and existing canal / retaining wall.</w:t>
      </w:r>
    </w:p>
    <w:p>
      <w:pPr>
        <w:pStyle w:val="ListBullet"/>
      </w:pPr>
      <w:r>
        <w:t>Construction (Design and Management) Regulations 2015 and HSE guidance on principal contractor duties, construction phase planning and welfare.</w:t>
      </w:r>
    </w:p>
    <w:p>
      <w:pPr>
        <w:pStyle w:val="ListBullet"/>
      </w:pPr>
      <w:r>
        <w:t>HSE guidance: Prevention of drowning - measures to prevent falls into water and provide a safe rescue.</w:t>
      </w:r>
    </w:p>
    <w:p>
      <w:pPr>
        <w:pStyle w:val="ListBullet"/>
      </w:pPr>
      <w:r>
        <w:t>Environment Agency / GOV.UK guidance: Pollution prevention for businesses, including construction activities and work near watercourses.</w:t>
      </w:r>
    </w:p>
    <w:p>
      <w:pPr>
        <w:pStyle w:val="ListBullet"/>
      </w:pPr>
      <w:r>
        <w:t>Environment Agency Regulatory Position Statement 287, where applicable to treatment and use of water containing concrete.</w:t>
      </w:r>
    </w:p>
    <w:p>
      <w:pPr>
        <w:pStyle w:val="ListBullet"/>
      </w:pPr>
      <w:r>
        <w:t>Work at Height Regulations 2005; Provision and Use of Work Equipment Regulations 1998; Lifting Operations and Lifting Equipment Regulations 1998; Control of Substances Hazardous to Health Regulations 2002; Control of Noise at Work Regulations 2005; Control of Vibration at Work Regulations 2005.</w:t>
      </w:r>
    </w:p>
    <w:p>
      <w:pPr>
        <w:pStyle w:val="ListBullet"/>
      </w:pPr>
      <w:r>
        <w:t>Current approved architectural drawings, Prime Oak erection information, specialist contractor RAMS and manufacturers instructions.</w:t>
      </w:r>
    </w:p>
    <w:p>
      <w:pPr>
        <w:pStyle w:val="Heading2"/>
        <w:keepNext/>
      </w:pPr>
      <w:r>
        <w:t>Important Implementation Note</w:t>
      </w:r>
    </w:p>
    <w:p>
      <w:r>
        <w:t>This document has been prepared from the information currently available. Before issue for construction, Griffiths and Barnard Limited shall complete the named appointments, emergency contacts, logistics sketch, programme, specialist RAMS and any consent requirements imposed by Wiltshire Council, Building Control, the canal owner / navigation authority or statutory undertakers. Any material revision shall be recorded in the revision register and re-briefed.</w:t>
      </w:r>
    </w:p>
    <w:p>
      <w:r>
        <w:br w:type="page"/>
      </w:r>
    </w:p>
    <w:p>
      <w:pPr>
        <w:pStyle w:val="Heading1"/>
        <w:keepNext/>
      </w:pPr>
      <w:r>
        <w:t>Appendix A</w:t>
      </w:r>
    </w:p>
    <w:p>
      <w:pPr>
        <w:jc w:val="center"/>
      </w:pPr>
      <w:r>
        <w:rPr>
          <w:b/>
          <w:color w:val="17365D"/>
          <w:sz w:val="32"/>
        </w:rPr>
        <w:t>TW DESIGN SERVICES</w:t>
        <w:br/>
        <w:t>STRUCTURAL REPORT &amp; METHOD STATEMENT</w:t>
        <w:br/>
        <w:t>TIMBER FRAMED BARN SUBSTRUCTURE ASSESSMENT</w:t>
        <w:br/>
        <w:t>Project 260706 - Revision 001 - 26 July 2026</w:t>
      </w:r>
    </w:p>
    <w:p>
      <w:r>
        <w:t>The following 17 pages reproduce the Structural Engineer's report and drawings supplied for this project. They are appended as received for reference and must be read together with the contractor controls in the main body of this document.</w:t>
      </w:r>
    </w:p>
    <w:p>
      <w:r>
        <w:br w:type="page"/>
      </w:r>
    </w:p>
    <w:p>
      <w:pPr>
        <w:spacing w:after="0"/>
        <w:jc w:val="center"/>
      </w:pPr>
      <w:r>
        <w:drawing>
          <wp:inline xmlns:a="http://schemas.openxmlformats.org/drawingml/2006/main" xmlns:pic="http://schemas.openxmlformats.org/drawingml/2006/picture">
            <wp:extent cx="6192000" cy="8758464"/>
            <wp:docPr id="1" name="Picture 1"/>
            <wp:cNvGraphicFramePr>
              <a:graphicFrameLocks noChangeAspect="1"/>
            </wp:cNvGraphicFramePr>
            <a:graphic>
              <a:graphicData uri="http://schemas.openxmlformats.org/drawingml/2006/picture">
                <pic:pic>
                  <pic:nvPicPr>
                    <pic:cNvPr id="0" name="engineer_page_01.png"/>
                    <pic:cNvPicPr/>
                  </pic:nvPicPr>
                  <pic:blipFill>
                    <a:blip r:embed="rId11"/>
                    <a:stretch>
                      <a:fillRect/>
                    </a:stretch>
                  </pic:blipFill>
                  <pic:spPr>
                    <a:xfrm>
                      <a:off x="0" y="0"/>
                      <a:ext cx="6192000" cy="8758464"/>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758464"/>
            <wp:docPr id="2" name="Picture 2"/>
            <wp:cNvGraphicFramePr>
              <a:graphicFrameLocks noChangeAspect="1"/>
            </wp:cNvGraphicFramePr>
            <a:graphic>
              <a:graphicData uri="http://schemas.openxmlformats.org/drawingml/2006/picture">
                <pic:pic>
                  <pic:nvPicPr>
                    <pic:cNvPr id="0" name="engineer_page_02.png"/>
                    <pic:cNvPicPr/>
                  </pic:nvPicPr>
                  <pic:blipFill>
                    <a:blip r:embed="rId12"/>
                    <a:stretch>
                      <a:fillRect/>
                    </a:stretch>
                  </pic:blipFill>
                  <pic:spPr>
                    <a:xfrm>
                      <a:off x="0" y="0"/>
                      <a:ext cx="6192000" cy="8758464"/>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758464"/>
            <wp:docPr id="3" name="Picture 3"/>
            <wp:cNvGraphicFramePr>
              <a:graphicFrameLocks noChangeAspect="1"/>
            </wp:cNvGraphicFramePr>
            <a:graphic>
              <a:graphicData uri="http://schemas.openxmlformats.org/drawingml/2006/picture">
                <pic:pic>
                  <pic:nvPicPr>
                    <pic:cNvPr id="0" name="engineer_page_03.png"/>
                    <pic:cNvPicPr/>
                  </pic:nvPicPr>
                  <pic:blipFill>
                    <a:blip r:embed="rId13"/>
                    <a:stretch>
                      <a:fillRect/>
                    </a:stretch>
                  </pic:blipFill>
                  <pic:spPr>
                    <a:xfrm>
                      <a:off x="0" y="0"/>
                      <a:ext cx="6192000" cy="8758464"/>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758464"/>
            <wp:docPr id="4" name="Picture 4"/>
            <wp:cNvGraphicFramePr>
              <a:graphicFrameLocks noChangeAspect="1"/>
            </wp:cNvGraphicFramePr>
            <a:graphic>
              <a:graphicData uri="http://schemas.openxmlformats.org/drawingml/2006/picture">
                <pic:pic>
                  <pic:nvPicPr>
                    <pic:cNvPr id="0" name="engineer_page_04.png"/>
                    <pic:cNvPicPr/>
                  </pic:nvPicPr>
                  <pic:blipFill>
                    <a:blip r:embed="rId14"/>
                    <a:stretch>
                      <a:fillRect/>
                    </a:stretch>
                  </pic:blipFill>
                  <pic:spPr>
                    <a:xfrm>
                      <a:off x="0" y="0"/>
                      <a:ext cx="6192000" cy="8758464"/>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758464"/>
            <wp:docPr id="5" name="Picture 5"/>
            <wp:cNvGraphicFramePr>
              <a:graphicFrameLocks noChangeAspect="1"/>
            </wp:cNvGraphicFramePr>
            <a:graphic>
              <a:graphicData uri="http://schemas.openxmlformats.org/drawingml/2006/picture">
                <pic:pic>
                  <pic:nvPicPr>
                    <pic:cNvPr id="0" name="engineer_page_05.png"/>
                    <pic:cNvPicPr/>
                  </pic:nvPicPr>
                  <pic:blipFill>
                    <a:blip r:embed="rId15"/>
                    <a:stretch>
                      <a:fillRect/>
                    </a:stretch>
                  </pic:blipFill>
                  <pic:spPr>
                    <a:xfrm>
                      <a:off x="0" y="0"/>
                      <a:ext cx="6192000" cy="8758464"/>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758464"/>
            <wp:docPr id="6" name="Picture 6"/>
            <wp:cNvGraphicFramePr>
              <a:graphicFrameLocks noChangeAspect="1"/>
            </wp:cNvGraphicFramePr>
            <a:graphic>
              <a:graphicData uri="http://schemas.openxmlformats.org/drawingml/2006/picture">
                <pic:pic>
                  <pic:nvPicPr>
                    <pic:cNvPr id="0" name="engineer_page_06.png"/>
                    <pic:cNvPicPr/>
                  </pic:nvPicPr>
                  <pic:blipFill>
                    <a:blip r:embed="rId16"/>
                    <a:stretch>
                      <a:fillRect/>
                    </a:stretch>
                  </pic:blipFill>
                  <pic:spPr>
                    <a:xfrm>
                      <a:off x="0" y="0"/>
                      <a:ext cx="6192000" cy="8758464"/>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011690"/>
            <wp:docPr id="7" name="Picture 7"/>
            <wp:cNvGraphicFramePr>
              <a:graphicFrameLocks noChangeAspect="1"/>
            </wp:cNvGraphicFramePr>
            <a:graphic>
              <a:graphicData uri="http://schemas.openxmlformats.org/drawingml/2006/picture">
                <pic:pic>
                  <pic:nvPicPr>
                    <pic:cNvPr id="0" name="engineer_page_07.png"/>
                    <pic:cNvPicPr/>
                  </pic:nvPicPr>
                  <pic:blipFill>
                    <a:blip r:embed="rId17"/>
                    <a:stretch>
                      <a:fillRect/>
                    </a:stretch>
                  </pic:blipFill>
                  <pic:spPr>
                    <a:xfrm>
                      <a:off x="0" y="0"/>
                      <a:ext cx="6192000" cy="801169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011690"/>
            <wp:docPr id="8" name="Picture 8"/>
            <wp:cNvGraphicFramePr>
              <a:graphicFrameLocks noChangeAspect="1"/>
            </wp:cNvGraphicFramePr>
            <a:graphic>
              <a:graphicData uri="http://schemas.openxmlformats.org/drawingml/2006/picture">
                <pic:pic>
                  <pic:nvPicPr>
                    <pic:cNvPr id="0" name="engineer_page_08.png"/>
                    <pic:cNvPicPr/>
                  </pic:nvPicPr>
                  <pic:blipFill>
                    <a:blip r:embed="rId18"/>
                    <a:stretch>
                      <a:fillRect/>
                    </a:stretch>
                  </pic:blipFill>
                  <pic:spPr>
                    <a:xfrm>
                      <a:off x="0" y="0"/>
                      <a:ext cx="6192000" cy="801169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011690"/>
            <wp:docPr id="9" name="Picture 9"/>
            <wp:cNvGraphicFramePr>
              <a:graphicFrameLocks noChangeAspect="1"/>
            </wp:cNvGraphicFramePr>
            <a:graphic>
              <a:graphicData uri="http://schemas.openxmlformats.org/drawingml/2006/picture">
                <pic:pic>
                  <pic:nvPicPr>
                    <pic:cNvPr id="0" name="engineer_page_09.png"/>
                    <pic:cNvPicPr/>
                  </pic:nvPicPr>
                  <pic:blipFill>
                    <a:blip r:embed="rId19"/>
                    <a:stretch>
                      <a:fillRect/>
                    </a:stretch>
                  </pic:blipFill>
                  <pic:spPr>
                    <a:xfrm>
                      <a:off x="0" y="0"/>
                      <a:ext cx="6192000" cy="801169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011690"/>
            <wp:docPr id="10" name="Picture 10"/>
            <wp:cNvGraphicFramePr>
              <a:graphicFrameLocks noChangeAspect="1"/>
            </wp:cNvGraphicFramePr>
            <a:graphic>
              <a:graphicData uri="http://schemas.openxmlformats.org/drawingml/2006/picture">
                <pic:pic>
                  <pic:nvPicPr>
                    <pic:cNvPr id="0" name="engineer_page_10.png"/>
                    <pic:cNvPicPr/>
                  </pic:nvPicPr>
                  <pic:blipFill>
                    <a:blip r:embed="rId20"/>
                    <a:stretch>
                      <a:fillRect/>
                    </a:stretch>
                  </pic:blipFill>
                  <pic:spPr>
                    <a:xfrm>
                      <a:off x="0" y="0"/>
                      <a:ext cx="6192000" cy="801169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011690"/>
            <wp:docPr id="11" name="Picture 11"/>
            <wp:cNvGraphicFramePr>
              <a:graphicFrameLocks noChangeAspect="1"/>
            </wp:cNvGraphicFramePr>
            <a:graphic>
              <a:graphicData uri="http://schemas.openxmlformats.org/drawingml/2006/picture">
                <pic:pic>
                  <pic:nvPicPr>
                    <pic:cNvPr id="0" name="engineer_page_11.png"/>
                    <pic:cNvPicPr/>
                  </pic:nvPicPr>
                  <pic:blipFill>
                    <a:blip r:embed="rId21"/>
                    <a:stretch>
                      <a:fillRect/>
                    </a:stretch>
                  </pic:blipFill>
                  <pic:spPr>
                    <a:xfrm>
                      <a:off x="0" y="0"/>
                      <a:ext cx="6192000" cy="801169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011690"/>
            <wp:docPr id="12" name="Picture 12"/>
            <wp:cNvGraphicFramePr>
              <a:graphicFrameLocks noChangeAspect="1"/>
            </wp:cNvGraphicFramePr>
            <a:graphic>
              <a:graphicData uri="http://schemas.openxmlformats.org/drawingml/2006/picture">
                <pic:pic>
                  <pic:nvPicPr>
                    <pic:cNvPr id="0" name="engineer_page_12.png"/>
                    <pic:cNvPicPr/>
                  </pic:nvPicPr>
                  <pic:blipFill>
                    <a:blip r:embed="rId22"/>
                    <a:stretch>
                      <a:fillRect/>
                    </a:stretch>
                  </pic:blipFill>
                  <pic:spPr>
                    <a:xfrm>
                      <a:off x="0" y="0"/>
                      <a:ext cx="6192000" cy="801169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4374165"/>
            <wp:docPr id="13" name="Picture 13"/>
            <wp:cNvGraphicFramePr>
              <a:graphicFrameLocks noChangeAspect="1"/>
            </wp:cNvGraphicFramePr>
            <a:graphic>
              <a:graphicData uri="http://schemas.openxmlformats.org/drawingml/2006/picture">
                <pic:pic>
                  <pic:nvPicPr>
                    <pic:cNvPr id="0" name="engineer_page_13.png"/>
                    <pic:cNvPicPr/>
                  </pic:nvPicPr>
                  <pic:blipFill>
                    <a:blip r:embed="rId23"/>
                    <a:stretch>
                      <a:fillRect/>
                    </a:stretch>
                  </pic:blipFill>
                  <pic:spPr>
                    <a:xfrm>
                      <a:off x="0" y="0"/>
                      <a:ext cx="6192000" cy="4374165"/>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4374165"/>
            <wp:docPr id="14" name="Picture 14"/>
            <wp:cNvGraphicFramePr>
              <a:graphicFrameLocks noChangeAspect="1"/>
            </wp:cNvGraphicFramePr>
            <a:graphic>
              <a:graphicData uri="http://schemas.openxmlformats.org/drawingml/2006/picture">
                <pic:pic>
                  <pic:nvPicPr>
                    <pic:cNvPr id="0" name="engineer_page_14.png"/>
                    <pic:cNvPicPr/>
                  </pic:nvPicPr>
                  <pic:blipFill>
                    <a:blip r:embed="rId24"/>
                    <a:stretch>
                      <a:fillRect/>
                    </a:stretch>
                  </pic:blipFill>
                  <pic:spPr>
                    <a:xfrm>
                      <a:off x="0" y="0"/>
                      <a:ext cx="6192000" cy="4374165"/>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758464"/>
            <wp:docPr id="15" name="Picture 15"/>
            <wp:cNvGraphicFramePr>
              <a:graphicFrameLocks noChangeAspect="1"/>
            </wp:cNvGraphicFramePr>
            <a:graphic>
              <a:graphicData uri="http://schemas.openxmlformats.org/drawingml/2006/picture">
                <pic:pic>
                  <pic:nvPicPr>
                    <pic:cNvPr id="0" name="engineer_page_15.png"/>
                    <pic:cNvPicPr/>
                  </pic:nvPicPr>
                  <pic:blipFill>
                    <a:blip r:embed="rId25"/>
                    <a:stretch>
                      <a:fillRect/>
                    </a:stretch>
                  </pic:blipFill>
                  <pic:spPr>
                    <a:xfrm>
                      <a:off x="0" y="0"/>
                      <a:ext cx="6192000" cy="8758464"/>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758464"/>
            <wp:docPr id="16" name="Picture 16"/>
            <wp:cNvGraphicFramePr>
              <a:graphicFrameLocks noChangeAspect="1"/>
            </wp:cNvGraphicFramePr>
            <a:graphic>
              <a:graphicData uri="http://schemas.openxmlformats.org/drawingml/2006/picture">
                <pic:pic>
                  <pic:nvPicPr>
                    <pic:cNvPr id="0" name="engineer_page_16.png"/>
                    <pic:cNvPicPr/>
                  </pic:nvPicPr>
                  <pic:blipFill>
                    <a:blip r:embed="rId26"/>
                    <a:stretch>
                      <a:fillRect/>
                    </a:stretch>
                  </pic:blipFill>
                  <pic:spPr>
                    <a:xfrm>
                      <a:off x="0" y="0"/>
                      <a:ext cx="6192000" cy="8758464"/>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192000" cy="8758464"/>
            <wp:docPr id="17" name="Picture 17"/>
            <wp:cNvGraphicFramePr>
              <a:graphicFrameLocks noChangeAspect="1"/>
            </wp:cNvGraphicFramePr>
            <a:graphic>
              <a:graphicData uri="http://schemas.openxmlformats.org/drawingml/2006/picture">
                <pic:pic>
                  <pic:nvPicPr>
                    <pic:cNvPr id="0" name="engineer_page_17.png"/>
                    <pic:cNvPicPr/>
                  </pic:nvPicPr>
                  <pic:blipFill>
                    <a:blip r:embed="rId27"/>
                    <a:stretch>
                      <a:fillRect/>
                    </a:stretch>
                  </pic:blipFill>
                  <pic:spPr>
                    <a:xfrm>
                      <a:off x="0" y="0"/>
                      <a:ext cx="6192000" cy="8758464"/>
                    </a:xfrm>
                    <a:prstGeom prst="rect"/>
                  </pic:spPr>
                </pic:pic>
              </a:graphicData>
            </a:graphic>
          </wp:inline>
        </w:drawing>
      </w:r>
    </w:p>
    <w:sectPr w:rsidR="00FC693F" w:rsidRPr="0006063C" w:rsidSect="00034616">
      <w:headerReference w:type="default" r:id="rId9"/>
      <w:footerReference w:type="default" r:id="rId10"/>
      <w:pgSz w:w="12240" w:h="15840"/>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6"/>
      </w:rPr>
      <w:t>Construction Method Statement / Environmental Management Plan / RAMS  |  Revision A  |  July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color w:val="5A5A5A"/>
        <w:sz w:val="16"/>
      </w:rPr>
      <w:t>GRIFFITHS AND BARNARD LIMITED  |  MAXCROFT BARN  |  PL/2026/03869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44546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pPr>
      <w:spacing w:after="40"/>
    </w:pPr>
    <w:rPr>
      <w:rFonts w:ascii="Arial" w:hAnsi="Arial"/>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Maxcroft Barn Expanded Construction Method Statement and RAMS</dc:title>
  <dc:subject>Planning condition discharge PL/2026/03869</dc:subject>
  <dc:creator>Griffiths and Barnard Limited</dc:creator>
  <cp:keywords>Maxcroft Barn, construction method statement, canal, RAMS, PL/2026/03869</cp:keywords>
  <dc:description>generated by python-docx</dc:description>
  <cp:lastModifiedBy/>
  <cp:revision>1</cp:revision>
  <dcterms:created xsi:type="dcterms:W3CDTF">2013-12-23T23:15:00Z</dcterms:created>
  <dcterms:modified xsi:type="dcterms:W3CDTF">2013-12-23T23:15:00Z</dcterms:modified>
  <cp:category/>
</cp:coreProperties>
</file>