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7EB51"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C3B3958"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713EAA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68A1F442" w14:textId="77777777" w:rsidTr="00E474A3">
        <w:tc>
          <w:tcPr>
            <w:tcW w:w="3681" w:type="dxa"/>
          </w:tcPr>
          <w:p w14:paraId="221D7138"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E8D2A70"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PL/2026/00823</w:t>
            </w:r>
          </w:p>
        </w:tc>
      </w:tr>
      <w:tr w:rsidR="0085751B" w14:paraId="3FBEF4D1" w14:textId="77777777" w:rsidTr="00E474A3">
        <w:tc>
          <w:tcPr>
            <w:tcW w:w="3681" w:type="dxa"/>
          </w:tcPr>
          <w:p w14:paraId="2824858F"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C2482E9"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3278A9DE" w14:textId="77777777" w:rsidTr="00E474A3">
        <w:tc>
          <w:tcPr>
            <w:tcW w:w="3681" w:type="dxa"/>
          </w:tcPr>
          <w:p w14:paraId="1BC2DD67"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DB48C57"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113 High Street, Burbage, Marlborough, SN8 3AA</w:t>
            </w:r>
          </w:p>
        </w:tc>
      </w:tr>
      <w:tr w:rsidR="0085751B" w14:paraId="1535CE6F" w14:textId="77777777" w:rsidTr="00E474A3">
        <w:tc>
          <w:tcPr>
            <w:tcW w:w="3681" w:type="dxa"/>
          </w:tcPr>
          <w:p w14:paraId="5A196F55"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1CD0E6E0"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Demolition of existing lean-to utility room and replacement with new side extension to create kitchen, with associated internal alterations.</w:t>
            </w:r>
          </w:p>
        </w:tc>
      </w:tr>
      <w:tr w:rsidR="0085751B" w14:paraId="0C0C2DE6" w14:textId="77777777" w:rsidTr="00E474A3">
        <w:tc>
          <w:tcPr>
            <w:tcW w:w="3681" w:type="dxa"/>
          </w:tcPr>
          <w:p w14:paraId="4C3D2E7F"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22DA47D"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A4985E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1A2D559"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EDF766C"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75206EFA" w14:textId="5C874B00" w:rsidR="00DD1FAE" w:rsidRPr="00873AA7" w:rsidRDefault="00DD1FAE" w:rsidP="00DD1FAE">
      <w:pPr>
        <w:spacing w:after="0" w:line="276" w:lineRule="auto"/>
        <w:jc w:val="both"/>
        <w:rPr>
          <w:rFonts w:ascii="Arial" w:eastAsia="Times New Roman" w:hAnsi="Arial" w:cs="Arial"/>
          <w:color w:val="000000" w:themeColor="text1"/>
          <w:kern w:val="0"/>
          <w:sz w:val="22"/>
          <w:szCs w:val="22"/>
          <w:lang w:eastAsia="en-GB"/>
          <w14:ligatures w14:val="none"/>
        </w:rPr>
      </w:pPr>
      <w:r w:rsidRPr="00873AA7">
        <w:rPr>
          <w:rFonts w:ascii="Arial" w:eastAsia="Times New Roman" w:hAnsi="Arial" w:cs="Arial"/>
          <w:color w:val="000000" w:themeColor="text1"/>
          <w:kern w:val="0"/>
          <w:sz w:val="22"/>
          <w:szCs w:val="22"/>
          <w:lang w:eastAsia="en-GB"/>
          <w14:ligatures w14:val="none"/>
        </w:rPr>
        <w:t>The application relates to 113 High Street</w:t>
      </w:r>
      <w:r w:rsidR="00873AA7" w:rsidRPr="00873AA7">
        <w:rPr>
          <w:rFonts w:ascii="Arial" w:eastAsia="Times New Roman" w:hAnsi="Arial" w:cs="Arial"/>
          <w:color w:val="000000" w:themeColor="text1"/>
          <w:kern w:val="0"/>
          <w:sz w:val="22"/>
          <w:szCs w:val="22"/>
          <w:lang w:eastAsia="en-GB"/>
          <w14:ligatures w14:val="none"/>
        </w:rPr>
        <w:t xml:space="preserve"> in</w:t>
      </w:r>
      <w:r w:rsidRPr="00873AA7">
        <w:rPr>
          <w:rFonts w:ascii="Arial" w:eastAsia="Times New Roman" w:hAnsi="Arial" w:cs="Arial"/>
          <w:color w:val="000000" w:themeColor="text1"/>
          <w:kern w:val="0"/>
          <w:sz w:val="22"/>
          <w:szCs w:val="22"/>
          <w:lang w:eastAsia="en-GB"/>
          <w14:ligatures w14:val="none"/>
        </w:rPr>
        <w:t xml:space="preserve"> Burbage, Marlborough</w:t>
      </w:r>
      <w:r w:rsidR="00873AA7" w:rsidRPr="00873AA7">
        <w:rPr>
          <w:rFonts w:ascii="Arial" w:eastAsia="Times New Roman" w:hAnsi="Arial" w:cs="Arial"/>
          <w:color w:val="000000" w:themeColor="text1"/>
          <w:kern w:val="0"/>
          <w:sz w:val="22"/>
          <w:szCs w:val="22"/>
          <w:lang w:eastAsia="en-GB"/>
          <w14:ligatures w14:val="none"/>
        </w:rPr>
        <w:t xml:space="preserve">. It is </w:t>
      </w:r>
      <w:r w:rsidRPr="00873AA7">
        <w:rPr>
          <w:rFonts w:ascii="Arial" w:eastAsia="Times New Roman" w:hAnsi="Arial" w:cs="Arial"/>
          <w:color w:val="000000" w:themeColor="text1"/>
          <w:kern w:val="0"/>
          <w:sz w:val="22"/>
          <w:szCs w:val="22"/>
          <w:lang w:eastAsia="en-GB"/>
          <w14:ligatures w14:val="none"/>
        </w:rPr>
        <w:t>a Grade II listed building (List Entry Number: 1035916) located within the Burbage Conservation Area. The property forms one half of a pair of cottages and dates from the early eighteenth century. The principal structure comprises Flemish bond brickwork beneath a thatched roof and retains a traditional vernacular appearance which contributes positively to both its heritage significance and the character and appearance of the Conservation Area.</w:t>
      </w:r>
    </w:p>
    <w:p w14:paraId="452D64EB" w14:textId="77777777" w:rsidR="00707756" w:rsidRPr="00873AA7" w:rsidRDefault="00707756"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45F86133" w14:textId="77777777" w:rsidR="00577222" w:rsidRPr="00873AA7" w:rsidRDefault="00577222" w:rsidP="00577222">
      <w:pPr>
        <w:spacing w:after="0" w:line="276" w:lineRule="auto"/>
        <w:jc w:val="both"/>
        <w:rPr>
          <w:rFonts w:ascii="Arial" w:eastAsia="Times New Roman" w:hAnsi="Arial" w:cs="Arial"/>
          <w:color w:val="000000" w:themeColor="text1"/>
          <w:kern w:val="0"/>
          <w:sz w:val="22"/>
          <w:szCs w:val="22"/>
          <w:lang w:eastAsia="en-GB"/>
          <w14:ligatures w14:val="none"/>
        </w:rPr>
      </w:pPr>
      <w:r w:rsidRPr="00873AA7">
        <w:rPr>
          <w:rFonts w:ascii="Arial" w:eastAsia="Times New Roman" w:hAnsi="Arial" w:cs="Arial"/>
          <w:color w:val="000000" w:themeColor="text1"/>
          <w:kern w:val="0"/>
          <w:sz w:val="22"/>
          <w:szCs w:val="22"/>
          <w:lang w:eastAsia="en-GB"/>
          <w14:ligatures w14:val="none"/>
        </w:rPr>
        <w:t xml:space="preserve">The submitted Heritage Statement explains that the building comprises solid brick walls beneath a thatched roof with a catslide roof form to the rear. Internally, the building incorporates a timber frame with cob infill panels. A timber lean-to utility extension has been added against the northern gable in more recent years and </w:t>
      </w:r>
      <w:proofErr w:type="gramStart"/>
      <w:r w:rsidRPr="00873AA7">
        <w:rPr>
          <w:rFonts w:ascii="Arial" w:eastAsia="Times New Roman" w:hAnsi="Arial" w:cs="Arial"/>
          <w:color w:val="000000" w:themeColor="text1"/>
          <w:kern w:val="0"/>
          <w:sz w:val="22"/>
          <w:szCs w:val="22"/>
          <w:lang w:eastAsia="en-GB"/>
          <w14:ligatures w14:val="none"/>
        </w:rPr>
        <w:t>is described as being</w:t>
      </w:r>
      <w:proofErr w:type="gramEnd"/>
      <w:r w:rsidRPr="00873AA7">
        <w:rPr>
          <w:rFonts w:ascii="Arial" w:eastAsia="Times New Roman" w:hAnsi="Arial" w:cs="Arial"/>
          <w:color w:val="000000" w:themeColor="text1"/>
          <w:kern w:val="0"/>
          <w:sz w:val="22"/>
          <w:szCs w:val="22"/>
          <w:lang w:eastAsia="en-GB"/>
          <w14:ligatures w14:val="none"/>
        </w:rPr>
        <w:t xml:space="preserve"> of rudimentary construction with limited architectural or historic value.</w:t>
      </w:r>
    </w:p>
    <w:p w14:paraId="2094E31C" w14:textId="77777777" w:rsidR="002073DA" w:rsidRPr="00873AA7"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0AD9620C"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509314AA"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1F26E801" w14:textId="77777777" w:rsidR="00873AA7" w:rsidRPr="00AE35F9" w:rsidRDefault="00873AA7" w:rsidP="00873A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E35F9">
        <w:rPr>
          <w:rFonts w:ascii="Arial" w:eastAsia="Times New Roman" w:hAnsi="Arial" w:cs="Arial"/>
          <w:i/>
          <w:iCs/>
          <w:color w:val="000000" w:themeColor="text1"/>
          <w:kern w:val="0"/>
          <w:sz w:val="22"/>
          <w:szCs w:val="22"/>
          <w:lang w:eastAsia="en-GB"/>
          <w14:ligatures w14:val="none"/>
        </w:rPr>
        <w:t>BURBAGE HIGH STREET SU 26 SW (east side) 2/28 No 113 (Lothlorien) and 115 (Manor Cottage) GV II</w:t>
      </w:r>
    </w:p>
    <w:p w14:paraId="329F1FBE" w14:textId="77777777" w:rsidR="00873AA7" w:rsidRPr="00AE35F9" w:rsidRDefault="00873AA7" w:rsidP="00873A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1D918A67" w14:textId="77777777" w:rsidR="00873AA7" w:rsidRPr="00AE35F9" w:rsidRDefault="00873AA7" w:rsidP="00873A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E35F9">
        <w:rPr>
          <w:rFonts w:ascii="Arial" w:eastAsia="Times New Roman" w:hAnsi="Arial" w:cs="Arial"/>
          <w:i/>
          <w:iCs/>
          <w:color w:val="000000" w:themeColor="text1"/>
          <w:kern w:val="0"/>
          <w:sz w:val="22"/>
          <w:szCs w:val="22"/>
          <w:lang w:eastAsia="en-GB"/>
          <w14:ligatures w14:val="none"/>
        </w:rPr>
        <w:t xml:space="preserve">Two cottages in one block. Early C18. Flemish bond brickwork with thatched roof. Single storey and attic, each cottage of 2 bays with gable stacks and stack on party wall. No 113 has boarded "and thatched porch, and 4-panelled door. No 115 has boarded door in open gabled porch. Inner bay of each has small gable with attic </w:t>
      </w:r>
      <w:proofErr w:type="gramStart"/>
      <w:r w:rsidRPr="00AE35F9">
        <w:rPr>
          <w:rFonts w:ascii="Arial" w:eastAsia="Times New Roman" w:hAnsi="Arial" w:cs="Arial"/>
          <w:i/>
          <w:iCs/>
          <w:color w:val="000000" w:themeColor="text1"/>
          <w:kern w:val="0"/>
          <w:sz w:val="22"/>
          <w:szCs w:val="22"/>
          <w:lang w:eastAsia="en-GB"/>
          <w14:ligatures w14:val="none"/>
        </w:rPr>
        <w:t>window, and</w:t>
      </w:r>
      <w:proofErr w:type="gramEnd"/>
      <w:r w:rsidRPr="00AE35F9">
        <w:rPr>
          <w:rFonts w:ascii="Arial" w:eastAsia="Times New Roman" w:hAnsi="Arial" w:cs="Arial"/>
          <w:i/>
          <w:iCs/>
          <w:color w:val="000000" w:themeColor="text1"/>
          <w:kern w:val="0"/>
          <w:sz w:val="22"/>
          <w:szCs w:val="22"/>
          <w:lang w:eastAsia="en-GB"/>
          <w14:ligatures w14:val="none"/>
        </w:rPr>
        <w:t xml:space="preserve"> faced with mathematical tiling. Leaded windows to 113, paned windows to 115. Flush dormers to outer bays. Interior not seen, may be of interest.</w:t>
      </w:r>
    </w:p>
    <w:p w14:paraId="737744BE" w14:textId="77777777" w:rsidR="00873AA7" w:rsidRPr="00AE35F9" w:rsidRDefault="00873AA7" w:rsidP="00873A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4195171F" w14:textId="77777777" w:rsidR="00873AA7" w:rsidRPr="00AE35F9" w:rsidRDefault="00873AA7" w:rsidP="00873AA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E35F9">
        <w:rPr>
          <w:rFonts w:ascii="Arial" w:eastAsia="Times New Roman" w:hAnsi="Arial" w:cs="Arial"/>
          <w:i/>
          <w:iCs/>
          <w:color w:val="000000" w:themeColor="text1"/>
          <w:kern w:val="0"/>
          <w:sz w:val="22"/>
          <w:szCs w:val="22"/>
          <w:lang w:eastAsia="en-GB"/>
          <w14:ligatures w14:val="none"/>
        </w:rPr>
        <w:t>Listing NGR: SU2302061477</w:t>
      </w:r>
    </w:p>
    <w:p w14:paraId="6F164970"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450C4ECA"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437740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D431078" w14:textId="77777777" w:rsidR="00C1617E" w:rsidRPr="00956CAB" w:rsidRDefault="00C1617E" w:rsidP="00C1617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56CAB">
        <w:rPr>
          <w:rFonts w:ascii="Arial" w:eastAsia="Times New Roman" w:hAnsi="Arial" w:cs="Arial"/>
          <w:color w:val="000000" w:themeColor="text1"/>
          <w:kern w:val="0"/>
          <w:sz w:val="22"/>
          <w:szCs w:val="22"/>
          <w:lang w:eastAsia="en-GB"/>
          <w14:ligatures w14:val="none"/>
        </w:rPr>
        <w:t>Listed Building Consent is sought for:</w:t>
      </w:r>
    </w:p>
    <w:p w14:paraId="60DB89DC" w14:textId="77777777" w:rsidR="00C1617E" w:rsidRPr="00956CAB" w:rsidRDefault="00C1617E" w:rsidP="00C1617E">
      <w:pPr>
        <w:numPr>
          <w:ilvl w:val="0"/>
          <w:numId w:val="2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56CAB">
        <w:rPr>
          <w:rFonts w:ascii="Arial" w:eastAsia="Times New Roman" w:hAnsi="Arial" w:cs="Arial"/>
          <w:color w:val="000000" w:themeColor="text1"/>
          <w:kern w:val="0"/>
          <w:sz w:val="22"/>
          <w:szCs w:val="22"/>
          <w:lang w:eastAsia="en-GB"/>
          <w14:ligatures w14:val="none"/>
        </w:rPr>
        <w:t>Demolition of the existing lean-to utility room attached to the northern side elevation.</w:t>
      </w:r>
    </w:p>
    <w:p w14:paraId="61449496" w14:textId="77777777" w:rsidR="00C1617E" w:rsidRPr="00956CAB" w:rsidRDefault="00C1617E" w:rsidP="00C1617E">
      <w:pPr>
        <w:numPr>
          <w:ilvl w:val="0"/>
          <w:numId w:val="2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56CAB">
        <w:rPr>
          <w:rFonts w:ascii="Arial" w:eastAsia="Times New Roman" w:hAnsi="Arial" w:cs="Arial"/>
          <w:color w:val="000000" w:themeColor="text1"/>
          <w:kern w:val="0"/>
          <w:sz w:val="22"/>
          <w:szCs w:val="22"/>
          <w:lang w:eastAsia="en-GB"/>
          <w14:ligatures w14:val="none"/>
        </w:rPr>
        <w:t>Construction of a replacement side extension to provide a kitchen and cloakroom.</w:t>
      </w:r>
    </w:p>
    <w:p w14:paraId="1F052C44" w14:textId="201B7EC2" w:rsidR="00C1617E" w:rsidRPr="00956CAB" w:rsidRDefault="00C1617E" w:rsidP="00C1617E">
      <w:pPr>
        <w:numPr>
          <w:ilvl w:val="0"/>
          <w:numId w:val="2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56CAB">
        <w:rPr>
          <w:rFonts w:ascii="Arial" w:eastAsia="Times New Roman" w:hAnsi="Arial" w:cs="Arial"/>
          <w:color w:val="000000" w:themeColor="text1"/>
          <w:kern w:val="0"/>
          <w:sz w:val="22"/>
          <w:szCs w:val="22"/>
          <w:lang w:eastAsia="en-GB"/>
          <w14:ligatures w14:val="none"/>
        </w:rPr>
        <w:t xml:space="preserve">Associated internal alterations including the formation of a new doorway opening within the existing building and infilling of an existing opening. </w:t>
      </w:r>
    </w:p>
    <w:p w14:paraId="307CDE36" w14:textId="77777777" w:rsidR="00956CAB" w:rsidRPr="00956CAB" w:rsidRDefault="00956CAB" w:rsidP="00956CAB">
      <w:pPr>
        <w:spacing w:after="0" w:line="276" w:lineRule="auto"/>
        <w:ind w:left="720"/>
        <w:jc w:val="both"/>
        <w:outlineLvl w:val="2"/>
        <w:rPr>
          <w:rFonts w:ascii="Arial" w:eastAsia="Times New Roman" w:hAnsi="Arial" w:cs="Arial"/>
          <w:color w:val="000000" w:themeColor="text1"/>
          <w:kern w:val="0"/>
          <w:sz w:val="22"/>
          <w:szCs w:val="22"/>
          <w:lang w:eastAsia="en-GB"/>
          <w14:ligatures w14:val="none"/>
        </w:rPr>
      </w:pPr>
    </w:p>
    <w:p w14:paraId="247FE427" w14:textId="350D1F59" w:rsidR="00C1617E" w:rsidRPr="00956CAB" w:rsidRDefault="00C1617E" w:rsidP="00C1617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56CAB">
        <w:rPr>
          <w:rFonts w:ascii="Arial" w:eastAsia="Times New Roman" w:hAnsi="Arial" w:cs="Arial"/>
          <w:color w:val="000000" w:themeColor="text1"/>
          <w:kern w:val="0"/>
          <w:sz w:val="22"/>
          <w:szCs w:val="22"/>
          <w:lang w:eastAsia="en-GB"/>
          <w14:ligatures w14:val="none"/>
        </w:rPr>
        <w:t>The replacement extension would utilise a traditional design approach and matching materials, including brick walling, painted timber joinery and a slate roof.</w:t>
      </w:r>
    </w:p>
    <w:p w14:paraId="450B0D61"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540D0A78"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3577B5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9A89A6B" w14:textId="77777777" w:rsidR="00B747D6" w:rsidRPr="00AD1688" w:rsidRDefault="00B747D6" w:rsidP="00B747D6">
      <w:pPr>
        <w:spacing w:after="0" w:line="276" w:lineRule="auto"/>
        <w:jc w:val="both"/>
        <w:rPr>
          <w:rFonts w:ascii="Arial" w:eastAsia="Times New Roman" w:hAnsi="Arial" w:cs="Arial"/>
          <w:kern w:val="0"/>
          <w:sz w:val="22"/>
          <w:szCs w:val="22"/>
          <w:lang w:eastAsia="en-GB"/>
          <w14:ligatures w14:val="none"/>
        </w:rPr>
      </w:pPr>
      <w:r w:rsidRPr="00AD1688">
        <w:rPr>
          <w:rFonts w:ascii="Arial" w:eastAsia="Times New Roman" w:hAnsi="Arial" w:cs="Arial"/>
          <w:kern w:val="0"/>
          <w:sz w:val="22"/>
          <w:szCs w:val="22"/>
          <w:lang w:eastAsia="en-GB"/>
          <w14:ligatures w14:val="none"/>
        </w:rPr>
        <w:t>E/10/0223/FUL - Change of use of former telephone exchange to ancillary residential accommodation. Approved with Conditions 12</w:t>
      </w:r>
      <w:r w:rsidRPr="00AD1688">
        <w:rPr>
          <w:rFonts w:ascii="Arial" w:eastAsia="Times New Roman" w:hAnsi="Arial" w:cs="Arial"/>
          <w:kern w:val="0"/>
          <w:sz w:val="22"/>
          <w:szCs w:val="22"/>
          <w:vertAlign w:val="superscript"/>
          <w:lang w:eastAsia="en-GB"/>
          <w14:ligatures w14:val="none"/>
        </w:rPr>
        <w:t>th</w:t>
      </w:r>
      <w:r w:rsidRPr="00AD1688">
        <w:rPr>
          <w:rFonts w:ascii="Arial" w:eastAsia="Times New Roman" w:hAnsi="Arial" w:cs="Arial"/>
          <w:kern w:val="0"/>
          <w:sz w:val="22"/>
          <w:szCs w:val="22"/>
          <w:lang w:eastAsia="en-GB"/>
          <w14:ligatures w14:val="none"/>
        </w:rPr>
        <w:t xml:space="preserve"> April 2010.</w:t>
      </w:r>
    </w:p>
    <w:p w14:paraId="6438C99E" w14:textId="77777777" w:rsidR="00B747D6" w:rsidRPr="00AD1688" w:rsidRDefault="00B747D6" w:rsidP="00B747D6">
      <w:pPr>
        <w:spacing w:after="0" w:line="276" w:lineRule="auto"/>
        <w:jc w:val="both"/>
        <w:rPr>
          <w:rFonts w:ascii="Arial" w:eastAsia="Times New Roman" w:hAnsi="Arial" w:cs="Arial"/>
          <w:kern w:val="0"/>
          <w:sz w:val="22"/>
          <w:szCs w:val="22"/>
          <w:lang w:eastAsia="en-GB"/>
          <w14:ligatures w14:val="none"/>
        </w:rPr>
      </w:pPr>
    </w:p>
    <w:p w14:paraId="11B059A2" w14:textId="64EA6EBE" w:rsidR="002941BD" w:rsidRPr="00B747D6" w:rsidRDefault="00B747D6" w:rsidP="00683C17">
      <w:pPr>
        <w:spacing w:after="0" w:line="276" w:lineRule="auto"/>
        <w:jc w:val="both"/>
        <w:rPr>
          <w:rFonts w:ascii="Arial" w:eastAsia="Times New Roman" w:hAnsi="Arial" w:cs="Arial"/>
          <w:kern w:val="0"/>
          <w:sz w:val="22"/>
          <w:szCs w:val="22"/>
          <w:lang w:eastAsia="en-GB"/>
          <w14:ligatures w14:val="none"/>
        </w:rPr>
      </w:pPr>
      <w:r w:rsidRPr="00AD1688">
        <w:rPr>
          <w:rFonts w:ascii="Arial" w:eastAsia="Times New Roman" w:hAnsi="Arial" w:cs="Arial"/>
          <w:kern w:val="0"/>
          <w:sz w:val="22"/>
          <w:szCs w:val="22"/>
          <w:lang w:eastAsia="en-GB"/>
          <w14:ligatures w14:val="none"/>
        </w:rPr>
        <w:t>13/04535/LBC - Replacement of rotting windows with new hardwood painted windows. Approved with conditions 28</w:t>
      </w:r>
      <w:r w:rsidRPr="00AD1688">
        <w:rPr>
          <w:rFonts w:ascii="Arial" w:eastAsia="Times New Roman" w:hAnsi="Arial" w:cs="Arial"/>
          <w:kern w:val="0"/>
          <w:sz w:val="22"/>
          <w:szCs w:val="22"/>
          <w:vertAlign w:val="superscript"/>
          <w:lang w:eastAsia="en-GB"/>
          <w14:ligatures w14:val="none"/>
        </w:rPr>
        <w:t>th</w:t>
      </w:r>
      <w:r w:rsidRPr="00AD1688">
        <w:rPr>
          <w:rFonts w:ascii="Arial" w:eastAsia="Times New Roman" w:hAnsi="Arial" w:cs="Arial"/>
          <w:kern w:val="0"/>
          <w:sz w:val="22"/>
          <w:szCs w:val="22"/>
          <w:lang w:eastAsia="en-GB"/>
          <w14:ligatures w14:val="none"/>
        </w:rPr>
        <w:t xml:space="preserve"> November 2013.</w:t>
      </w:r>
    </w:p>
    <w:p w14:paraId="356B54D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1A3D19D" w14:textId="12983F7B"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34AD75BD"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7D8A9751"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8DBFF74"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AE3D6E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1B7A2D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CEE42C3"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4BE96332" w14:textId="77777777" w:rsidR="00E20ADE" w:rsidRPr="00E20ADE" w:rsidRDefault="00E20ADE" w:rsidP="00E20ADE">
      <w:pPr>
        <w:spacing w:after="0" w:line="276" w:lineRule="auto"/>
        <w:jc w:val="both"/>
        <w:rPr>
          <w:rFonts w:ascii="Arial" w:hAnsi="Arial" w:cs="Arial"/>
          <w:sz w:val="22"/>
          <w:szCs w:val="22"/>
        </w:rPr>
      </w:pPr>
      <w:r w:rsidRPr="00E20ADE">
        <w:rPr>
          <w:rFonts w:ascii="Arial" w:hAnsi="Arial" w:cs="Arial"/>
          <w:sz w:val="22"/>
          <w:szCs w:val="22"/>
        </w:rPr>
        <w:t>The National Planning Policy Framework (NPPF) sets out government policy, including in respect of the historic environment.</w:t>
      </w:r>
    </w:p>
    <w:p w14:paraId="5A07245F" w14:textId="77777777" w:rsidR="00E20ADE" w:rsidRDefault="00E20ADE" w:rsidP="00E20ADE">
      <w:pPr>
        <w:spacing w:after="0" w:line="276" w:lineRule="auto"/>
        <w:jc w:val="both"/>
        <w:rPr>
          <w:rFonts w:ascii="Arial" w:hAnsi="Arial" w:cs="Arial"/>
          <w:sz w:val="22"/>
          <w:szCs w:val="22"/>
        </w:rPr>
      </w:pPr>
    </w:p>
    <w:p w14:paraId="538F65C8" w14:textId="415B446D" w:rsidR="00E20ADE" w:rsidRPr="00E20ADE" w:rsidRDefault="00E20ADE" w:rsidP="00E20ADE">
      <w:pPr>
        <w:spacing w:after="0" w:line="276" w:lineRule="auto"/>
        <w:jc w:val="both"/>
        <w:rPr>
          <w:rFonts w:ascii="Arial" w:hAnsi="Arial" w:cs="Arial"/>
          <w:sz w:val="22"/>
          <w:szCs w:val="22"/>
        </w:rPr>
      </w:pPr>
      <w:r w:rsidRPr="00E20ADE">
        <w:rPr>
          <w:rFonts w:ascii="Arial" w:hAnsi="Arial" w:cs="Arial"/>
          <w:sz w:val="22"/>
          <w:szCs w:val="22"/>
        </w:rPr>
        <w:t xml:space="preserve">Chapter 16 of the National Planning Policy Framework sets out national policy for conserving and enhancing the historic environment. It requires decision-makers to take account of the desirability of sustaining and enhancing the significance of heritage assets and to give great weight to the conservation of designated heritage assets. Where harm is </w:t>
      </w:r>
      <w:proofErr w:type="gramStart"/>
      <w:r w:rsidRPr="00E20ADE">
        <w:rPr>
          <w:rFonts w:ascii="Arial" w:hAnsi="Arial" w:cs="Arial"/>
          <w:sz w:val="22"/>
          <w:szCs w:val="22"/>
        </w:rPr>
        <w:t>identified,</w:t>
      </w:r>
      <w:proofErr w:type="gramEnd"/>
      <w:r w:rsidRPr="00E20ADE">
        <w:rPr>
          <w:rFonts w:ascii="Arial" w:hAnsi="Arial" w:cs="Arial"/>
          <w:sz w:val="22"/>
          <w:szCs w:val="22"/>
        </w:rPr>
        <w:t xml:space="preserve"> that harm must be clearly justified and weighed in accordance with the relevant provisions of Chapter 16.</w:t>
      </w:r>
    </w:p>
    <w:p w14:paraId="4CE87366" w14:textId="77777777" w:rsidR="00E20ADE" w:rsidRDefault="00E20ADE" w:rsidP="00E20ADE">
      <w:pPr>
        <w:spacing w:after="0" w:line="276" w:lineRule="auto"/>
        <w:jc w:val="both"/>
        <w:rPr>
          <w:rFonts w:ascii="Arial" w:hAnsi="Arial" w:cs="Arial"/>
          <w:sz w:val="22"/>
          <w:szCs w:val="22"/>
        </w:rPr>
      </w:pPr>
    </w:p>
    <w:p w14:paraId="3F4083B8" w14:textId="5F0B3B22" w:rsidR="00E20ADE" w:rsidRPr="00E20ADE" w:rsidRDefault="00E20ADE" w:rsidP="00E20ADE">
      <w:pPr>
        <w:spacing w:after="0" w:line="276" w:lineRule="auto"/>
        <w:jc w:val="both"/>
        <w:rPr>
          <w:rFonts w:ascii="Arial" w:hAnsi="Arial" w:cs="Arial"/>
          <w:sz w:val="22"/>
          <w:szCs w:val="22"/>
        </w:rPr>
      </w:pPr>
      <w:r w:rsidRPr="00E20ADE">
        <w:rPr>
          <w:rFonts w:ascii="Arial" w:hAnsi="Arial" w:cs="Arial"/>
          <w:sz w:val="22"/>
          <w:szCs w:val="22"/>
        </w:rPr>
        <w:t>National Planning Practice Guidance provides guidance on interpreting the NPPF.</w:t>
      </w:r>
    </w:p>
    <w:p w14:paraId="5FD3A4D9" w14:textId="77777777" w:rsidR="00507FCF" w:rsidRPr="00507FCF" w:rsidRDefault="00507FCF" w:rsidP="00507FCF">
      <w:pPr>
        <w:spacing w:after="0" w:line="276" w:lineRule="auto"/>
        <w:jc w:val="both"/>
        <w:rPr>
          <w:rFonts w:ascii="Arial" w:hAnsi="Arial" w:cs="Arial"/>
          <w:sz w:val="22"/>
          <w:szCs w:val="22"/>
          <w:lang w:eastAsia="en-GB"/>
        </w:rPr>
      </w:pPr>
    </w:p>
    <w:p w14:paraId="5568148A"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14E8C7B4" w14:textId="77777777" w:rsidR="00507FCF" w:rsidRPr="00507FCF" w:rsidRDefault="00507FCF" w:rsidP="00507FCF">
      <w:pPr>
        <w:spacing w:after="0" w:line="276" w:lineRule="auto"/>
        <w:jc w:val="both"/>
        <w:rPr>
          <w:rFonts w:ascii="Arial" w:hAnsi="Arial" w:cs="Arial"/>
          <w:sz w:val="22"/>
          <w:szCs w:val="22"/>
          <w:lang w:eastAsia="en-GB"/>
        </w:rPr>
      </w:pPr>
    </w:p>
    <w:p w14:paraId="0EFD3F38" w14:textId="2557497C" w:rsidR="00507FCF" w:rsidRPr="00CB7792" w:rsidRDefault="00507FCF" w:rsidP="00614777">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r w:rsidR="00614777">
        <w:rPr>
          <w:rFonts w:ascii="Arial" w:hAnsi="Arial" w:cs="Arial"/>
          <w:sz w:val="22"/>
          <w:szCs w:val="22"/>
          <w:lang w:eastAsia="en-GB"/>
        </w:rPr>
        <w:t>.</w:t>
      </w:r>
    </w:p>
    <w:p w14:paraId="246EF98C"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50683E29"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4A257D9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B50DE42"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086B44E0"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lastRenderedPageBreak/>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3DF003" w14:textId="77777777" w:rsidR="00384CE5" w:rsidRPr="00C84F43" w:rsidRDefault="00384CE5" w:rsidP="00465B83">
      <w:pPr>
        <w:spacing w:after="0" w:line="276" w:lineRule="auto"/>
        <w:jc w:val="both"/>
        <w:rPr>
          <w:rFonts w:ascii="Arial" w:hAnsi="Arial" w:cs="Arial"/>
          <w:iCs/>
          <w:sz w:val="22"/>
          <w:szCs w:val="22"/>
        </w:rPr>
      </w:pPr>
    </w:p>
    <w:p w14:paraId="612D6420"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56712F1" w14:textId="77777777" w:rsidR="00465B83" w:rsidRPr="00465B83" w:rsidRDefault="00465B83" w:rsidP="00FC44D1">
      <w:pPr>
        <w:spacing w:after="0" w:line="276" w:lineRule="auto"/>
        <w:jc w:val="both"/>
        <w:rPr>
          <w:rFonts w:ascii="Arial" w:hAnsi="Arial" w:cs="Arial"/>
          <w:iCs/>
          <w:sz w:val="22"/>
          <w:szCs w:val="22"/>
        </w:rPr>
      </w:pPr>
    </w:p>
    <w:p w14:paraId="7E4E6FEE"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2228E923"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168497F1"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77C5C32D" w14:textId="77777777" w:rsidR="0062089F" w:rsidRDefault="0062089F" w:rsidP="00CD3444">
      <w:pPr>
        <w:spacing w:after="0" w:line="276" w:lineRule="auto"/>
        <w:jc w:val="both"/>
        <w:rPr>
          <w:rFonts w:ascii="Arial" w:hAnsi="Arial" w:cs="Arial"/>
          <w:bCs/>
          <w:color w:val="000000"/>
        </w:rPr>
      </w:pPr>
    </w:p>
    <w:p w14:paraId="78DD9240"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74099A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453BE57"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BB9D032" w14:textId="77777777" w:rsidR="00D902FA" w:rsidRPr="00D20BE0" w:rsidRDefault="00D902FA"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4E3D7828" w14:textId="021B9942" w:rsidR="00D20BE0" w:rsidRPr="00D20BE0" w:rsidRDefault="00D20BE0"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D20BE0">
        <w:rPr>
          <w:rFonts w:ascii="Arial" w:eastAsia="Times New Roman" w:hAnsi="Arial" w:cs="Arial"/>
          <w:color w:val="000000" w:themeColor="text1"/>
          <w:kern w:val="0"/>
          <w:sz w:val="22"/>
          <w:szCs w:val="22"/>
          <w:u w:val="single"/>
          <w:lang w:eastAsia="en-GB"/>
          <w14:ligatures w14:val="none"/>
        </w:rPr>
        <w:t>Burbage Parish Council</w:t>
      </w:r>
      <w:r w:rsidRPr="00D20BE0">
        <w:rPr>
          <w:rFonts w:ascii="Arial" w:eastAsia="Times New Roman" w:hAnsi="Arial" w:cs="Arial"/>
          <w:color w:val="000000" w:themeColor="text1"/>
          <w:kern w:val="0"/>
          <w:sz w:val="22"/>
          <w:szCs w:val="22"/>
          <w:lang w:eastAsia="en-GB"/>
          <w14:ligatures w14:val="none"/>
        </w:rPr>
        <w:t>: No response received at the time of writing.</w:t>
      </w:r>
    </w:p>
    <w:p w14:paraId="175721BC" w14:textId="77777777" w:rsidR="00D20BE0" w:rsidRPr="001E028F" w:rsidRDefault="00D20BE0" w:rsidP="00D902FA">
      <w:pPr>
        <w:spacing w:after="0" w:line="276" w:lineRule="auto"/>
        <w:jc w:val="both"/>
        <w:rPr>
          <w:rFonts w:ascii="Arial" w:eastAsia="Times New Roman" w:hAnsi="Arial" w:cs="Arial"/>
          <w:b/>
          <w:bCs/>
          <w:color w:val="FF0000"/>
          <w:kern w:val="0"/>
          <w:sz w:val="22"/>
          <w:szCs w:val="22"/>
          <w:lang w:eastAsia="en-GB"/>
          <w14:ligatures w14:val="none"/>
        </w:rPr>
      </w:pPr>
    </w:p>
    <w:p w14:paraId="7274D7AA" w14:textId="77D84CE7" w:rsidR="00D902FA" w:rsidRPr="001E028F" w:rsidRDefault="001E028F"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1E028F">
        <w:rPr>
          <w:rFonts w:ascii="Arial" w:eastAsia="Times New Roman" w:hAnsi="Arial" w:cs="Arial"/>
          <w:color w:val="000000" w:themeColor="text1"/>
          <w:kern w:val="0"/>
          <w:sz w:val="22"/>
          <w:szCs w:val="22"/>
          <w:u w:val="single"/>
          <w:lang w:eastAsia="en-GB"/>
          <w14:ligatures w14:val="none"/>
        </w:rPr>
        <w:t>WC Conservation</w:t>
      </w:r>
      <w:r w:rsidRPr="001E028F">
        <w:rPr>
          <w:rFonts w:ascii="Arial" w:eastAsia="Times New Roman" w:hAnsi="Arial" w:cs="Arial"/>
          <w:color w:val="000000" w:themeColor="text1"/>
          <w:kern w:val="0"/>
          <w:sz w:val="22"/>
          <w:szCs w:val="22"/>
          <w:lang w:eastAsia="en-GB"/>
          <w14:ligatures w14:val="none"/>
        </w:rPr>
        <w:t>: No objection subject to conditions.</w:t>
      </w:r>
    </w:p>
    <w:p w14:paraId="07829C3B"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8B0467F" w14:textId="5915751F"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1591B500" w14:textId="77777777" w:rsidR="00B030C6" w:rsidRPr="00475AA8" w:rsidRDefault="00B030C6" w:rsidP="00E03DF5">
      <w:pPr>
        <w:spacing w:after="0" w:line="276" w:lineRule="auto"/>
        <w:jc w:val="both"/>
        <w:rPr>
          <w:rFonts w:ascii="Arial" w:eastAsia="Arial" w:hAnsi="Arial" w:cs="Arial"/>
          <w:color w:val="ED0000"/>
          <w:sz w:val="22"/>
          <w:szCs w:val="22"/>
        </w:rPr>
      </w:pPr>
    </w:p>
    <w:p w14:paraId="11D97F6B"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5FF9EB1C" w14:textId="77777777" w:rsidR="00E03DF5" w:rsidRPr="00E03DF5" w:rsidRDefault="00E03DF5" w:rsidP="00E03DF5">
      <w:pPr>
        <w:spacing w:after="0" w:line="276" w:lineRule="auto"/>
        <w:jc w:val="both"/>
        <w:rPr>
          <w:rFonts w:ascii="Arial" w:eastAsia="Arial" w:hAnsi="Arial" w:cs="Arial"/>
          <w:sz w:val="22"/>
          <w:szCs w:val="22"/>
        </w:rPr>
      </w:pPr>
    </w:p>
    <w:p w14:paraId="11BD76B4"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2C7F8F97"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34B4502C" w14:textId="77777777" w:rsidR="00E03DF5" w:rsidRDefault="00E03DF5" w:rsidP="00E03DF5">
      <w:pPr>
        <w:spacing w:after="0" w:line="276" w:lineRule="auto"/>
        <w:jc w:val="both"/>
        <w:rPr>
          <w:rFonts w:ascii="Arial" w:eastAsia="Arial" w:hAnsi="Arial" w:cs="Arial"/>
          <w:sz w:val="22"/>
          <w:szCs w:val="22"/>
        </w:rPr>
      </w:pPr>
    </w:p>
    <w:p w14:paraId="04748A4B"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5EA1EB7" w14:textId="77777777" w:rsidR="00D902FA" w:rsidRDefault="00D902FA" w:rsidP="77C81A16">
      <w:pPr>
        <w:spacing w:after="0" w:line="276" w:lineRule="auto"/>
        <w:jc w:val="both"/>
      </w:pPr>
    </w:p>
    <w:p w14:paraId="01A90031"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4B7903A2"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7C8D41A7" w14:textId="1D9B8562" w:rsidR="00475AA8" w:rsidRPr="009B1137" w:rsidRDefault="009B1137" w:rsidP="009B1137">
      <w:pPr>
        <w:pStyle w:val="ListParagraph"/>
        <w:numPr>
          <w:ilvl w:val="0"/>
          <w:numId w:val="25"/>
        </w:numPr>
        <w:spacing w:after="0" w:line="276" w:lineRule="auto"/>
        <w:jc w:val="both"/>
        <w:rPr>
          <w:rFonts w:ascii="Arial" w:eastAsia="Times New Roman" w:hAnsi="Arial" w:cs="Arial"/>
          <w:kern w:val="0"/>
          <w:sz w:val="22"/>
          <w:szCs w:val="22"/>
          <w:lang w:eastAsia="en-GB"/>
          <w14:ligatures w14:val="none"/>
        </w:rPr>
      </w:pPr>
      <w:r w:rsidRPr="009B1137">
        <w:rPr>
          <w:rFonts w:ascii="Arial" w:eastAsia="Times New Roman" w:hAnsi="Arial" w:cs="Arial"/>
          <w:kern w:val="0"/>
          <w:sz w:val="22"/>
          <w:szCs w:val="22"/>
          <w:lang w:eastAsia="en-GB"/>
          <w14:ligatures w14:val="none"/>
        </w:rPr>
        <w:t>No comments were received.</w:t>
      </w:r>
    </w:p>
    <w:p w14:paraId="02AD501D" w14:textId="77777777" w:rsidR="009B1137" w:rsidRDefault="009B1137" w:rsidP="0007377C">
      <w:pPr>
        <w:spacing w:after="0" w:line="276" w:lineRule="auto"/>
        <w:jc w:val="both"/>
        <w:rPr>
          <w:rFonts w:ascii="Arial" w:eastAsia="Times New Roman" w:hAnsi="Arial" w:cs="Arial"/>
          <w:b/>
          <w:bCs/>
          <w:kern w:val="0"/>
          <w:sz w:val="22"/>
          <w:szCs w:val="22"/>
          <w:lang w:eastAsia="en-GB"/>
          <w14:ligatures w14:val="none"/>
        </w:rPr>
      </w:pPr>
    </w:p>
    <w:p w14:paraId="521CAD3C"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12EC385"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w:t>
      </w:r>
      <w:r w:rsidRPr="00044293">
        <w:rPr>
          <w:rFonts w:ascii="Arial" w:eastAsia="Times New Roman" w:hAnsi="Arial" w:cs="Arial"/>
          <w:color w:val="000000" w:themeColor="text1"/>
          <w:kern w:val="0"/>
          <w:sz w:val="22"/>
          <w:szCs w:val="22"/>
          <w:lang w:eastAsia="en-GB"/>
          <w14:ligatures w14:val="none"/>
        </w:rPr>
        <w:lastRenderedPageBreak/>
        <w:t xml:space="preserve">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6A0F8E4B"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1D2D04C"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3F8DF9E2"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1B7BFD8" w14:textId="77777777" w:rsidR="00427E4E"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65C10C54" w14:textId="176E68D0" w:rsidR="00E25A94" w:rsidRPr="00427E4E"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A02DF16"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573393BC" w14:textId="188B9750" w:rsidR="00427E4E" w:rsidRPr="00427E4E" w:rsidRDefault="00427E4E" w:rsidP="00427E4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427E4E">
        <w:rPr>
          <w:rFonts w:ascii="Arial" w:eastAsia="Times New Roman" w:hAnsi="Arial" w:cs="Arial"/>
          <w:color w:val="000000" w:themeColor="text1"/>
          <w:kern w:val="0"/>
          <w:sz w:val="22"/>
          <w:szCs w:val="22"/>
          <w:lang w:eastAsia="en-GB"/>
          <w14:ligatures w14:val="none"/>
        </w:rPr>
        <w:t xml:space="preserve">The application has been supported by a Design &amp; Access Statement and Heritage Asset Statement prepared by A.L Associates, together with existing and proposed drawings. The submitted documents identify the significance of the listed building, describe the evolution of the site and assess the likely impacts of the proposed works. Additional information was also provided during the determination process in response to concerns raised regarding the internal alterations. </w:t>
      </w:r>
    </w:p>
    <w:p w14:paraId="1B0E9624" w14:textId="77777777" w:rsidR="00427E4E" w:rsidRPr="00427E4E" w:rsidRDefault="00427E4E" w:rsidP="00427E4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6C8143D" w14:textId="5EA11AAB" w:rsidR="00E25A94" w:rsidRPr="00427E4E" w:rsidRDefault="00427E4E"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427E4E">
        <w:rPr>
          <w:rFonts w:ascii="Arial" w:eastAsia="Times New Roman" w:hAnsi="Arial" w:cs="Arial"/>
          <w:color w:val="000000" w:themeColor="text1"/>
          <w:kern w:val="0"/>
          <w:sz w:val="22"/>
          <w:szCs w:val="22"/>
          <w:lang w:eastAsia="en-GB"/>
          <w14:ligatures w14:val="none"/>
        </w:rPr>
        <w:t>The Local Planning Authority is satisfied that sufficient information has been submitted to understand both the significance of the heritage asset and the likely impact of the proposals upon that significance.</w:t>
      </w:r>
    </w:p>
    <w:p w14:paraId="54BD4FDC"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DAD93BE"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0709E4A6"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21957B44"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7EA693B3"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77D3C7A"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A85F74C"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006D1CCB"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4F646B9"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27042324"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4C4EBB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71941BA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59F4E041"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12729F3" w14:textId="63C61272" w:rsidR="008124B3" w:rsidRDefault="008124B3" w:rsidP="008124B3">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8124B3">
        <w:rPr>
          <w:rFonts w:ascii="Arial" w:eastAsia="Times New Roman" w:hAnsi="Arial" w:cs="Arial"/>
          <w:color w:val="000000" w:themeColor="text1"/>
          <w:kern w:val="0"/>
          <w:sz w:val="22"/>
          <w:szCs w:val="22"/>
          <w:lang w:eastAsia="en-GB"/>
          <w14:ligatures w14:val="none"/>
        </w:rPr>
        <w:t>The significance of 113 High Street derives principally from its vernacular architectural form, traditional materials and surviving historic fabric. The building is an early eighteenth-century cottage constructed in Flemish bond brickwork beneath a thatched roof and forms part of a visually attractive pair of listed cottages which make a positive contribution to the Burbage Conservation Area.</w:t>
      </w:r>
    </w:p>
    <w:p w14:paraId="39C98E48" w14:textId="77777777" w:rsidR="008124B3" w:rsidRPr="008124B3" w:rsidRDefault="008124B3" w:rsidP="008124B3">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6812944" w14:textId="143CDB5F" w:rsidR="008124B3" w:rsidRDefault="008124B3" w:rsidP="008124B3">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8124B3">
        <w:rPr>
          <w:rFonts w:ascii="Arial" w:eastAsia="Times New Roman" w:hAnsi="Arial" w:cs="Arial"/>
          <w:color w:val="000000" w:themeColor="text1"/>
          <w:kern w:val="0"/>
          <w:sz w:val="22"/>
          <w:szCs w:val="22"/>
          <w:lang w:eastAsia="en-GB"/>
          <w14:ligatures w14:val="none"/>
        </w:rPr>
        <w:t>The asset derives particular significance from its historic form, traditional construction, thatched roof, brickwork, plan form and surviving fabric. The Heritage Statement identifies both historic and aesthetic value arising from the age of the building, its local vernacular character and its contribution to the High Street.</w:t>
      </w:r>
    </w:p>
    <w:p w14:paraId="2C1748A0" w14:textId="77777777" w:rsidR="008124B3" w:rsidRPr="008124B3" w:rsidRDefault="008124B3" w:rsidP="008124B3">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418F551" w14:textId="710FB58B" w:rsidR="008124B3" w:rsidRPr="008124B3" w:rsidRDefault="008124B3" w:rsidP="008124B3">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8124B3">
        <w:rPr>
          <w:rFonts w:ascii="Arial" w:eastAsia="Times New Roman" w:hAnsi="Arial" w:cs="Arial"/>
          <w:color w:val="000000" w:themeColor="text1"/>
          <w:kern w:val="0"/>
          <w:sz w:val="22"/>
          <w:szCs w:val="22"/>
          <w:lang w:eastAsia="en-GB"/>
          <w14:ligatures w14:val="none"/>
        </w:rPr>
        <w:lastRenderedPageBreak/>
        <w:t>The modern lean-to utility extension attached to the northern elevation is of considerably lesser significance. The submitted Heritage Statement describes it as a rudimentary timber structure of limited architectural and historic value and the Conservation Officer similarly considers it to be of little significance.</w:t>
      </w:r>
    </w:p>
    <w:p w14:paraId="0AA10502"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E49CCDB"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5044D110"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7B15350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7A0C5DA"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6DD33AE6"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5B876963" w14:textId="0A1C79EE"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w:t>
      </w:r>
      <w:r w:rsidR="00506F09" w:rsidRPr="00506F09">
        <w:rPr>
          <w:rFonts w:ascii="Arial" w:eastAsia="Times New Roman" w:hAnsi="Arial" w:cs="Arial"/>
          <w:color w:val="000000" w:themeColor="text1"/>
          <w:kern w:val="0"/>
          <w:sz w:val="22"/>
          <w:szCs w:val="22"/>
          <w:lang w:eastAsia="en-GB"/>
          <w14:ligatures w14:val="none"/>
        </w:rPr>
        <w:t>and the relevant provisions of Chapter 16 of the National Planning Policy Framework (NPPF)</w:t>
      </w:r>
      <w:r w:rsidRPr="008A78F9">
        <w:rPr>
          <w:rFonts w:ascii="Arial" w:eastAsia="Times New Roman" w:hAnsi="Arial" w:cs="Arial"/>
          <w:color w:val="000000" w:themeColor="text1"/>
          <w:kern w:val="0"/>
          <w:sz w:val="22"/>
          <w:szCs w:val="22"/>
          <w:lang w:eastAsia="en-GB"/>
          <w14:ligatures w14:val="none"/>
        </w:rPr>
        <w:t>, and relevant local heritage policies and guidance.</w:t>
      </w:r>
    </w:p>
    <w:p w14:paraId="74E2E117"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2E8CEC1E" w14:textId="721CB744" w:rsidR="00F931CC" w:rsidRPr="00F931CC" w:rsidRDefault="00F931CC" w:rsidP="00F931CC">
      <w:pPr>
        <w:spacing w:after="0" w:line="276" w:lineRule="auto"/>
        <w:jc w:val="both"/>
        <w:rPr>
          <w:rFonts w:ascii="Arial" w:eastAsia="Times New Roman" w:hAnsi="Arial" w:cs="Arial"/>
          <w:color w:val="000000" w:themeColor="text1"/>
          <w:kern w:val="0"/>
          <w:sz w:val="22"/>
          <w:szCs w:val="22"/>
          <w:lang w:eastAsia="en-GB"/>
          <w14:ligatures w14:val="none"/>
        </w:rPr>
      </w:pPr>
      <w:r w:rsidRPr="00F931CC">
        <w:rPr>
          <w:rFonts w:ascii="Arial" w:eastAsia="Times New Roman" w:hAnsi="Arial" w:cs="Arial"/>
          <w:color w:val="000000" w:themeColor="text1"/>
          <w:kern w:val="0"/>
          <w:sz w:val="22"/>
          <w:szCs w:val="22"/>
          <w:lang w:eastAsia="en-GB"/>
          <w14:ligatures w14:val="none"/>
        </w:rPr>
        <w:t>The existing lean-to extension is of limited significance and there is no objection in principle to its removal. Its replacement with a more traditionally designed extension represents an improvement over the existing structure and follows amendments undertaken following pre-application discussions.</w:t>
      </w:r>
    </w:p>
    <w:p w14:paraId="3779DF94" w14:textId="77777777" w:rsidR="00F931CC" w:rsidRPr="00F931CC" w:rsidRDefault="00F931CC" w:rsidP="00F931CC">
      <w:pPr>
        <w:spacing w:after="0" w:line="276" w:lineRule="auto"/>
        <w:jc w:val="both"/>
        <w:rPr>
          <w:rFonts w:ascii="Arial" w:eastAsia="Times New Roman" w:hAnsi="Arial" w:cs="Arial"/>
          <w:color w:val="000000" w:themeColor="text1"/>
          <w:kern w:val="0"/>
          <w:sz w:val="22"/>
          <w:szCs w:val="22"/>
          <w:lang w:eastAsia="en-GB"/>
          <w14:ligatures w14:val="none"/>
        </w:rPr>
      </w:pPr>
    </w:p>
    <w:p w14:paraId="6F4AF557" w14:textId="13884A7E" w:rsidR="00F931CC" w:rsidRPr="00F931CC" w:rsidRDefault="00F931CC" w:rsidP="00F931CC">
      <w:pPr>
        <w:spacing w:after="0" w:line="276" w:lineRule="auto"/>
        <w:jc w:val="both"/>
        <w:rPr>
          <w:rFonts w:ascii="Arial" w:eastAsia="Times New Roman" w:hAnsi="Arial" w:cs="Arial"/>
          <w:color w:val="000000" w:themeColor="text1"/>
          <w:kern w:val="0"/>
          <w:sz w:val="22"/>
          <w:szCs w:val="22"/>
          <w:lang w:eastAsia="en-GB"/>
          <w14:ligatures w14:val="none"/>
        </w:rPr>
      </w:pPr>
      <w:r w:rsidRPr="00F931CC">
        <w:rPr>
          <w:rFonts w:ascii="Arial" w:eastAsia="Times New Roman" w:hAnsi="Arial" w:cs="Arial"/>
          <w:color w:val="000000" w:themeColor="text1"/>
          <w:kern w:val="0"/>
          <w:sz w:val="22"/>
          <w:szCs w:val="22"/>
          <w:lang w:eastAsia="en-GB"/>
          <w14:ligatures w14:val="none"/>
        </w:rPr>
        <w:t>The Conservation Officer acknowledges that the proposed rear catslide arrangement is somewhat constrained by the existing building form but considers the solution to be functional and an appropriate response to the practical limitations associated with extending a historic thatched cottage. Whilst modern in character, the extension remains clearly legible as a later addition and would not result in physical harm to historic fabric. Consistent materials and detailing would assist in integrating the extension with the host building and limiting any visual impact upon its vernacular character.</w:t>
      </w:r>
    </w:p>
    <w:p w14:paraId="50D2FE1A" w14:textId="77777777" w:rsidR="00F931CC" w:rsidRPr="00F931CC" w:rsidRDefault="00F931CC" w:rsidP="00F931CC">
      <w:pPr>
        <w:spacing w:after="0" w:line="276" w:lineRule="auto"/>
        <w:jc w:val="both"/>
        <w:rPr>
          <w:rFonts w:ascii="Arial" w:eastAsia="Times New Roman" w:hAnsi="Arial" w:cs="Arial"/>
          <w:color w:val="000000" w:themeColor="text1"/>
          <w:kern w:val="0"/>
          <w:sz w:val="22"/>
          <w:szCs w:val="22"/>
          <w:lang w:eastAsia="en-GB"/>
          <w14:ligatures w14:val="none"/>
        </w:rPr>
      </w:pPr>
    </w:p>
    <w:p w14:paraId="5D937B5E" w14:textId="31B863FE" w:rsidR="005E10F2" w:rsidRPr="005E10F2" w:rsidRDefault="005E10F2" w:rsidP="005E10F2">
      <w:pPr>
        <w:spacing w:after="0" w:line="276" w:lineRule="auto"/>
        <w:jc w:val="both"/>
        <w:rPr>
          <w:rFonts w:ascii="Arial" w:eastAsia="Times New Roman" w:hAnsi="Arial" w:cs="Arial"/>
          <w:color w:val="000000" w:themeColor="text1"/>
          <w:kern w:val="0"/>
          <w:sz w:val="22"/>
          <w:szCs w:val="22"/>
          <w:lang w:eastAsia="en-GB"/>
          <w14:ligatures w14:val="none"/>
        </w:rPr>
      </w:pPr>
      <w:proofErr w:type="gramStart"/>
      <w:r w:rsidRPr="005E10F2">
        <w:rPr>
          <w:rFonts w:ascii="Arial" w:eastAsia="Times New Roman" w:hAnsi="Arial" w:cs="Arial"/>
          <w:color w:val="000000" w:themeColor="text1"/>
          <w:kern w:val="0"/>
          <w:sz w:val="22"/>
          <w:szCs w:val="22"/>
          <w:lang w:eastAsia="en-GB"/>
          <w14:ligatures w14:val="none"/>
        </w:rPr>
        <w:t>With regard to</w:t>
      </w:r>
      <w:proofErr w:type="gramEnd"/>
      <w:r w:rsidRPr="005E10F2">
        <w:rPr>
          <w:rFonts w:ascii="Arial" w:eastAsia="Times New Roman" w:hAnsi="Arial" w:cs="Arial"/>
          <w:color w:val="000000" w:themeColor="text1"/>
          <w:kern w:val="0"/>
          <w:sz w:val="22"/>
          <w:szCs w:val="22"/>
          <w:lang w:eastAsia="en-GB"/>
          <w14:ligatures w14:val="none"/>
        </w:rPr>
        <w:t xml:space="preserve"> the internal alterations, concerns were initially raised regarding the absence of sufficient supporting information. Additional information has subsequently been provided, including details of the affected wall, its previous alteration, later gypsum plaster and plasterboard finishes, the limited width of the proposed opening, and the proposed means of maintaining support to the upper masonry and larch pole purlin through the installation of lintels. The proposed doorway would involve localised intervention into existing </w:t>
      </w:r>
      <w:r w:rsidRPr="005E10F2">
        <w:rPr>
          <w:rFonts w:ascii="Arial" w:eastAsia="Times New Roman" w:hAnsi="Arial" w:cs="Arial"/>
          <w:color w:val="000000" w:themeColor="text1"/>
          <w:kern w:val="0"/>
          <w:sz w:val="22"/>
          <w:szCs w:val="22"/>
          <w:lang w:eastAsia="en-GB"/>
          <w14:ligatures w14:val="none"/>
        </w:rPr>
        <w:t>fabric but</w:t>
      </w:r>
      <w:r w:rsidRPr="005E10F2">
        <w:rPr>
          <w:rFonts w:ascii="Arial" w:eastAsia="Times New Roman" w:hAnsi="Arial" w:cs="Arial"/>
          <w:color w:val="000000" w:themeColor="text1"/>
          <w:kern w:val="0"/>
          <w:sz w:val="22"/>
          <w:szCs w:val="22"/>
          <w:lang w:eastAsia="en-GB"/>
          <w14:ligatures w14:val="none"/>
        </w:rPr>
        <w:t xml:space="preserve"> having considered the submitted information and the Conservation Officer’s advice, the Local Planning Authority is satisfied that the works would not result in harm to the significance of the listed building, subject to a condition requiring approval of the internal doorway elevation, section, lintel, door and method details before those works are carried out.</w:t>
      </w:r>
    </w:p>
    <w:p w14:paraId="58E2898F" w14:textId="77777777" w:rsidR="00A438E5" w:rsidRDefault="00A438E5" w:rsidP="00F931CC">
      <w:pPr>
        <w:spacing w:after="0" w:line="276" w:lineRule="auto"/>
        <w:jc w:val="both"/>
        <w:rPr>
          <w:rFonts w:ascii="Arial" w:eastAsia="Times New Roman" w:hAnsi="Arial" w:cs="Arial"/>
          <w:color w:val="000000" w:themeColor="text1"/>
          <w:kern w:val="0"/>
          <w:sz w:val="22"/>
          <w:szCs w:val="22"/>
          <w:lang w:eastAsia="en-GB"/>
          <w14:ligatures w14:val="none"/>
        </w:rPr>
      </w:pPr>
    </w:p>
    <w:p w14:paraId="523AAF71" w14:textId="711A7809" w:rsidR="00F931CC" w:rsidRDefault="002D5CF6" w:rsidP="00F931C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w:t>
      </w:r>
      <w:r w:rsidR="00F931CC" w:rsidRPr="00F931CC">
        <w:rPr>
          <w:rFonts w:ascii="Arial" w:eastAsia="Times New Roman" w:hAnsi="Arial" w:cs="Arial"/>
          <w:color w:val="000000" w:themeColor="text1"/>
          <w:kern w:val="0"/>
          <w:sz w:val="22"/>
          <w:szCs w:val="22"/>
          <w:lang w:eastAsia="en-GB"/>
          <w14:ligatures w14:val="none"/>
        </w:rPr>
        <w:t>he Conservation Officer concludes that the proposal would not cause harm to the significance of the listed building. The works would improve the functionality of the internal accommodation whilst preserving the building's special interest. A condition requiring submission of an internal elevation of the new doorway is considered necessary to safeguard historic fabric.</w:t>
      </w:r>
    </w:p>
    <w:p w14:paraId="7C7F9922" w14:textId="77777777" w:rsidR="00E020E5" w:rsidRDefault="00E020E5" w:rsidP="00F931CC">
      <w:pPr>
        <w:spacing w:after="0" w:line="276" w:lineRule="auto"/>
        <w:jc w:val="both"/>
        <w:rPr>
          <w:rFonts w:ascii="Arial" w:eastAsia="Times New Roman" w:hAnsi="Arial" w:cs="Arial"/>
          <w:color w:val="000000" w:themeColor="text1"/>
          <w:kern w:val="0"/>
          <w:sz w:val="22"/>
          <w:szCs w:val="22"/>
          <w:lang w:eastAsia="en-GB"/>
          <w14:ligatures w14:val="none"/>
        </w:rPr>
      </w:pPr>
    </w:p>
    <w:p w14:paraId="3BF2EC20" w14:textId="23F309C6" w:rsidR="00E020E5" w:rsidRPr="00F931CC" w:rsidRDefault="00E020E5" w:rsidP="00F931CC">
      <w:pPr>
        <w:spacing w:after="0" w:line="276" w:lineRule="auto"/>
        <w:jc w:val="both"/>
        <w:rPr>
          <w:rFonts w:ascii="Arial" w:eastAsia="Times New Roman" w:hAnsi="Arial" w:cs="Arial"/>
          <w:color w:val="000000" w:themeColor="text1"/>
          <w:kern w:val="0"/>
          <w:sz w:val="22"/>
          <w:szCs w:val="22"/>
          <w:lang w:eastAsia="en-GB"/>
          <w14:ligatures w14:val="none"/>
        </w:rPr>
      </w:pPr>
      <w:r w:rsidRPr="00E020E5">
        <w:rPr>
          <w:rFonts w:ascii="Arial" w:eastAsia="Times New Roman" w:hAnsi="Arial" w:cs="Arial"/>
          <w:color w:val="000000" w:themeColor="text1"/>
          <w:kern w:val="0"/>
          <w:sz w:val="22"/>
          <w:szCs w:val="22"/>
          <w:lang w:eastAsia="en-GB"/>
          <w14:ligatures w14:val="none"/>
        </w:rPr>
        <w:t xml:space="preserve">The Conservation Officer has </w:t>
      </w:r>
      <w:r>
        <w:rPr>
          <w:rFonts w:ascii="Arial" w:eastAsia="Times New Roman" w:hAnsi="Arial" w:cs="Arial"/>
          <w:color w:val="000000" w:themeColor="text1"/>
          <w:kern w:val="0"/>
          <w:sz w:val="22"/>
          <w:szCs w:val="22"/>
          <w:lang w:eastAsia="en-GB"/>
          <w14:ligatures w14:val="none"/>
        </w:rPr>
        <w:t xml:space="preserve">also </w:t>
      </w:r>
      <w:r w:rsidRPr="00E020E5">
        <w:rPr>
          <w:rFonts w:ascii="Arial" w:eastAsia="Times New Roman" w:hAnsi="Arial" w:cs="Arial"/>
          <w:color w:val="000000" w:themeColor="text1"/>
          <w:kern w:val="0"/>
          <w:sz w:val="22"/>
          <w:szCs w:val="22"/>
          <w:lang w:eastAsia="en-GB"/>
          <w14:ligatures w14:val="none"/>
        </w:rPr>
        <w:t>requested the inclusion of conditions relating to external materials, brick bond, joinery details, vents/flues and rainwater goods. These details are necessary to ensure that the final form and detailing of the works preserve the special architectural and historic interest of the listed building and can be satisfactorily secured by condition.</w:t>
      </w:r>
    </w:p>
    <w:p w14:paraId="31377F29" w14:textId="77777777" w:rsidR="00F931CC" w:rsidRPr="00F931CC" w:rsidRDefault="00F931CC" w:rsidP="00F931CC">
      <w:pPr>
        <w:spacing w:after="0" w:line="276" w:lineRule="auto"/>
        <w:jc w:val="both"/>
        <w:rPr>
          <w:rFonts w:ascii="Arial" w:eastAsia="Times New Roman" w:hAnsi="Arial" w:cs="Arial"/>
          <w:color w:val="000000" w:themeColor="text1"/>
          <w:kern w:val="0"/>
          <w:sz w:val="22"/>
          <w:szCs w:val="22"/>
          <w:lang w:eastAsia="en-GB"/>
          <w14:ligatures w14:val="none"/>
        </w:rPr>
      </w:pPr>
    </w:p>
    <w:p w14:paraId="359208CE" w14:textId="77777777" w:rsidR="007A4E9C" w:rsidRPr="007A4E9C" w:rsidRDefault="007A4E9C" w:rsidP="007A4E9C">
      <w:pPr>
        <w:spacing w:after="0" w:line="276" w:lineRule="auto"/>
        <w:jc w:val="both"/>
        <w:rPr>
          <w:rFonts w:ascii="Arial" w:eastAsia="Times New Roman" w:hAnsi="Arial" w:cs="Arial"/>
          <w:color w:val="000000" w:themeColor="text1"/>
          <w:kern w:val="0"/>
          <w:sz w:val="22"/>
          <w:szCs w:val="22"/>
          <w:lang w:eastAsia="en-GB"/>
          <w14:ligatures w14:val="none"/>
        </w:rPr>
      </w:pPr>
      <w:r w:rsidRPr="007A4E9C">
        <w:rPr>
          <w:rFonts w:ascii="Arial" w:eastAsia="Times New Roman" w:hAnsi="Arial" w:cs="Arial"/>
          <w:color w:val="000000" w:themeColor="text1"/>
          <w:kern w:val="0"/>
          <w:sz w:val="22"/>
          <w:szCs w:val="22"/>
          <w:lang w:eastAsia="en-GB"/>
          <w14:ligatures w14:val="none"/>
        </w:rPr>
        <w:t>Overall, the proposed works would preserve the special architectural and historic interest of the Grade II listed building. The removal of the existing lean-to utility structure is acceptable given its limited significance, the replacement extension would remain subservient and legible as a later addition, and the internal alterations would involve only limited intervention into fabric that has already been altered. Subject to the recommended conditions, the proposal would satisfy the statutory duty under section 16(2) of the Planning (Listed Buildings and Conservation Areas) Act 1990 and the relevant provisions of Chapter 16 of the NPPF.</w:t>
      </w:r>
    </w:p>
    <w:p w14:paraId="7E76A754"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8FE4F35"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F316A50" w14:textId="77777777" w:rsidR="00F1263F" w:rsidRPr="00706CFA" w:rsidRDefault="00F1263F" w:rsidP="00F1263F">
      <w:pPr>
        <w:spacing w:after="0" w:line="276" w:lineRule="auto"/>
        <w:jc w:val="both"/>
        <w:rPr>
          <w:rFonts w:ascii="Arial" w:eastAsia="Times New Roman" w:hAnsi="Arial" w:cs="Arial"/>
          <w:i/>
          <w:iCs/>
          <w:color w:val="FF0000"/>
          <w:sz w:val="22"/>
          <w:szCs w:val="22"/>
          <w:lang w:eastAsia="en-GB"/>
        </w:rPr>
      </w:pPr>
    </w:p>
    <w:p w14:paraId="4D99BAC3" w14:textId="130BDB65" w:rsidR="00706CFA" w:rsidRPr="00706CFA" w:rsidRDefault="00706CFA" w:rsidP="00706CFA">
      <w:pPr>
        <w:spacing w:after="0" w:line="276" w:lineRule="auto"/>
        <w:jc w:val="both"/>
        <w:rPr>
          <w:rFonts w:ascii="Arial" w:eastAsia="Times New Roman" w:hAnsi="Arial" w:cs="Arial"/>
          <w:kern w:val="0"/>
          <w:sz w:val="22"/>
          <w:szCs w:val="22"/>
          <w:lang w:eastAsia="en-GB"/>
          <w14:ligatures w14:val="none"/>
        </w:rPr>
      </w:pPr>
      <w:r w:rsidRPr="00706CFA">
        <w:rPr>
          <w:rFonts w:ascii="Arial" w:eastAsia="Times New Roman" w:hAnsi="Arial" w:cs="Arial"/>
          <w:kern w:val="0"/>
          <w:sz w:val="22"/>
          <w:szCs w:val="22"/>
          <w:lang w:eastAsia="en-GB"/>
          <w14:ligatures w14:val="none"/>
        </w:rPr>
        <w:t>The NPPF confirms that great weight should be given to the conservation of designated heritage assets and that any harm requires clear and convincing justification. In this case, the proposals would not result in harm to the significance of the listed building or its setting. The replacement extension would replace a structure of limited significance with a more sympathetic addition, whilst the internal alterations would improve the functionality and long-term usability of the dwelling without adversely affecting its special architectural or historic interest.</w:t>
      </w:r>
    </w:p>
    <w:p w14:paraId="314DC4A5" w14:textId="77777777" w:rsidR="00706CFA" w:rsidRPr="00706CFA" w:rsidRDefault="00706CFA" w:rsidP="00706CFA">
      <w:pPr>
        <w:spacing w:after="0" w:line="276" w:lineRule="auto"/>
        <w:jc w:val="both"/>
        <w:rPr>
          <w:rFonts w:ascii="Arial" w:eastAsia="Times New Roman" w:hAnsi="Arial" w:cs="Arial"/>
          <w:kern w:val="0"/>
          <w:sz w:val="22"/>
          <w:szCs w:val="22"/>
          <w:lang w:eastAsia="en-GB"/>
          <w14:ligatures w14:val="none"/>
        </w:rPr>
      </w:pPr>
    </w:p>
    <w:p w14:paraId="1D9EA641" w14:textId="6E29F977" w:rsidR="00706CFA" w:rsidRPr="00706CFA" w:rsidRDefault="00706CFA" w:rsidP="00706CFA">
      <w:pPr>
        <w:spacing w:after="0" w:line="276" w:lineRule="auto"/>
        <w:jc w:val="both"/>
        <w:rPr>
          <w:rFonts w:ascii="Arial" w:eastAsia="Times New Roman" w:hAnsi="Arial" w:cs="Arial"/>
          <w:kern w:val="0"/>
          <w:sz w:val="22"/>
          <w:szCs w:val="22"/>
          <w:lang w:eastAsia="en-GB"/>
          <w14:ligatures w14:val="none"/>
        </w:rPr>
      </w:pPr>
      <w:r w:rsidRPr="00706CFA">
        <w:rPr>
          <w:rFonts w:ascii="Arial" w:eastAsia="Times New Roman" w:hAnsi="Arial" w:cs="Arial"/>
          <w:kern w:val="0"/>
          <w:sz w:val="22"/>
          <w:szCs w:val="22"/>
          <w:lang w:eastAsia="en-GB"/>
          <w14:ligatures w14:val="none"/>
        </w:rPr>
        <w:t xml:space="preserve">Having had special regard to the desirability of preserving the listed building, its setting and those features of special architectural and historic interest which it possesses, the proposal is considered to satisfy the requirements of Section 16 of the Planning (Listed Buildings and Conservation Areas) Act 1990. The proposal also accords with the relevant provisions of Chapter 16 of the National Planning Policy Framework. </w:t>
      </w:r>
    </w:p>
    <w:p w14:paraId="4C424FDD" w14:textId="77777777" w:rsidR="00706CFA" w:rsidRPr="00706CFA" w:rsidRDefault="00706CFA" w:rsidP="00706CFA">
      <w:pPr>
        <w:spacing w:after="0" w:line="276" w:lineRule="auto"/>
        <w:jc w:val="both"/>
        <w:rPr>
          <w:rFonts w:ascii="Arial" w:eastAsia="Times New Roman" w:hAnsi="Arial" w:cs="Arial"/>
          <w:kern w:val="0"/>
          <w:sz w:val="22"/>
          <w:szCs w:val="22"/>
          <w:lang w:eastAsia="en-GB"/>
          <w14:ligatures w14:val="none"/>
        </w:rPr>
      </w:pPr>
    </w:p>
    <w:p w14:paraId="29AA0069" w14:textId="77777777" w:rsidR="00DB1525" w:rsidRPr="00DB1525" w:rsidRDefault="00DB1525" w:rsidP="00DB1525">
      <w:pPr>
        <w:spacing w:after="0" w:line="276" w:lineRule="auto"/>
        <w:jc w:val="both"/>
        <w:rPr>
          <w:rFonts w:ascii="Arial" w:eastAsia="Times New Roman" w:hAnsi="Arial" w:cs="Arial"/>
          <w:kern w:val="0"/>
          <w:sz w:val="22"/>
          <w:szCs w:val="22"/>
          <w:lang w:eastAsia="en-GB"/>
          <w14:ligatures w14:val="none"/>
        </w:rPr>
      </w:pPr>
      <w:r w:rsidRPr="00DB1525">
        <w:rPr>
          <w:rFonts w:ascii="Arial" w:eastAsia="Times New Roman" w:hAnsi="Arial" w:cs="Arial"/>
          <w:kern w:val="0"/>
          <w:sz w:val="22"/>
          <w:szCs w:val="22"/>
          <w:lang w:eastAsia="en-GB"/>
          <w14:ligatures w14:val="none"/>
        </w:rPr>
        <w:t>Listed Building Consent is therefore recommended for approval subject to conditions including the statutory time limit; compliance with the approved plans; details of external materials; brick bond to match; detailed internal elevation, section, lintel, door and method details for the proposed new doorway opening; joinery details; vents/flues; and rainwater goods.</w:t>
      </w:r>
    </w:p>
    <w:p w14:paraId="5487FDD7" w14:textId="77777777" w:rsidR="00706CFA" w:rsidRDefault="00706CFA" w:rsidP="00D3708F">
      <w:pPr>
        <w:spacing w:after="0" w:line="276" w:lineRule="auto"/>
        <w:jc w:val="both"/>
        <w:rPr>
          <w:rFonts w:ascii="Arial" w:eastAsia="Times New Roman" w:hAnsi="Arial" w:cs="Arial"/>
          <w:b/>
          <w:bCs/>
          <w:kern w:val="0"/>
          <w:sz w:val="22"/>
          <w:szCs w:val="22"/>
          <w:lang w:eastAsia="en-GB"/>
          <w14:ligatures w14:val="none"/>
        </w:rPr>
      </w:pPr>
    </w:p>
    <w:p w14:paraId="0D7498FC" w14:textId="2828840F" w:rsidR="00EA5C93" w:rsidRPr="00057734" w:rsidRDefault="00F7609E" w:rsidP="0005773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706CFA">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 xml:space="preserve">That Listed Building Consent be GRANTED, subject to </w:t>
      </w:r>
      <w:r w:rsidR="00706CFA">
        <w:rPr>
          <w:rFonts w:ascii="Arial" w:eastAsia="Times New Roman" w:hAnsi="Arial" w:cs="Arial"/>
          <w:b/>
          <w:bCs/>
          <w:kern w:val="0"/>
          <w:sz w:val="22"/>
          <w:szCs w:val="22"/>
          <w:lang w:eastAsia="en-GB"/>
          <w14:ligatures w14:val="none"/>
        </w:rPr>
        <w:t>conditions.</w:t>
      </w:r>
    </w:p>
    <w:sectPr w:rsidR="00EA5C93" w:rsidRPr="00057734"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851C5"/>
    <w:multiLevelType w:val="multilevel"/>
    <w:tmpl w:val="5B8A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F645403"/>
    <w:multiLevelType w:val="hybridMultilevel"/>
    <w:tmpl w:val="740C6D02"/>
    <w:lvl w:ilvl="0" w:tplc="0FDE219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6"/>
  </w:num>
  <w:num w:numId="3" w16cid:durableId="1181357059">
    <w:abstractNumId w:val="20"/>
  </w:num>
  <w:num w:numId="4" w16cid:durableId="1650787556">
    <w:abstractNumId w:val="13"/>
  </w:num>
  <w:num w:numId="5" w16cid:durableId="466094426">
    <w:abstractNumId w:val="22"/>
  </w:num>
  <w:num w:numId="6" w16cid:durableId="1542328013">
    <w:abstractNumId w:val="23"/>
  </w:num>
  <w:num w:numId="7" w16cid:durableId="1793137108">
    <w:abstractNumId w:val="12"/>
  </w:num>
  <w:num w:numId="8" w16cid:durableId="894196061">
    <w:abstractNumId w:val="24"/>
  </w:num>
  <w:num w:numId="9" w16cid:durableId="1582301330">
    <w:abstractNumId w:val="4"/>
  </w:num>
  <w:num w:numId="10" w16cid:durableId="1377897276">
    <w:abstractNumId w:val="10"/>
  </w:num>
  <w:num w:numId="11" w16cid:durableId="696538521">
    <w:abstractNumId w:val="11"/>
  </w:num>
  <w:num w:numId="12" w16cid:durableId="544147084">
    <w:abstractNumId w:val="14"/>
  </w:num>
  <w:num w:numId="13" w16cid:durableId="146017676">
    <w:abstractNumId w:val="8"/>
  </w:num>
  <w:num w:numId="14" w16cid:durableId="95908985">
    <w:abstractNumId w:val="9"/>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1"/>
  </w:num>
  <w:num w:numId="20" w16cid:durableId="591665408">
    <w:abstractNumId w:val="15"/>
  </w:num>
  <w:num w:numId="21" w16cid:durableId="1739472710">
    <w:abstractNumId w:val="7"/>
  </w:num>
  <w:num w:numId="22" w16cid:durableId="534393309">
    <w:abstractNumId w:val="16"/>
  </w:num>
  <w:num w:numId="23" w16cid:durableId="641421234">
    <w:abstractNumId w:val="3"/>
  </w:num>
  <w:num w:numId="24" w16cid:durableId="576987539">
    <w:abstractNumId w:val="5"/>
  </w:num>
  <w:num w:numId="25" w16cid:durableId="1917245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57734"/>
    <w:rsid w:val="0007377C"/>
    <w:rsid w:val="00080B8E"/>
    <w:rsid w:val="000904C8"/>
    <w:rsid w:val="0009569C"/>
    <w:rsid w:val="00097010"/>
    <w:rsid w:val="000B05B0"/>
    <w:rsid w:val="000B5BFA"/>
    <w:rsid w:val="000C0E31"/>
    <w:rsid w:val="000C4CA7"/>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028F"/>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D5CF6"/>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27E4E"/>
    <w:rsid w:val="004366DF"/>
    <w:rsid w:val="00465B83"/>
    <w:rsid w:val="00475AA8"/>
    <w:rsid w:val="00496BFD"/>
    <w:rsid w:val="004C35D8"/>
    <w:rsid w:val="004D23ED"/>
    <w:rsid w:val="004E6EDB"/>
    <w:rsid w:val="004F6C1C"/>
    <w:rsid w:val="00501911"/>
    <w:rsid w:val="0050216E"/>
    <w:rsid w:val="00506262"/>
    <w:rsid w:val="00506F09"/>
    <w:rsid w:val="00507FCF"/>
    <w:rsid w:val="005100B4"/>
    <w:rsid w:val="00513E22"/>
    <w:rsid w:val="0052282C"/>
    <w:rsid w:val="0054068B"/>
    <w:rsid w:val="00554987"/>
    <w:rsid w:val="005607D8"/>
    <w:rsid w:val="00577222"/>
    <w:rsid w:val="0059577B"/>
    <w:rsid w:val="005A13E7"/>
    <w:rsid w:val="005A287E"/>
    <w:rsid w:val="005C5C6C"/>
    <w:rsid w:val="005D148E"/>
    <w:rsid w:val="005E10F2"/>
    <w:rsid w:val="005E1B00"/>
    <w:rsid w:val="005F4DDB"/>
    <w:rsid w:val="006030C2"/>
    <w:rsid w:val="00614777"/>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6CFA"/>
    <w:rsid w:val="00707756"/>
    <w:rsid w:val="00732F3A"/>
    <w:rsid w:val="00793F8E"/>
    <w:rsid w:val="007A4E9C"/>
    <w:rsid w:val="007A5F42"/>
    <w:rsid w:val="007D328F"/>
    <w:rsid w:val="007E2693"/>
    <w:rsid w:val="007E32BF"/>
    <w:rsid w:val="007F46D6"/>
    <w:rsid w:val="007F5539"/>
    <w:rsid w:val="00802AEC"/>
    <w:rsid w:val="0080787A"/>
    <w:rsid w:val="008124B3"/>
    <w:rsid w:val="00832A35"/>
    <w:rsid w:val="00840A49"/>
    <w:rsid w:val="0085751B"/>
    <w:rsid w:val="0086069A"/>
    <w:rsid w:val="00873AA7"/>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56CAB"/>
    <w:rsid w:val="00970A8A"/>
    <w:rsid w:val="00970D26"/>
    <w:rsid w:val="00970F6B"/>
    <w:rsid w:val="00987651"/>
    <w:rsid w:val="009949D3"/>
    <w:rsid w:val="009A5EEC"/>
    <w:rsid w:val="009B1137"/>
    <w:rsid w:val="009C3071"/>
    <w:rsid w:val="009C3A14"/>
    <w:rsid w:val="009C3CE7"/>
    <w:rsid w:val="009D1ACE"/>
    <w:rsid w:val="009D2C79"/>
    <w:rsid w:val="009D4867"/>
    <w:rsid w:val="009E1642"/>
    <w:rsid w:val="00A03FD0"/>
    <w:rsid w:val="00A147C7"/>
    <w:rsid w:val="00A247B5"/>
    <w:rsid w:val="00A3747E"/>
    <w:rsid w:val="00A43311"/>
    <w:rsid w:val="00A438E5"/>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25190"/>
    <w:rsid w:val="00B57A45"/>
    <w:rsid w:val="00B725C9"/>
    <w:rsid w:val="00B747D6"/>
    <w:rsid w:val="00B967BC"/>
    <w:rsid w:val="00BA7F09"/>
    <w:rsid w:val="00BB1A61"/>
    <w:rsid w:val="00BD555F"/>
    <w:rsid w:val="00BE0D93"/>
    <w:rsid w:val="00BF6DBD"/>
    <w:rsid w:val="00C03935"/>
    <w:rsid w:val="00C1617E"/>
    <w:rsid w:val="00C5188C"/>
    <w:rsid w:val="00C760C4"/>
    <w:rsid w:val="00C84F43"/>
    <w:rsid w:val="00C95D87"/>
    <w:rsid w:val="00CA0A0F"/>
    <w:rsid w:val="00CA5343"/>
    <w:rsid w:val="00CB7792"/>
    <w:rsid w:val="00CD3444"/>
    <w:rsid w:val="00CE04E4"/>
    <w:rsid w:val="00CF161D"/>
    <w:rsid w:val="00D05A60"/>
    <w:rsid w:val="00D14841"/>
    <w:rsid w:val="00D20BE0"/>
    <w:rsid w:val="00D3708F"/>
    <w:rsid w:val="00D56315"/>
    <w:rsid w:val="00D64502"/>
    <w:rsid w:val="00D767DF"/>
    <w:rsid w:val="00D82D3F"/>
    <w:rsid w:val="00D87765"/>
    <w:rsid w:val="00D902FA"/>
    <w:rsid w:val="00D951CA"/>
    <w:rsid w:val="00DB1525"/>
    <w:rsid w:val="00DC00C1"/>
    <w:rsid w:val="00DC365D"/>
    <w:rsid w:val="00DD1FAE"/>
    <w:rsid w:val="00DF3F20"/>
    <w:rsid w:val="00E020E5"/>
    <w:rsid w:val="00E03DF5"/>
    <w:rsid w:val="00E20ADE"/>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14D4"/>
    <w:rsid w:val="00F7609E"/>
    <w:rsid w:val="00F82572"/>
    <w:rsid w:val="00F86303"/>
    <w:rsid w:val="00F87A22"/>
    <w:rsid w:val="00F9161E"/>
    <w:rsid w:val="00F931CC"/>
    <w:rsid w:val="00F95D62"/>
    <w:rsid w:val="00FA1351"/>
    <w:rsid w:val="00FA4285"/>
    <w:rsid w:val="00FB3099"/>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E3647"/>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C1617E"/>
    <w:rPr>
      <w:color w:val="467886" w:themeColor="hyperlink"/>
      <w:u w:val="single"/>
    </w:rPr>
  </w:style>
  <w:style w:type="character" w:styleId="UnresolvedMention">
    <w:name w:val="Unresolved Mention"/>
    <w:basedOn w:val="DefaultParagraphFont"/>
    <w:uiPriority w:val="99"/>
    <w:semiHidden/>
    <w:unhideWhenUsed/>
    <w:rsid w:val="00C16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2408</Words>
  <Characters>14261</Characters>
  <Application>Microsoft Office Word</Application>
  <DocSecurity>0</DocSecurity>
  <Lines>279</Lines>
  <Paragraphs>95</Paragraphs>
  <ScaleCrop>false</ScaleCrop>
  <Company/>
  <LinksUpToDate>false</LinksUpToDate>
  <CharactersWithSpaces>16574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salesforceId:0b8e841d-b056-41cc-864d-8ff10d8be447</dc:subject>
  <dc:creator>O'Donoghue, Ruaridh</dc:creator>
  <cp:keywords/>
  <dc:description/>
  <cp:lastModifiedBy>Leesam, Joe</cp:lastModifiedBy>
  <cp:revision>29</cp:revision>
  <dcterms:created xsi:type="dcterms:W3CDTF">2026-08-04T15:46:00Z</dcterms:created>
  <dcterms:modified xsi:type="dcterms:W3CDTF">2026-08-04T16:35:00Z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069Q300000SFzUWIA1</vt:lpwstr>
  </property>
</Properties>
</file>