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4FA4" w14:textId="77777777" w:rsidR="008C0581" w:rsidRPr="002D0523" w:rsidRDefault="008D730C">
      <w:pPr>
        <w:spacing w:before="240" w:after="40"/>
        <w:rPr>
          <w:rFonts w:ascii="Calibri" w:hAnsi="Calibri" w:cs="Calibri"/>
          <w:sz w:val="24"/>
          <w:szCs w:val="28"/>
          <w:lang w:val="en-GB"/>
        </w:rPr>
      </w:pPr>
      <w:r w:rsidRPr="002D0523">
        <w:rPr>
          <w:rFonts w:ascii="Calibri" w:hAnsi="Calibri" w:cs="Calibri"/>
          <w:b/>
          <w:color w:val="1F4E79"/>
          <w:sz w:val="32"/>
          <w:szCs w:val="28"/>
          <w:lang w:val="en-GB"/>
        </w:rPr>
        <w:t>CHERHILL PARISH COUNCIL</w:t>
      </w:r>
    </w:p>
    <w:p w14:paraId="2B532032" w14:textId="77777777" w:rsidR="008C0581" w:rsidRPr="00E91A5B" w:rsidRDefault="008D730C">
      <w:pPr>
        <w:spacing w:after="80"/>
        <w:rPr>
          <w:rFonts w:ascii="Calibri" w:hAnsi="Calibri" w:cs="Calibri"/>
          <w:lang w:val="en-GB"/>
        </w:rPr>
      </w:pPr>
      <w:r w:rsidRPr="00E91A5B">
        <w:rPr>
          <w:rFonts w:ascii="Calibri" w:hAnsi="Calibri" w:cs="Calibri"/>
          <w:b/>
          <w:color w:val="17365D"/>
          <w:sz w:val="48"/>
          <w:lang w:val="en-GB"/>
        </w:rPr>
        <w:t>Consultation Response</w:t>
      </w:r>
    </w:p>
    <w:p w14:paraId="2F06DAEF" w14:textId="77777777" w:rsidR="008C0581" w:rsidRPr="00E91A5B" w:rsidRDefault="008D730C">
      <w:pPr>
        <w:spacing w:after="280"/>
        <w:rPr>
          <w:rFonts w:ascii="Calibri" w:hAnsi="Calibri" w:cs="Calibri"/>
          <w:lang w:val="en-GB"/>
        </w:rPr>
      </w:pPr>
      <w:r w:rsidRPr="00E91A5B">
        <w:rPr>
          <w:rFonts w:ascii="Calibri" w:hAnsi="Calibri" w:cs="Calibri"/>
          <w:color w:val="666666"/>
          <w:sz w:val="26"/>
          <w:lang w:val="en-GB"/>
        </w:rPr>
        <w:t>Farm shop and café, land off Quemerford Road, Calne</w:t>
      </w:r>
    </w:p>
    <w:p w14:paraId="3509C237" w14:textId="77777777" w:rsidR="008C0581" w:rsidRPr="002D0523" w:rsidRDefault="008D730C">
      <w:pPr>
        <w:spacing w:after="40"/>
        <w:rPr>
          <w:rFonts w:ascii="Calibri" w:hAnsi="Calibri" w:cs="Calibri"/>
          <w:sz w:val="22"/>
          <w:szCs w:val="24"/>
          <w:lang w:val="en-GB"/>
        </w:rPr>
      </w:pPr>
      <w:r w:rsidRPr="002D0523">
        <w:rPr>
          <w:rFonts w:ascii="Calibri" w:hAnsi="Calibri" w:cs="Calibri"/>
          <w:b/>
          <w:color w:val="17365D"/>
          <w:sz w:val="22"/>
          <w:szCs w:val="24"/>
          <w:lang w:val="en-GB"/>
        </w:rPr>
        <w:t xml:space="preserve">Application: </w:t>
      </w:r>
      <w:r w:rsidRPr="002D0523">
        <w:rPr>
          <w:rFonts w:ascii="Calibri" w:hAnsi="Calibri" w:cs="Calibri"/>
          <w:color w:val="000000"/>
          <w:sz w:val="22"/>
          <w:szCs w:val="24"/>
          <w:lang w:val="en-GB"/>
        </w:rPr>
        <w:t>PL/2026/03392</w:t>
      </w:r>
    </w:p>
    <w:p w14:paraId="526C8515" w14:textId="31F437C9" w:rsidR="008C0581" w:rsidRPr="002D0523" w:rsidRDefault="008D730C">
      <w:pPr>
        <w:spacing w:after="40"/>
        <w:rPr>
          <w:rFonts w:ascii="Calibri" w:hAnsi="Calibri" w:cs="Calibri"/>
          <w:sz w:val="22"/>
          <w:szCs w:val="24"/>
          <w:lang w:val="en-GB"/>
        </w:rPr>
      </w:pPr>
      <w:r w:rsidRPr="002D0523">
        <w:rPr>
          <w:rFonts w:ascii="Calibri" w:hAnsi="Calibri" w:cs="Calibri"/>
          <w:b/>
          <w:color w:val="17365D"/>
          <w:sz w:val="22"/>
          <w:szCs w:val="24"/>
          <w:lang w:val="en-GB"/>
        </w:rPr>
        <w:t xml:space="preserve">Response date: </w:t>
      </w:r>
      <w:r w:rsidRPr="002D0523">
        <w:rPr>
          <w:rFonts w:ascii="Calibri" w:hAnsi="Calibri" w:cs="Calibri"/>
          <w:color w:val="000000"/>
          <w:sz w:val="22"/>
          <w:szCs w:val="24"/>
          <w:lang w:val="en-GB"/>
        </w:rPr>
        <w:t>23</w:t>
      </w:r>
      <w:r w:rsidR="00E91A5B" w:rsidRPr="002D0523">
        <w:rPr>
          <w:rFonts w:ascii="Calibri" w:hAnsi="Calibri" w:cs="Calibri"/>
          <w:color w:val="000000"/>
          <w:sz w:val="22"/>
          <w:szCs w:val="24"/>
          <w:vertAlign w:val="superscript"/>
          <w:lang w:val="en-GB"/>
        </w:rPr>
        <w:t>rd</w:t>
      </w:r>
      <w:r w:rsidR="00E91A5B" w:rsidRPr="002D0523">
        <w:rPr>
          <w:rFonts w:ascii="Calibri" w:hAnsi="Calibri" w:cs="Calibri"/>
          <w:color w:val="000000"/>
          <w:sz w:val="22"/>
          <w:szCs w:val="24"/>
          <w:lang w:val="en-GB"/>
        </w:rPr>
        <w:t xml:space="preserve"> </w:t>
      </w:r>
      <w:r w:rsidRPr="002D0523">
        <w:rPr>
          <w:rFonts w:ascii="Calibri" w:hAnsi="Calibri" w:cs="Calibri"/>
          <w:color w:val="000000"/>
          <w:sz w:val="22"/>
          <w:szCs w:val="24"/>
          <w:lang w:val="en-GB"/>
        </w:rPr>
        <w:t>July 2026</w:t>
      </w:r>
    </w:p>
    <w:p w14:paraId="283A4CF3" w14:textId="43585FE6" w:rsidR="008C0581" w:rsidRPr="002D0523" w:rsidRDefault="008D730C">
      <w:pPr>
        <w:spacing w:after="40"/>
        <w:rPr>
          <w:rFonts w:ascii="Calibri" w:hAnsi="Calibri" w:cs="Calibri"/>
          <w:color w:val="000000"/>
          <w:sz w:val="22"/>
          <w:szCs w:val="24"/>
          <w:lang w:val="en-GB"/>
        </w:rPr>
      </w:pPr>
      <w:r w:rsidRPr="002D0523">
        <w:rPr>
          <w:rFonts w:ascii="Calibri" w:hAnsi="Calibri" w:cs="Calibri"/>
          <w:b/>
          <w:color w:val="17365D"/>
          <w:sz w:val="22"/>
          <w:szCs w:val="24"/>
          <w:lang w:val="en-GB"/>
        </w:rPr>
        <w:t xml:space="preserve">Council meeting: </w:t>
      </w:r>
      <w:r w:rsidR="00E91A5B" w:rsidRPr="002D0523">
        <w:rPr>
          <w:rFonts w:ascii="Calibri" w:hAnsi="Calibri" w:cs="Calibri"/>
          <w:color w:val="000000"/>
          <w:sz w:val="22"/>
          <w:szCs w:val="24"/>
          <w:lang w:val="en-GB"/>
        </w:rPr>
        <w:t>23</w:t>
      </w:r>
      <w:r w:rsidR="00E91A5B" w:rsidRPr="002D0523">
        <w:rPr>
          <w:rFonts w:ascii="Calibri" w:hAnsi="Calibri" w:cs="Calibri"/>
          <w:color w:val="000000"/>
          <w:sz w:val="22"/>
          <w:szCs w:val="24"/>
          <w:vertAlign w:val="superscript"/>
          <w:lang w:val="en-GB"/>
        </w:rPr>
        <w:t>rd</w:t>
      </w:r>
      <w:r w:rsidR="00E91A5B" w:rsidRPr="002D0523">
        <w:rPr>
          <w:rFonts w:ascii="Calibri" w:hAnsi="Calibri" w:cs="Calibri"/>
          <w:color w:val="000000"/>
          <w:sz w:val="22"/>
          <w:szCs w:val="24"/>
          <w:lang w:val="en-GB"/>
        </w:rPr>
        <w:t xml:space="preserve"> July </w:t>
      </w:r>
      <w:r w:rsidR="00802844" w:rsidRPr="002D0523">
        <w:rPr>
          <w:rFonts w:ascii="Calibri" w:hAnsi="Calibri" w:cs="Calibri"/>
          <w:color w:val="000000"/>
          <w:sz w:val="22"/>
          <w:szCs w:val="24"/>
          <w:lang w:val="en-GB"/>
        </w:rPr>
        <w:t>20</w:t>
      </w:r>
      <w:r w:rsidR="00E91A5B" w:rsidRPr="002D0523">
        <w:rPr>
          <w:rFonts w:ascii="Calibri" w:hAnsi="Calibri" w:cs="Calibri"/>
          <w:color w:val="000000"/>
          <w:sz w:val="22"/>
          <w:szCs w:val="24"/>
          <w:lang w:val="en-GB"/>
        </w:rPr>
        <w:t>26</w:t>
      </w:r>
    </w:p>
    <w:p w14:paraId="5FA6C358" w14:textId="77777777" w:rsidR="008C0581" w:rsidRPr="002D0523" w:rsidRDefault="008D730C">
      <w:pPr>
        <w:spacing w:after="40"/>
        <w:rPr>
          <w:rFonts w:ascii="Calibri" w:hAnsi="Calibri" w:cs="Calibri"/>
          <w:sz w:val="22"/>
          <w:szCs w:val="24"/>
          <w:lang w:val="en-GB"/>
        </w:rPr>
      </w:pPr>
      <w:r w:rsidRPr="002D0523">
        <w:rPr>
          <w:rFonts w:ascii="Calibri" w:hAnsi="Calibri" w:cs="Calibri"/>
          <w:b/>
          <w:color w:val="17365D"/>
          <w:sz w:val="22"/>
          <w:szCs w:val="24"/>
          <w:lang w:val="en-GB"/>
        </w:rPr>
        <w:t xml:space="preserve">Council resolution: </w:t>
      </w:r>
      <w:r w:rsidRPr="002D0523">
        <w:rPr>
          <w:rFonts w:ascii="Calibri" w:hAnsi="Calibri" w:cs="Calibri"/>
          <w:color w:val="000000"/>
          <w:sz w:val="22"/>
          <w:szCs w:val="24"/>
          <w:lang w:val="en-GB"/>
        </w:rPr>
        <w:t>SUPPORT, subject to the matters and conditions set out below</w:t>
      </w:r>
    </w:p>
    <w:p w14:paraId="1BA0E23C" w14:textId="77777777" w:rsidR="008C0581" w:rsidRPr="002D0523" w:rsidRDefault="008D730C">
      <w:pPr>
        <w:spacing w:after="40"/>
        <w:rPr>
          <w:rFonts w:ascii="Calibri" w:hAnsi="Calibri" w:cs="Calibri"/>
          <w:sz w:val="22"/>
          <w:szCs w:val="24"/>
          <w:lang w:val="en-GB"/>
        </w:rPr>
      </w:pPr>
      <w:r w:rsidRPr="002D0523">
        <w:rPr>
          <w:rFonts w:ascii="Calibri" w:hAnsi="Calibri" w:cs="Calibri"/>
          <w:b/>
          <w:color w:val="17365D"/>
          <w:sz w:val="22"/>
          <w:szCs w:val="24"/>
          <w:lang w:val="en-GB"/>
        </w:rPr>
        <w:t xml:space="preserve">Neighbourhood plan: </w:t>
      </w:r>
      <w:r w:rsidRPr="002D0523">
        <w:rPr>
          <w:rFonts w:ascii="Calibri" w:hAnsi="Calibri" w:cs="Calibri"/>
          <w:color w:val="000000"/>
          <w:sz w:val="22"/>
          <w:szCs w:val="24"/>
          <w:lang w:val="en-GB"/>
        </w:rPr>
        <w:t>Calne Community Neighbourhood Plan 2023–2038 (CCNP2), Parts A and B, made March 2025</w:t>
      </w:r>
    </w:p>
    <w:p w14:paraId="41C8BE53" w14:textId="77777777" w:rsidR="008C0581" w:rsidRPr="00E91A5B" w:rsidRDefault="008D730C">
      <w:pPr>
        <w:pStyle w:val="Heading1"/>
        <w:rPr>
          <w:rFonts w:ascii="Calibri" w:hAnsi="Calibri" w:cs="Calibri"/>
          <w:lang w:val="en-GB"/>
        </w:rPr>
      </w:pPr>
      <w:r w:rsidRPr="00E91A5B">
        <w:rPr>
          <w:rFonts w:ascii="Calibri" w:hAnsi="Calibri" w:cs="Calibri"/>
          <w:lang w:val="en-GB"/>
        </w:rPr>
        <w:t>1. Formal response</w:t>
      </w:r>
    </w:p>
    <w:p w14:paraId="4D3A4B7F" w14:textId="77777777" w:rsidR="008C0581" w:rsidRPr="00C250C5" w:rsidRDefault="008D730C">
      <w:pPr>
        <w:rPr>
          <w:rFonts w:ascii="Calibri" w:hAnsi="Calibri" w:cs="Calibri"/>
          <w:sz w:val="22"/>
          <w:lang w:val="en-GB"/>
        </w:rPr>
      </w:pPr>
      <w:r w:rsidRPr="00C250C5">
        <w:rPr>
          <w:rFonts w:ascii="Calibri" w:hAnsi="Calibri" w:cs="Calibri"/>
          <w:color w:val="000000"/>
          <w:sz w:val="22"/>
          <w:lang w:val="en-GB"/>
        </w:rPr>
        <w:t>Cherhill Parish Council has considered the application documents, the relevant provisions of the development plan and representations received from the local community. The council resolved to support the principle of the proposed farm shop and café, subject to the outstanding matters and requested conditions set out in this response.</w:t>
      </w:r>
    </w:p>
    <w:p w14:paraId="506F1CB4" w14:textId="77777777" w:rsidR="008C0581" w:rsidRPr="00C250C5" w:rsidRDefault="008D730C">
      <w:pPr>
        <w:rPr>
          <w:rFonts w:ascii="Calibri" w:hAnsi="Calibri" w:cs="Calibri"/>
          <w:sz w:val="22"/>
          <w:lang w:val="en-GB"/>
        </w:rPr>
      </w:pPr>
      <w:r w:rsidRPr="00C250C5">
        <w:rPr>
          <w:rFonts w:ascii="Calibri" w:hAnsi="Calibri" w:cs="Calibri"/>
          <w:color w:val="000000"/>
          <w:sz w:val="22"/>
          <w:lang w:val="en-GB"/>
        </w:rPr>
        <w:t>The council considers that the proposal could support the diversification of an established rural business, provide local employment and contribute to the visitor economy. That support is dependent on safe and convenient pedestrian access, satisfactory control of traffic and deliveries, protection of residential amenity, and the approval and long-term management of landscaping, drainage, lighting and biodiversity measures.</w:t>
      </w:r>
    </w:p>
    <w:p w14:paraId="51AD0FDD" w14:textId="77777777" w:rsidR="008C0581" w:rsidRPr="00C250C5" w:rsidRDefault="008D730C">
      <w:pPr>
        <w:rPr>
          <w:rFonts w:ascii="Calibri" w:hAnsi="Calibri" w:cs="Calibri"/>
          <w:sz w:val="22"/>
          <w:lang w:val="en-GB"/>
        </w:rPr>
      </w:pPr>
      <w:r w:rsidRPr="00C250C5">
        <w:rPr>
          <w:rFonts w:ascii="Calibri" w:hAnsi="Calibri" w:cs="Calibri"/>
          <w:color w:val="000000"/>
          <w:sz w:val="22"/>
          <w:lang w:val="en-GB"/>
        </w:rPr>
        <w:t>This response should be read together with the appendices. They identify the relevant policies and design codes in the made neighbourhood plan, the application material relied upon, the council’s assessment and the safeguards it considers necessary.</w:t>
      </w:r>
    </w:p>
    <w:p w14:paraId="77466F64" w14:textId="77777777" w:rsidR="008C0581" w:rsidRPr="00E91A5B" w:rsidRDefault="008D730C">
      <w:pPr>
        <w:pStyle w:val="Heading1"/>
        <w:rPr>
          <w:rFonts w:ascii="Calibri" w:hAnsi="Calibri" w:cs="Calibri"/>
          <w:lang w:val="en-GB"/>
        </w:rPr>
      </w:pPr>
      <w:r w:rsidRPr="00E91A5B">
        <w:rPr>
          <w:rFonts w:ascii="Calibri" w:hAnsi="Calibri" w:cs="Calibri"/>
          <w:lang w:val="en-GB"/>
        </w:rPr>
        <w:t>2. Development-plan context</w:t>
      </w:r>
    </w:p>
    <w:p w14:paraId="642C54EC"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site lies within the Calne Community Neighbourhood Plan area and within the plan’s Rural character area. It is outside, but close to, the North Wessex Downs National Landscape. The council understands the nearest point of the National Landscape boundary to be approximately 160 metres south of the site.</w:t>
      </w:r>
    </w:p>
    <w:p w14:paraId="13C2DCD8"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CCNP2 was made in March 2025 and forms part of the statutory development plan. It comprises Part A, containing the neighbourhood-plan policies, and Part B, containing the Calne Design Guidelines and Codes. Because the two documents together extend to approximately 300 pages, Appendices A and B identify the provisions that the council considers directly relevant to this application.</w:t>
      </w:r>
    </w:p>
    <w:p w14:paraId="320201BF" w14:textId="77777777" w:rsidR="008C0581" w:rsidRPr="00E91A5B" w:rsidRDefault="008D730C">
      <w:pPr>
        <w:pStyle w:val="Heading1"/>
        <w:rPr>
          <w:rFonts w:ascii="Calibri" w:hAnsi="Calibri" w:cs="Calibri"/>
          <w:lang w:val="en-GB"/>
        </w:rPr>
      </w:pPr>
      <w:r w:rsidRPr="00E91A5B">
        <w:rPr>
          <w:rFonts w:ascii="Calibri" w:hAnsi="Calibri" w:cs="Calibri"/>
          <w:lang w:val="en-GB"/>
        </w:rPr>
        <w:t>3. Overall planning balance</w:t>
      </w:r>
    </w:p>
    <w:p w14:paraId="1209D781"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In reaching its view, the council has placed greatest weight on the principle of rural business diversification, the retail and sequential evidence, the scheme’s relationship with the rural setting, highway and pedestrian safety, biodiversity and drainage, and the amenity of nearby residents.</w:t>
      </w:r>
    </w:p>
    <w:p w14:paraId="1E9D1E8C"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lastRenderedPageBreak/>
        <w:t>The council’s support is qualified. Several benefits and mitigation measures are presently expressed as intentions in the applicant’s documents rather than secured commitments. The conditions and verification requests in this response are intended to ensure that the development delivered is the development assessed.</w:t>
      </w:r>
    </w:p>
    <w:p w14:paraId="0CA99A8F" w14:textId="77777777" w:rsidR="008C0581" w:rsidRPr="00E91A5B" w:rsidRDefault="008D730C">
      <w:pPr>
        <w:pStyle w:val="Heading1"/>
        <w:rPr>
          <w:rFonts w:ascii="Calibri" w:hAnsi="Calibri" w:cs="Calibri"/>
          <w:lang w:val="en-GB"/>
        </w:rPr>
      </w:pPr>
      <w:r w:rsidRPr="00E91A5B">
        <w:rPr>
          <w:rFonts w:ascii="Calibri" w:hAnsi="Calibri" w:cs="Calibri"/>
          <w:lang w:val="en-GB"/>
        </w:rPr>
        <w:t>4. Reasons for supporting the principle of development</w:t>
      </w:r>
    </w:p>
    <w:p w14:paraId="619B0E2E" w14:textId="77777777" w:rsidR="008C0581" w:rsidRPr="00E91A5B" w:rsidRDefault="008D730C">
      <w:pPr>
        <w:pStyle w:val="Heading2"/>
        <w:rPr>
          <w:rFonts w:ascii="Calibri" w:hAnsi="Calibri" w:cs="Calibri"/>
          <w:lang w:val="en-GB"/>
        </w:rPr>
      </w:pPr>
      <w:r w:rsidRPr="00E91A5B">
        <w:rPr>
          <w:rFonts w:ascii="Calibri" w:hAnsi="Calibri" w:cs="Calibri"/>
          <w:lang w:val="en-GB"/>
        </w:rPr>
        <w:t>4.1 Rural economy, employment and visitor economy</w:t>
      </w:r>
    </w:p>
    <w:p w14:paraId="147BD753" w14:textId="6C699A92"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proposal would diversify the established farming business at Nolands Farm through a farm shop and café. The applicant states that the development would create 23 jobs </w:t>
      </w:r>
      <w:r w:rsidR="00E91A5B" w:rsidRPr="00C250C5">
        <w:rPr>
          <w:rFonts w:ascii="Calibri" w:hAnsi="Calibri" w:cs="Calibri"/>
          <w:color w:val="000000"/>
          <w:sz w:val="22"/>
          <w:szCs w:val="24"/>
          <w:lang w:val="en-GB"/>
        </w:rPr>
        <w:t xml:space="preserve">(8 full time and 15 part time) </w:t>
      </w:r>
      <w:r w:rsidRPr="00C250C5">
        <w:rPr>
          <w:rFonts w:ascii="Calibri" w:hAnsi="Calibri" w:cs="Calibri"/>
          <w:color w:val="000000"/>
          <w:sz w:val="22"/>
          <w:szCs w:val="24"/>
          <w:lang w:val="en-GB"/>
        </w:rPr>
        <w:t xml:space="preserve">and that a substantial proportion of produce would be supplied by the farm or sourced locally. </w:t>
      </w:r>
      <w:r w:rsidR="002F64FE" w:rsidRPr="00C250C5">
        <w:rPr>
          <w:rFonts w:ascii="Calibri" w:hAnsi="Calibri" w:cs="Calibri"/>
          <w:color w:val="000000"/>
          <w:sz w:val="22"/>
          <w:szCs w:val="24"/>
          <w:lang w:val="en-GB"/>
        </w:rPr>
        <w:t>T</w:t>
      </w:r>
      <w:r w:rsidRPr="00C250C5">
        <w:rPr>
          <w:rFonts w:ascii="Calibri" w:hAnsi="Calibri" w:cs="Calibri"/>
          <w:color w:val="000000"/>
          <w:sz w:val="22"/>
          <w:szCs w:val="24"/>
          <w:lang w:val="en-GB"/>
        </w:rPr>
        <w:t xml:space="preserve">he council considers that the proposal </w:t>
      </w:r>
      <w:r w:rsidR="00783709" w:rsidRPr="00C250C5">
        <w:rPr>
          <w:rFonts w:ascii="Calibri" w:hAnsi="Calibri" w:cs="Calibri"/>
          <w:color w:val="000000"/>
          <w:sz w:val="22"/>
          <w:szCs w:val="24"/>
          <w:lang w:val="en-GB"/>
        </w:rPr>
        <w:t xml:space="preserve">is </w:t>
      </w:r>
      <w:r w:rsidR="002F64FE" w:rsidRPr="00C250C5">
        <w:rPr>
          <w:rFonts w:ascii="Calibri" w:hAnsi="Calibri" w:cs="Calibri"/>
          <w:color w:val="000000"/>
          <w:sz w:val="22"/>
          <w:szCs w:val="24"/>
          <w:lang w:val="en-GB"/>
        </w:rPr>
        <w:t xml:space="preserve">fully </w:t>
      </w:r>
      <w:r w:rsidR="00783709" w:rsidRPr="00C250C5">
        <w:rPr>
          <w:rFonts w:ascii="Calibri" w:hAnsi="Calibri" w:cs="Calibri"/>
          <w:color w:val="000000"/>
          <w:sz w:val="22"/>
          <w:szCs w:val="24"/>
          <w:lang w:val="en-GB"/>
        </w:rPr>
        <w:t>aligned</w:t>
      </w:r>
      <w:r w:rsidRPr="00C250C5">
        <w:rPr>
          <w:rFonts w:ascii="Calibri" w:hAnsi="Calibri" w:cs="Calibri"/>
          <w:color w:val="000000"/>
          <w:sz w:val="22"/>
          <w:szCs w:val="24"/>
          <w:lang w:val="en-GB"/>
        </w:rPr>
        <w:t xml:space="preserve"> with CCNP2 Policies WS2 and WS3.</w:t>
      </w:r>
    </w:p>
    <w:p w14:paraId="1D5AD68A" w14:textId="77777777" w:rsidR="008C0581" w:rsidRPr="00E91A5B" w:rsidRDefault="008D730C">
      <w:pPr>
        <w:pStyle w:val="Heading2"/>
        <w:rPr>
          <w:rFonts w:ascii="Calibri" w:hAnsi="Calibri" w:cs="Calibri"/>
          <w:lang w:val="en-GB"/>
        </w:rPr>
      </w:pPr>
      <w:r w:rsidRPr="00E91A5B">
        <w:rPr>
          <w:rFonts w:ascii="Calibri" w:hAnsi="Calibri" w:cs="Calibri"/>
          <w:lang w:val="en-GB"/>
        </w:rPr>
        <w:t>4.2 Retail and town-centre considerations</w:t>
      </w:r>
    </w:p>
    <w:p w14:paraId="40E521DB" w14:textId="5F97BC3A"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submitted sequential assessment and retail-impact assessment conclude that there is no suitable sequentially preferable site and that the effect on the vitality and viability of Calne and Devizes town centres would be negligible. The reported convenience-turnover diversion is less than 1 per cent. </w:t>
      </w:r>
      <w:r w:rsidR="002F64FE" w:rsidRPr="00C250C5">
        <w:rPr>
          <w:rFonts w:ascii="Calibri" w:hAnsi="Calibri" w:cs="Calibri"/>
          <w:color w:val="000000"/>
          <w:sz w:val="22"/>
          <w:szCs w:val="24"/>
          <w:lang w:val="en-GB"/>
        </w:rPr>
        <w:t>T</w:t>
      </w:r>
      <w:r w:rsidRPr="00C250C5">
        <w:rPr>
          <w:rFonts w:ascii="Calibri" w:hAnsi="Calibri" w:cs="Calibri"/>
          <w:color w:val="000000"/>
          <w:sz w:val="22"/>
          <w:szCs w:val="24"/>
          <w:lang w:val="en-GB"/>
        </w:rPr>
        <w:t>he council consider</w:t>
      </w:r>
      <w:r w:rsidR="002F64FE" w:rsidRPr="00C250C5">
        <w:rPr>
          <w:rFonts w:ascii="Calibri" w:hAnsi="Calibri" w:cs="Calibri"/>
          <w:color w:val="000000"/>
          <w:sz w:val="22"/>
          <w:szCs w:val="24"/>
          <w:lang w:val="en-GB"/>
        </w:rPr>
        <w:t>s</w:t>
      </w:r>
      <w:r w:rsidRPr="00C250C5">
        <w:rPr>
          <w:rFonts w:ascii="Calibri" w:hAnsi="Calibri" w:cs="Calibri"/>
          <w:color w:val="000000"/>
          <w:sz w:val="22"/>
          <w:szCs w:val="24"/>
          <w:lang w:val="en-GB"/>
        </w:rPr>
        <w:t xml:space="preserve"> that the proposal </w:t>
      </w:r>
      <w:r w:rsidR="002F64FE" w:rsidRPr="00C250C5">
        <w:rPr>
          <w:rFonts w:ascii="Calibri" w:hAnsi="Calibri" w:cs="Calibri"/>
          <w:color w:val="000000"/>
          <w:sz w:val="22"/>
          <w:szCs w:val="24"/>
          <w:lang w:val="en-GB"/>
        </w:rPr>
        <w:t>aligns</w:t>
      </w:r>
      <w:r w:rsidRPr="00C250C5">
        <w:rPr>
          <w:rFonts w:ascii="Calibri" w:hAnsi="Calibri" w:cs="Calibri"/>
          <w:color w:val="000000"/>
          <w:sz w:val="22"/>
          <w:szCs w:val="24"/>
          <w:lang w:val="en-GB"/>
        </w:rPr>
        <w:t xml:space="preserve"> with the town-centre objectives of CCNP2 Policy WS4.</w:t>
      </w:r>
    </w:p>
    <w:p w14:paraId="3150B177" w14:textId="28ED10C9"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council has not based its conclusion on the likely effect of competition on any individual business. Its assessment is directed to the planning question of town-centre vitality and viability.</w:t>
      </w:r>
      <w:r w:rsidR="00E91A5B" w:rsidRPr="00C250C5">
        <w:rPr>
          <w:rFonts w:ascii="Calibri" w:hAnsi="Calibri" w:cs="Calibri"/>
          <w:color w:val="000000"/>
          <w:sz w:val="22"/>
          <w:szCs w:val="24"/>
          <w:lang w:val="en-GB"/>
        </w:rPr>
        <w:t xml:space="preserve"> The council understands that both Dandy Highwayman and Black Horse in Cherhill will derive much of their business in the evening, when the farm shop café will be closed.</w:t>
      </w:r>
    </w:p>
    <w:p w14:paraId="7FB4F313" w14:textId="77777777" w:rsidR="008C0581" w:rsidRPr="00E91A5B" w:rsidRDefault="008D730C">
      <w:pPr>
        <w:pStyle w:val="Heading2"/>
        <w:rPr>
          <w:rFonts w:ascii="Calibri" w:hAnsi="Calibri" w:cs="Calibri"/>
          <w:lang w:val="en-GB"/>
        </w:rPr>
      </w:pPr>
      <w:r w:rsidRPr="00E91A5B">
        <w:rPr>
          <w:rFonts w:ascii="Calibri" w:hAnsi="Calibri" w:cs="Calibri"/>
          <w:lang w:val="en-GB"/>
        </w:rPr>
        <w:t>4.3 Biodiversity, green infrastructure and water management</w:t>
      </w:r>
    </w:p>
    <w:p w14:paraId="5BDE1FBB" w14:textId="7AD1847E"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submitted biodiversity material reports net gains for habitat, hedgerow and watercourse units and proposes a new pond, native hedgerow, scrub and tree planting. The council supports those measures under Policies NE2, NE3 and NE4</w:t>
      </w:r>
      <w:r w:rsidR="002F64FE" w:rsidRPr="00C250C5">
        <w:rPr>
          <w:rFonts w:ascii="Calibri" w:hAnsi="Calibri" w:cs="Calibri"/>
          <w:color w:val="000000"/>
          <w:sz w:val="22"/>
          <w:szCs w:val="24"/>
          <w:lang w:val="en-GB"/>
        </w:rPr>
        <w:t xml:space="preserve">. </w:t>
      </w:r>
      <w:r w:rsidRPr="00C250C5">
        <w:rPr>
          <w:rFonts w:ascii="Calibri" w:hAnsi="Calibri" w:cs="Calibri"/>
          <w:color w:val="000000"/>
          <w:sz w:val="22"/>
          <w:szCs w:val="24"/>
          <w:lang w:val="en-GB"/>
        </w:rPr>
        <w:t xml:space="preserve"> </w:t>
      </w:r>
      <w:r w:rsidR="002F64FE" w:rsidRPr="00C250C5">
        <w:rPr>
          <w:rFonts w:ascii="Calibri" w:hAnsi="Calibri" w:cs="Calibri"/>
          <w:color w:val="000000"/>
          <w:sz w:val="22"/>
          <w:szCs w:val="24"/>
          <w:lang w:val="en-GB"/>
        </w:rPr>
        <w:t>This is on the condition</w:t>
      </w:r>
      <w:r w:rsidRPr="00C250C5">
        <w:rPr>
          <w:rFonts w:ascii="Calibri" w:hAnsi="Calibri" w:cs="Calibri"/>
          <w:color w:val="000000"/>
          <w:sz w:val="22"/>
          <w:szCs w:val="24"/>
          <w:lang w:val="en-GB"/>
        </w:rPr>
        <w:t xml:space="preserve"> that the final Biodiversity Gain Plan, habitat management arrangements and any outstanding ecological surveys</w:t>
      </w:r>
      <w:r w:rsidR="002F64FE" w:rsidRPr="00C250C5">
        <w:rPr>
          <w:rFonts w:ascii="Calibri" w:hAnsi="Calibri" w:cs="Calibri"/>
          <w:color w:val="000000"/>
          <w:sz w:val="22"/>
          <w:szCs w:val="24"/>
          <w:lang w:val="en-GB"/>
        </w:rPr>
        <w:t>,</w:t>
      </w:r>
      <w:r w:rsidRPr="00C250C5">
        <w:rPr>
          <w:rFonts w:ascii="Calibri" w:hAnsi="Calibri" w:cs="Calibri"/>
          <w:color w:val="000000"/>
          <w:sz w:val="22"/>
          <w:szCs w:val="24"/>
          <w:lang w:val="en-GB"/>
        </w:rPr>
        <w:t xml:space="preserve"> or avoidance measures</w:t>
      </w:r>
      <w:r w:rsidR="002F64FE" w:rsidRPr="00C250C5">
        <w:rPr>
          <w:rFonts w:ascii="Calibri" w:hAnsi="Calibri" w:cs="Calibri"/>
          <w:color w:val="000000"/>
          <w:sz w:val="22"/>
          <w:szCs w:val="24"/>
          <w:lang w:val="en-GB"/>
        </w:rPr>
        <w:t>,</w:t>
      </w:r>
      <w:r w:rsidRPr="00C250C5">
        <w:rPr>
          <w:rFonts w:ascii="Calibri" w:hAnsi="Calibri" w:cs="Calibri"/>
          <w:color w:val="000000"/>
          <w:sz w:val="22"/>
          <w:szCs w:val="24"/>
          <w:lang w:val="en-GB"/>
        </w:rPr>
        <w:t xml:space="preserve"> are approved and secured.</w:t>
      </w:r>
    </w:p>
    <w:p w14:paraId="73741E20" w14:textId="49C3AE54"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drainage proposals use sustainable drainage principles, including permeable surfacing, attenuation and a surface-water pond. </w:t>
      </w:r>
      <w:r w:rsidR="001306EA" w:rsidRPr="00C250C5">
        <w:rPr>
          <w:rFonts w:ascii="Calibri" w:hAnsi="Calibri" w:cs="Calibri"/>
          <w:color w:val="000000"/>
          <w:sz w:val="22"/>
          <w:szCs w:val="24"/>
          <w:lang w:val="en-GB"/>
        </w:rPr>
        <w:t xml:space="preserve">The Drainage Strategy, reference 168831-R02(02), provides a </w:t>
      </w:r>
      <w:r w:rsidR="00305E50" w:rsidRPr="00C250C5">
        <w:rPr>
          <w:rFonts w:ascii="Calibri" w:hAnsi="Calibri" w:cs="Calibri"/>
          <w:color w:val="000000"/>
          <w:sz w:val="22"/>
          <w:szCs w:val="24"/>
          <w:lang w:val="en-GB"/>
        </w:rPr>
        <w:t>reasonable approach</w:t>
      </w:r>
      <w:r w:rsidR="001306EA" w:rsidRPr="00C250C5">
        <w:rPr>
          <w:rFonts w:ascii="Calibri" w:hAnsi="Calibri" w:cs="Calibri"/>
          <w:color w:val="000000"/>
          <w:sz w:val="22"/>
          <w:szCs w:val="24"/>
          <w:lang w:val="en-GB"/>
        </w:rPr>
        <w:t xml:space="preserve"> for managing surface water accommodating a 1 in 100 year rainfall event with a 40% climate change allowance. This concept needs to be implemented in practice.</w:t>
      </w:r>
    </w:p>
    <w:p w14:paraId="545C631D" w14:textId="77777777" w:rsidR="008C0581" w:rsidRPr="00E91A5B" w:rsidRDefault="008D730C">
      <w:pPr>
        <w:pStyle w:val="Heading2"/>
        <w:rPr>
          <w:rFonts w:ascii="Calibri" w:hAnsi="Calibri" w:cs="Calibri"/>
          <w:lang w:val="en-GB"/>
        </w:rPr>
      </w:pPr>
      <w:r w:rsidRPr="00E91A5B">
        <w:rPr>
          <w:rFonts w:ascii="Calibri" w:hAnsi="Calibri" w:cs="Calibri"/>
          <w:lang w:val="en-GB"/>
        </w:rPr>
        <w:t>4.4 Design, landscape and rural setting</w:t>
      </w:r>
    </w:p>
    <w:p w14:paraId="77532CE5"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proposed use of muted grey metal cladding, brown timber cladding and a brick plinth reflects the agricultural context. The council also notes the retention of existing boundary vegetation and the proposed additional planting. These measures provide a reasonable basis for compliance with Policies BE1, NE4 and NE5 and the relevant Part B design codes, subject to detailed control.</w:t>
      </w:r>
    </w:p>
    <w:p w14:paraId="4CEE3378" w14:textId="511E37B6"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maximum height of the silo element is stated to be </w:t>
      </w:r>
      <w:r w:rsidR="00783709" w:rsidRPr="00C250C5">
        <w:rPr>
          <w:rFonts w:ascii="Calibri" w:hAnsi="Calibri" w:cs="Calibri"/>
          <w:color w:val="000000"/>
          <w:sz w:val="22"/>
          <w:szCs w:val="24"/>
          <w:lang w:val="en-GB"/>
        </w:rPr>
        <w:t>8.9</w:t>
      </w:r>
      <w:r w:rsidRPr="00C250C5">
        <w:rPr>
          <w:rFonts w:ascii="Calibri" w:hAnsi="Calibri" w:cs="Calibri"/>
          <w:color w:val="000000"/>
          <w:sz w:val="22"/>
          <w:szCs w:val="24"/>
          <w:lang w:val="en-GB"/>
        </w:rPr>
        <w:t xml:space="preserve"> metres. The council therefore asks the </w:t>
      </w:r>
      <w:r w:rsidR="00305E50" w:rsidRPr="00C250C5">
        <w:rPr>
          <w:rFonts w:ascii="Calibri" w:hAnsi="Calibri" w:cs="Calibri"/>
          <w:color w:val="000000"/>
          <w:sz w:val="22"/>
          <w:szCs w:val="24"/>
          <w:lang w:val="en-GB"/>
        </w:rPr>
        <w:t xml:space="preserve">planning </w:t>
      </w:r>
      <w:r w:rsidRPr="00C250C5">
        <w:rPr>
          <w:rFonts w:ascii="Calibri" w:hAnsi="Calibri" w:cs="Calibri"/>
          <w:color w:val="000000"/>
          <w:sz w:val="22"/>
          <w:szCs w:val="24"/>
          <w:lang w:val="en-GB"/>
        </w:rPr>
        <w:t>officer to be satisfied that the submitted visual material adequately assesses elevated and publicly accessible views, winter visibility, the effect on the setting of the North Wessex Downs National Landscape, and the period before new planting becomes established.</w:t>
      </w:r>
    </w:p>
    <w:p w14:paraId="69395A2F" w14:textId="77777777" w:rsidR="008C0581" w:rsidRPr="00E91A5B" w:rsidRDefault="008D730C">
      <w:pPr>
        <w:pStyle w:val="Heading2"/>
        <w:rPr>
          <w:rFonts w:ascii="Calibri" w:hAnsi="Calibri" w:cs="Calibri"/>
          <w:lang w:val="en-GB"/>
        </w:rPr>
      </w:pPr>
      <w:r w:rsidRPr="00E91A5B">
        <w:rPr>
          <w:rFonts w:ascii="Calibri" w:hAnsi="Calibri" w:cs="Calibri"/>
          <w:lang w:val="en-GB"/>
        </w:rPr>
        <w:lastRenderedPageBreak/>
        <w:t>4.5 Sustainable construction</w:t>
      </w:r>
    </w:p>
    <w:p w14:paraId="5845A3E0"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scheme proposes air-source heat pumps, electric-vehicle charging, cycle parking, sustainable drainage and a low-carbon materials approach. These measures are supported by Policies C1 and C2 and Design Code 4h.</w:t>
      </w:r>
    </w:p>
    <w:p w14:paraId="02ACAA4F" w14:textId="712EB814"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planning statement appears to make photovoltaic installation conditional on viability, with possible provision for later installation. The council does not regard that as a firm commitment to provide photovoltaic generation</w:t>
      </w:r>
      <w:r w:rsidR="00305E50" w:rsidRPr="00C250C5">
        <w:rPr>
          <w:rFonts w:ascii="Calibri" w:hAnsi="Calibri" w:cs="Calibri"/>
          <w:color w:val="000000"/>
          <w:sz w:val="22"/>
          <w:szCs w:val="24"/>
          <w:lang w:val="en-GB"/>
        </w:rPr>
        <w:t>, which is disappointing</w:t>
      </w:r>
      <w:r w:rsidRPr="00C250C5">
        <w:rPr>
          <w:rFonts w:ascii="Calibri" w:hAnsi="Calibri" w:cs="Calibri"/>
          <w:color w:val="000000"/>
          <w:sz w:val="22"/>
          <w:szCs w:val="24"/>
          <w:lang w:val="en-GB"/>
        </w:rPr>
        <w:t>.</w:t>
      </w:r>
      <w:r w:rsidR="00305E50" w:rsidRPr="00C250C5">
        <w:rPr>
          <w:rFonts w:ascii="Calibri" w:hAnsi="Calibri" w:cs="Calibri"/>
          <w:color w:val="000000"/>
          <w:sz w:val="22"/>
          <w:szCs w:val="24"/>
          <w:lang w:val="en-GB"/>
        </w:rPr>
        <w:t xml:space="preserve">  The council would like to see PV installation as a firm part of the proposals. </w:t>
      </w:r>
    </w:p>
    <w:p w14:paraId="350E5BB0" w14:textId="77777777" w:rsidR="008C0581" w:rsidRPr="00E91A5B" w:rsidRDefault="008D730C">
      <w:pPr>
        <w:pStyle w:val="Heading2"/>
        <w:rPr>
          <w:rFonts w:ascii="Calibri" w:hAnsi="Calibri" w:cs="Calibri"/>
          <w:lang w:val="en-GB"/>
        </w:rPr>
      </w:pPr>
      <w:r w:rsidRPr="00E91A5B">
        <w:rPr>
          <w:rFonts w:ascii="Calibri" w:hAnsi="Calibri" w:cs="Calibri"/>
          <w:lang w:val="en-GB"/>
        </w:rPr>
        <w:t>4.6 Community representations</w:t>
      </w:r>
    </w:p>
    <w:p w14:paraId="02E03141" w14:textId="4482F37E"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council has taken account of representations made during the application consultation. As </w:t>
      </w:r>
      <w:r w:rsidR="00783709" w:rsidRPr="00C250C5">
        <w:rPr>
          <w:rFonts w:ascii="Calibri" w:hAnsi="Calibri" w:cs="Calibri"/>
          <w:color w:val="000000"/>
          <w:sz w:val="22"/>
          <w:szCs w:val="24"/>
          <w:lang w:val="en-GB"/>
        </w:rPr>
        <w:t>of</w:t>
      </w:r>
      <w:r w:rsidRPr="00C250C5">
        <w:rPr>
          <w:rFonts w:ascii="Calibri" w:hAnsi="Calibri" w:cs="Calibri"/>
          <w:color w:val="000000"/>
          <w:sz w:val="22"/>
          <w:szCs w:val="24"/>
          <w:lang w:val="en-GB"/>
        </w:rPr>
        <w:t xml:space="preserve"> </w:t>
      </w:r>
      <w:r w:rsidR="00783709" w:rsidRPr="00C250C5">
        <w:rPr>
          <w:rFonts w:ascii="Calibri" w:hAnsi="Calibri" w:cs="Calibri"/>
          <w:color w:val="000000"/>
          <w:sz w:val="22"/>
          <w:szCs w:val="24"/>
          <w:lang w:val="en-GB"/>
        </w:rPr>
        <w:t>16</w:t>
      </w:r>
      <w:r w:rsidR="00783709" w:rsidRPr="00C250C5">
        <w:rPr>
          <w:rFonts w:ascii="Calibri" w:hAnsi="Calibri" w:cs="Calibri"/>
          <w:color w:val="000000"/>
          <w:sz w:val="22"/>
          <w:szCs w:val="24"/>
          <w:vertAlign w:val="superscript"/>
          <w:lang w:val="en-GB"/>
        </w:rPr>
        <w:t>th</w:t>
      </w:r>
      <w:r w:rsidR="00783709" w:rsidRPr="00C250C5">
        <w:rPr>
          <w:rFonts w:ascii="Calibri" w:hAnsi="Calibri" w:cs="Calibri"/>
          <w:color w:val="000000"/>
          <w:sz w:val="22"/>
          <w:szCs w:val="24"/>
          <w:lang w:val="en-GB"/>
        </w:rPr>
        <w:t xml:space="preserve"> </w:t>
      </w:r>
      <w:r w:rsidRPr="00C250C5">
        <w:rPr>
          <w:rFonts w:ascii="Calibri" w:hAnsi="Calibri" w:cs="Calibri"/>
          <w:color w:val="000000"/>
          <w:sz w:val="22"/>
          <w:szCs w:val="24"/>
          <w:lang w:val="en-GB"/>
        </w:rPr>
        <w:t xml:space="preserve">July 2026, the planning portal contained 53 representations that were very positive or broadly positive and no objections. The council recognises that planning applications must be determined on their planning merits rather than by counting </w:t>
      </w:r>
      <w:r w:rsidR="002D0523" w:rsidRPr="00C250C5">
        <w:rPr>
          <w:rFonts w:ascii="Calibri" w:hAnsi="Calibri" w:cs="Calibri"/>
          <w:color w:val="000000"/>
          <w:sz w:val="22"/>
          <w:szCs w:val="24"/>
          <w:lang w:val="en-GB"/>
        </w:rPr>
        <w:t>representations,</w:t>
      </w:r>
      <w:r w:rsidR="00305E50" w:rsidRPr="00C250C5">
        <w:rPr>
          <w:rFonts w:ascii="Calibri" w:hAnsi="Calibri" w:cs="Calibri"/>
          <w:color w:val="000000"/>
          <w:sz w:val="22"/>
          <w:szCs w:val="24"/>
          <w:lang w:val="en-GB"/>
        </w:rPr>
        <w:t xml:space="preserve"> but</w:t>
      </w:r>
      <w:r w:rsidRPr="00C250C5">
        <w:rPr>
          <w:rFonts w:ascii="Calibri" w:hAnsi="Calibri" w:cs="Calibri"/>
          <w:color w:val="000000"/>
          <w:sz w:val="22"/>
          <w:szCs w:val="24"/>
          <w:lang w:val="en-GB"/>
        </w:rPr>
        <w:t xml:space="preserve"> it records this information as evidence of </w:t>
      </w:r>
      <w:r w:rsidR="00305E50" w:rsidRPr="00C250C5">
        <w:rPr>
          <w:rFonts w:ascii="Calibri" w:hAnsi="Calibri" w:cs="Calibri"/>
          <w:color w:val="000000"/>
          <w:sz w:val="22"/>
          <w:szCs w:val="24"/>
          <w:lang w:val="en-GB"/>
        </w:rPr>
        <w:t xml:space="preserve">very positive </w:t>
      </w:r>
      <w:r w:rsidRPr="00C250C5">
        <w:rPr>
          <w:rFonts w:ascii="Calibri" w:hAnsi="Calibri" w:cs="Calibri"/>
          <w:color w:val="000000"/>
          <w:sz w:val="22"/>
          <w:szCs w:val="24"/>
          <w:lang w:val="en-GB"/>
        </w:rPr>
        <w:t>community views</w:t>
      </w:r>
      <w:r w:rsidR="00305E50" w:rsidRPr="00C250C5">
        <w:rPr>
          <w:rFonts w:ascii="Calibri" w:hAnsi="Calibri" w:cs="Calibri"/>
          <w:color w:val="000000"/>
          <w:sz w:val="22"/>
          <w:szCs w:val="24"/>
          <w:lang w:val="en-GB"/>
        </w:rPr>
        <w:t>.</w:t>
      </w:r>
    </w:p>
    <w:p w14:paraId="1E3632C1" w14:textId="77777777" w:rsidR="008C0581" w:rsidRPr="00E91A5B" w:rsidRDefault="008D730C">
      <w:pPr>
        <w:pStyle w:val="Heading1"/>
        <w:rPr>
          <w:rFonts w:ascii="Calibri" w:hAnsi="Calibri" w:cs="Calibri"/>
          <w:lang w:val="en-GB"/>
        </w:rPr>
      </w:pPr>
      <w:r w:rsidRPr="00E91A5B">
        <w:rPr>
          <w:rFonts w:ascii="Calibri" w:hAnsi="Calibri" w:cs="Calibri"/>
          <w:lang w:val="en-GB"/>
        </w:rPr>
        <w:t>5. Matters requiring resolution or control</w:t>
      </w:r>
    </w:p>
    <w:p w14:paraId="2045D32F" w14:textId="77777777" w:rsidR="008C0581" w:rsidRPr="00E91A5B" w:rsidRDefault="008D730C">
      <w:pPr>
        <w:pStyle w:val="Heading2"/>
        <w:rPr>
          <w:rFonts w:ascii="Calibri" w:hAnsi="Calibri" w:cs="Calibri"/>
          <w:lang w:val="en-GB"/>
        </w:rPr>
      </w:pPr>
      <w:r w:rsidRPr="00E91A5B">
        <w:rPr>
          <w:rFonts w:ascii="Calibri" w:hAnsi="Calibri" w:cs="Calibri"/>
          <w:lang w:val="en-GB"/>
        </w:rPr>
        <w:t>5.1 Pedestrian access and highway safety</w:t>
      </w:r>
    </w:p>
    <w:p w14:paraId="31C366FA"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council is concerned that residents approaching from the eastern part of Lower Compton may have to cross the road twice to reach the proposed pedestrian entrance. The planning statement refers to a new pedestrian connection, but the council has not identified it clearly on the submitted plan.</w:t>
      </w:r>
    </w:p>
    <w:p w14:paraId="30524170"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council asks the highway authority to assess whether a direct pedestrian connection at or near the north-western corner of the site can be safely and legally delivered. If feasible, the approved plans should secure that connection before the development is brought into use. Any scheme should provide a continuous, accessible route between the site, Lower Compton and the relevant bus stops, with safe crossing arrangements where required.</w:t>
      </w:r>
    </w:p>
    <w:p w14:paraId="5EA53D80" w14:textId="03C72788" w:rsidR="008C0581" w:rsidRPr="00E91A5B" w:rsidRDefault="008D730C">
      <w:pPr>
        <w:rPr>
          <w:rFonts w:ascii="Calibri" w:hAnsi="Calibri" w:cs="Calibri"/>
          <w:lang w:val="en-GB"/>
        </w:rPr>
      </w:pPr>
      <w:r w:rsidRPr="00C250C5">
        <w:rPr>
          <w:rFonts w:ascii="Calibri" w:hAnsi="Calibri" w:cs="Calibri"/>
          <w:color w:val="000000"/>
          <w:sz w:val="22"/>
          <w:szCs w:val="24"/>
          <w:lang w:val="en-GB"/>
        </w:rPr>
        <w:t>The council also asks the highway authority to assess the cumulative effect of additional traffic on t</w:t>
      </w:r>
      <w:r w:rsidR="00305E50" w:rsidRPr="00C250C5">
        <w:rPr>
          <w:rFonts w:ascii="Calibri" w:hAnsi="Calibri" w:cs="Calibri"/>
          <w:color w:val="000000"/>
          <w:sz w:val="22"/>
          <w:szCs w:val="24"/>
          <w:lang w:val="en-GB"/>
        </w:rPr>
        <w:t>he nearby</w:t>
      </w:r>
      <w:r w:rsidRPr="00C250C5">
        <w:rPr>
          <w:rFonts w:ascii="Calibri" w:hAnsi="Calibri" w:cs="Calibri"/>
          <w:color w:val="000000"/>
          <w:sz w:val="22"/>
          <w:szCs w:val="24"/>
          <w:lang w:val="en-GB"/>
        </w:rPr>
        <w:t xml:space="preserve"> section of the A4, having regard to the existing speed assessment. Any proposal for a </w:t>
      </w:r>
      <w:r w:rsidRPr="00C250C5">
        <w:rPr>
          <w:rFonts w:ascii="Calibri" w:hAnsi="Calibri" w:cs="Calibri"/>
          <w:color w:val="000000"/>
          <w:sz w:val="22"/>
          <w:lang w:val="en-GB"/>
        </w:rPr>
        <w:t xml:space="preserve">speed-indicator-device </w:t>
      </w:r>
      <w:r w:rsidR="00783709" w:rsidRPr="00C250C5">
        <w:rPr>
          <w:rFonts w:ascii="Calibri" w:hAnsi="Calibri" w:cs="Calibri"/>
          <w:color w:val="000000"/>
          <w:sz w:val="22"/>
          <w:lang w:val="en-GB"/>
        </w:rPr>
        <w:t xml:space="preserve">mounting </w:t>
      </w:r>
      <w:r w:rsidRPr="00C250C5">
        <w:rPr>
          <w:rFonts w:ascii="Calibri" w:hAnsi="Calibri" w:cs="Calibri"/>
          <w:color w:val="000000"/>
          <w:sz w:val="22"/>
          <w:lang w:val="en-GB"/>
        </w:rPr>
        <w:t xml:space="preserve">pole </w:t>
      </w:r>
      <w:r w:rsidR="00305E50" w:rsidRPr="00C250C5">
        <w:rPr>
          <w:rFonts w:ascii="Calibri" w:hAnsi="Calibri" w:cs="Calibri"/>
          <w:color w:val="000000"/>
          <w:sz w:val="22"/>
          <w:lang w:val="en-GB"/>
        </w:rPr>
        <w:t xml:space="preserve">near the site entrance </w:t>
      </w:r>
      <w:r w:rsidRPr="00C250C5">
        <w:rPr>
          <w:rFonts w:ascii="Calibri" w:hAnsi="Calibri" w:cs="Calibri"/>
          <w:color w:val="000000"/>
          <w:sz w:val="22"/>
          <w:lang w:val="en-GB"/>
        </w:rPr>
        <w:t>should be agreed separately with the highway authority unless it is demonstrated to be necessary, relevant and deliverable through this permission.</w:t>
      </w:r>
    </w:p>
    <w:p w14:paraId="04355336" w14:textId="77777777" w:rsidR="008C0581" w:rsidRPr="00E91A5B" w:rsidRDefault="008D730C">
      <w:pPr>
        <w:pStyle w:val="Heading2"/>
        <w:rPr>
          <w:rFonts w:ascii="Calibri" w:hAnsi="Calibri" w:cs="Calibri"/>
          <w:lang w:val="en-GB"/>
        </w:rPr>
      </w:pPr>
      <w:r w:rsidRPr="00E91A5B">
        <w:rPr>
          <w:rFonts w:ascii="Calibri" w:hAnsi="Calibri" w:cs="Calibri"/>
          <w:lang w:val="en-GB"/>
        </w:rPr>
        <w:t>5.2 Parking, cycling and public transport</w:t>
      </w:r>
    </w:p>
    <w:p w14:paraId="0CC5EDD3" w14:textId="10F787AE"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application proposes 73 car-parking spaces, including five accessible spaces and four electric-vehicle charging spaces, together with 12 cycle spaces. </w:t>
      </w:r>
      <w:r w:rsidR="00AD3841" w:rsidRPr="00C250C5">
        <w:rPr>
          <w:rFonts w:ascii="Calibri" w:hAnsi="Calibri" w:cs="Calibri"/>
          <w:color w:val="000000"/>
          <w:sz w:val="22"/>
          <w:szCs w:val="24"/>
          <w:lang w:val="en-GB"/>
        </w:rPr>
        <w:t xml:space="preserve">The site is on the route of the 42 bus, with the bus stop approx. 200m away.  The council considers this </w:t>
      </w:r>
      <w:r w:rsidR="00C00460" w:rsidRPr="00C250C5">
        <w:rPr>
          <w:rFonts w:ascii="Calibri" w:hAnsi="Calibri" w:cs="Calibri"/>
          <w:color w:val="000000"/>
          <w:sz w:val="22"/>
          <w:szCs w:val="24"/>
          <w:lang w:val="en-GB"/>
        </w:rPr>
        <w:t xml:space="preserve">commensurate with policy requirements </w:t>
      </w:r>
      <w:r w:rsidR="00AD3841" w:rsidRPr="00C250C5">
        <w:rPr>
          <w:rFonts w:ascii="Calibri" w:hAnsi="Calibri" w:cs="Calibri"/>
          <w:color w:val="000000"/>
          <w:sz w:val="22"/>
          <w:szCs w:val="24"/>
          <w:lang w:val="en-GB"/>
        </w:rPr>
        <w:t>GA1-GA6</w:t>
      </w:r>
      <w:r w:rsidRPr="00C250C5">
        <w:rPr>
          <w:rFonts w:ascii="Calibri" w:hAnsi="Calibri" w:cs="Calibri"/>
          <w:color w:val="000000"/>
          <w:sz w:val="22"/>
          <w:szCs w:val="24"/>
          <w:lang w:val="en-GB"/>
        </w:rPr>
        <w:t>.</w:t>
      </w:r>
    </w:p>
    <w:p w14:paraId="0B35C5F4" w14:textId="77777777" w:rsidR="008C0581" w:rsidRPr="00E91A5B" w:rsidRDefault="008D730C">
      <w:pPr>
        <w:pStyle w:val="Heading2"/>
        <w:rPr>
          <w:rFonts w:ascii="Calibri" w:hAnsi="Calibri" w:cs="Calibri"/>
          <w:lang w:val="en-GB"/>
        </w:rPr>
      </w:pPr>
      <w:r w:rsidRPr="00E91A5B">
        <w:rPr>
          <w:rFonts w:ascii="Calibri" w:hAnsi="Calibri" w:cs="Calibri"/>
          <w:lang w:val="en-GB"/>
        </w:rPr>
        <w:t>5.3 Residential amenity and operation</w:t>
      </w:r>
    </w:p>
    <w:p w14:paraId="28F7DA83" w14:textId="77777777"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The stated customer opening hours are 09:00–17:00 Monday to Saturday and 10:00–16:00 on Sundays. These hours appear reasonable, but residential amenity may also be affected by deliveries, </w:t>
      </w:r>
      <w:r w:rsidRPr="00C250C5">
        <w:rPr>
          <w:rFonts w:ascii="Calibri" w:hAnsi="Calibri" w:cs="Calibri"/>
          <w:color w:val="000000"/>
          <w:sz w:val="22"/>
          <w:szCs w:val="24"/>
          <w:lang w:val="en-GB"/>
        </w:rPr>
        <w:lastRenderedPageBreak/>
        <w:t>waste collection, plant, external activity, lighting and construction. Appropriate controls should address those activities separately from customer opening hours.</w:t>
      </w:r>
    </w:p>
    <w:p w14:paraId="4786A842" w14:textId="77777777" w:rsidR="008C0581" w:rsidRPr="00E91A5B" w:rsidRDefault="008D730C">
      <w:pPr>
        <w:pStyle w:val="Heading2"/>
        <w:rPr>
          <w:rFonts w:ascii="Calibri" w:hAnsi="Calibri" w:cs="Calibri"/>
          <w:lang w:val="en-GB"/>
        </w:rPr>
      </w:pPr>
      <w:r w:rsidRPr="00E91A5B">
        <w:rPr>
          <w:rFonts w:ascii="Calibri" w:hAnsi="Calibri" w:cs="Calibri"/>
          <w:lang w:val="en-GB"/>
        </w:rPr>
        <w:t>5.4 Landscaping, ecology and drainage</w:t>
      </w:r>
    </w:p>
    <w:p w14:paraId="13F1CF8F" w14:textId="28DE70E0"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The council supports the proposed landscape and biodiversity measures but considers that plans, specifications, implementation timing and long-term management must be secured. The drainage scheme should be integrated with the landscape and habitat proposals so that responsibilities for maintenance are clear and the intended benefits are retained for the lifetime of the development.</w:t>
      </w:r>
      <w:r w:rsidR="001306EA" w:rsidRPr="00C250C5">
        <w:rPr>
          <w:rFonts w:ascii="Calibri" w:hAnsi="Calibri" w:cs="Calibri"/>
          <w:color w:val="000000"/>
          <w:sz w:val="22"/>
          <w:szCs w:val="24"/>
          <w:lang w:val="en-GB"/>
        </w:rPr>
        <w:t xml:space="preserve"> It is important to note that Rivers Brook, which underpins the drainage strategy, has a recent history of severely flooding several properties in the Hayle Farm area.</w:t>
      </w:r>
    </w:p>
    <w:p w14:paraId="3EB463C9" w14:textId="77777777" w:rsidR="008C0581" w:rsidRPr="00E91A5B" w:rsidRDefault="008D730C">
      <w:pPr>
        <w:pStyle w:val="Heading1"/>
        <w:rPr>
          <w:rFonts w:ascii="Calibri" w:hAnsi="Calibri" w:cs="Calibri"/>
          <w:lang w:val="en-GB"/>
        </w:rPr>
      </w:pPr>
      <w:r w:rsidRPr="00E91A5B">
        <w:rPr>
          <w:rFonts w:ascii="Calibri" w:hAnsi="Calibri" w:cs="Calibri"/>
          <w:lang w:val="en-GB"/>
        </w:rPr>
        <w:t>6. Requested conditions</w:t>
      </w:r>
    </w:p>
    <w:p w14:paraId="2964F0C2" w14:textId="43E06198" w:rsidR="008C0581" w:rsidRPr="00C250C5" w:rsidRDefault="008D730C">
      <w:pPr>
        <w:rPr>
          <w:rFonts w:ascii="Calibri" w:hAnsi="Calibri" w:cs="Calibri"/>
          <w:sz w:val="22"/>
          <w:lang w:val="en-GB"/>
        </w:rPr>
      </w:pPr>
      <w:r w:rsidRPr="00C250C5">
        <w:rPr>
          <w:rFonts w:ascii="Calibri" w:hAnsi="Calibri" w:cs="Calibri"/>
          <w:color w:val="000000"/>
          <w:sz w:val="22"/>
          <w:lang w:val="en-GB"/>
        </w:rPr>
        <w:t xml:space="preserve">If Wiltshire Council is minded to grant permission, Cherhill Parish Council asks that the following matters be secured by appropriately worded conditions or, where necessary, by an approved amendment or other planning mechanism. </w:t>
      </w:r>
    </w:p>
    <w:p w14:paraId="20751B0B" w14:textId="77777777" w:rsidR="008C0581" w:rsidRPr="00E91A5B" w:rsidRDefault="008D730C" w:rsidP="0002326A">
      <w:pPr>
        <w:pStyle w:val="Heading2"/>
        <w:ind w:left="720"/>
        <w:rPr>
          <w:rFonts w:ascii="Calibri" w:hAnsi="Calibri" w:cs="Calibri"/>
          <w:lang w:val="en-GB"/>
        </w:rPr>
      </w:pPr>
      <w:r w:rsidRPr="00E91A5B">
        <w:rPr>
          <w:rFonts w:ascii="Calibri" w:hAnsi="Calibri" w:cs="Calibri"/>
          <w:lang w:val="en-GB"/>
        </w:rPr>
        <w:t>1. Pedestrian access scheme</w:t>
      </w:r>
    </w:p>
    <w:p w14:paraId="479B434C" w14:textId="77777777" w:rsidR="008C0581" w:rsidRPr="00C250C5" w:rsidRDefault="008D730C" w:rsidP="0002326A">
      <w:pPr>
        <w:ind w:left="720"/>
        <w:rPr>
          <w:rFonts w:ascii="Calibri" w:hAnsi="Calibri" w:cs="Calibri"/>
          <w:sz w:val="22"/>
          <w:szCs w:val="24"/>
          <w:lang w:val="en-GB"/>
        </w:rPr>
      </w:pPr>
      <w:r w:rsidRPr="00C250C5">
        <w:rPr>
          <w:rFonts w:ascii="Calibri" w:hAnsi="Calibri" w:cs="Calibri"/>
          <w:color w:val="000000"/>
          <w:sz w:val="22"/>
          <w:szCs w:val="24"/>
          <w:lang w:val="en-GB"/>
        </w:rPr>
        <w:t>Before the development is brought into use, a pedestrian-access scheme should be approved and implemented. It should demonstrate a continuous and accessible route between the site, Lower Compton and the relevant public-transport stops; identify any safe crossing provision; and assess a direct connection at or near the north-western corner of the site.</w:t>
      </w:r>
    </w:p>
    <w:p w14:paraId="2A718D55" w14:textId="77777777"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Addresses the risk of avoidable road crossings and supports Policies GA1, GA2, GA3 and GA6 and Part B Code 2a. Deliverability and land control must first be confirmed.</w:t>
      </w:r>
    </w:p>
    <w:p w14:paraId="6147BDBC" w14:textId="77777777" w:rsidR="008C0581" w:rsidRPr="00E91A5B" w:rsidRDefault="008D730C" w:rsidP="0002326A">
      <w:pPr>
        <w:pStyle w:val="Heading2"/>
        <w:ind w:left="720"/>
        <w:rPr>
          <w:rFonts w:ascii="Calibri" w:hAnsi="Calibri" w:cs="Calibri"/>
          <w:lang w:val="en-GB"/>
        </w:rPr>
      </w:pPr>
      <w:r w:rsidRPr="00E91A5B">
        <w:rPr>
          <w:rFonts w:ascii="Calibri" w:hAnsi="Calibri" w:cs="Calibri"/>
          <w:lang w:val="en-GB"/>
        </w:rPr>
        <w:t>2. Detailed landscaping and establishment</w:t>
      </w:r>
    </w:p>
    <w:p w14:paraId="1846B68E" w14:textId="09191786" w:rsidR="008C0581" w:rsidRPr="00C250C5" w:rsidRDefault="008D730C" w:rsidP="0002326A">
      <w:pPr>
        <w:ind w:left="720"/>
        <w:rPr>
          <w:rFonts w:ascii="Calibri" w:hAnsi="Calibri" w:cs="Calibri"/>
          <w:sz w:val="22"/>
          <w:szCs w:val="24"/>
          <w:lang w:val="en-GB"/>
        </w:rPr>
      </w:pPr>
      <w:r w:rsidRPr="00C250C5">
        <w:rPr>
          <w:rFonts w:ascii="Calibri" w:hAnsi="Calibri" w:cs="Calibri"/>
          <w:color w:val="000000"/>
          <w:sz w:val="22"/>
          <w:szCs w:val="24"/>
          <w:lang w:val="en-GB"/>
        </w:rPr>
        <w:t>Before commencement detailed hard- and soft-landscape proposals should be approved, including species, sizes, densities, planting plans, boundary treatments, implementation timing and a replacement requirement for failed planting. The scheme should include an appropriate establishment and maintenance period.</w:t>
      </w:r>
    </w:p>
    <w:p w14:paraId="6BD63695" w14:textId="77777777"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Protects rural character, views, biodiversity and residential amenity under Policies NE2–NE5 and BE1 and Part B Codes 1a–1c and 3a–3b.</w:t>
      </w:r>
    </w:p>
    <w:p w14:paraId="2BBFAC25" w14:textId="6C02F72A" w:rsidR="008C0581" w:rsidRPr="00E91A5B" w:rsidRDefault="00AD3841" w:rsidP="0002326A">
      <w:pPr>
        <w:pStyle w:val="Heading2"/>
        <w:ind w:left="720"/>
        <w:rPr>
          <w:rFonts w:ascii="Calibri" w:hAnsi="Calibri" w:cs="Calibri"/>
          <w:lang w:val="en-GB"/>
        </w:rPr>
      </w:pPr>
      <w:r>
        <w:rPr>
          <w:rFonts w:ascii="Calibri" w:hAnsi="Calibri" w:cs="Calibri"/>
          <w:lang w:val="en-GB"/>
        </w:rPr>
        <w:t>3</w:t>
      </w:r>
      <w:r w:rsidRPr="00E91A5B">
        <w:rPr>
          <w:rFonts w:ascii="Calibri" w:hAnsi="Calibri" w:cs="Calibri"/>
          <w:lang w:val="en-GB"/>
        </w:rPr>
        <w:t>. Surface-water drainage</w:t>
      </w:r>
    </w:p>
    <w:p w14:paraId="39358E7A" w14:textId="5D72DC1C" w:rsidR="001306EA" w:rsidRPr="00C250C5" w:rsidRDefault="004B4228" w:rsidP="001306EA">
      <w:pPr>
        <w:ind w:left="720"/>
        <w:rPr>
          <w:rFonts w:ascii="Calibri" w:hAnsi="Calibri" w:cs="Calibri"/>
          <w:color w:val="000000"/>
          <w:sz w:val="22"/>
          <w:szCs w:val="24"/>
          <w:lang w:val="en-GB"/>
        </w:rPr>
      </w:pPr>
      <w:r>
        <w:rPr>
          <w:rFonts w:ascii="Calibri" w:hAnsi="Calibri" w:cs="Calibri"/>
          <w:color w:val="000000"/>
          <w:sz w:val="22"/>
          <w:szCs w:val="24"/>
          <w:lang w:val="en-GB"/>
        </w:rPr>
        <w:t xml:space="preserve">Rivers Brook </w:t>
      </w:r>
      <w:r w:rsidR="007125FF">
        <w:rPr>
          <w:rFonts w:ascii="Calibri" w:hAnsi="Calibri" w:cs="Calibri"/>
          <w:color w:val="000000"/>
          <w:sz w:val="22"/>
          <w:szCs w:val="24"/>
          <w:lang w:val="en-GB"/>
        </w:rPr>
        <w:t>is a pristine chalk stream</w:t>
      </w:r>
      <w:r w:rsidR="00A92030">
        <w:rPr>
          <w:rFonts w:ascii="Calibri" w:hAnsi="Calibri" w:cs="Calibri"/>
          <w:color w:val="000000"/>
          <w:sz w:val="22"/>
          <w:szCs w:val="24"/>
          <w:lang w:val="en-GB"/>
        </w:rPr>
        <w:t xml:space="preserve">; </w:t>
      </w:r>
      <w:r w:rsidR="00B42EA7">
        <w:rPr>
          <w:rFonts w:ascii="Calibri" w:hAnsi="Calibri" w:cs="Calibri"/>
          <w:color w:val="000000"/>
          <w:sz w:val="22"/>
          <w:szCs w:val="24"/>
          <w:lang w:val="en-GB"/>
        </w:rPr>
        <w:t xml:space="preserve">the stream </w:t>
      </w:r>
      <w:r w:rsidR="00AB7947">
        <w:rPr>
          <w:rFonts w:ascii="Calibri" w:hAnsi="Calibri" w:cs="Calibri"/>
          <w:color w:val="000000"/>
          <w:sz w:val="22"/>
          <w:szCs w:val="24"/>
          <w:lang w:val="en-GB"/>
        </w:rPr>
        <w:t xml:space="preserve">must be protected and </w:t>
      </w:r>
      <w:r w:rsidR="00A92030">
        <w:rPr>
          <w:rFonts w:ascii="Calibri" w:hAnsi="Calibri" w:cs="Calibri"/>
          <w:color w:val="000000"/>
          <w:sz w:val="22"/>
          <w:szCs w:val="24"/>
          <w:lang w:val="en-GB"/>
        </w:rPr>
        <w:t xml:space="preserve">this </w:t>
      </w:r>
      <w:r w:rsidR="002E3E33">
        <w:rPr>
          <w:rFonts w:ascii="Calibri" w:hAnsi="Calibri" w:cs="Calibri"/>
          <w:color w:val="000000"/>
          <w:sz w:val="22"/>
          <w:szCs w:val="24"/>
          <w:lang w:val="en-GB"/>
        </w:rPr>
        <w:t xml:space="preserve">proposed </w:t>
      </w:r>
      <w:r w:rsidR="00A92030">
        <w:rPr>
          <w:rFonts w:ascii="Calibri" w:hAnsi="Calibri" w:cs="Calibri"/>
          <w:color w:val="000000"/>
          <w:sz w:val="22"/>
          <w:szCs w:val="24"/>
          <w:lang w:val="en-GB"/>
        </w:rPr>
        <w:t>devel</w:t>
      </w:r>
      <w:r w:rsidR="00E82564">
        <w:rPr>
          <w:rFonts w:ascii="Calibri" w:hAnsi="Calibri" w:cs="Calibri"/>
          <w:color w:val="000000"/>
          <w:sz w:val="22"/>
          <w:szCs w:val="24"/>
          <w:lang w:val="en-GB"/>
        </w:rPr>
        <w:t xml:space="preserve">opment must not </w:t>
      </w:r>
      <w:r w:rsidR="00BD4EED">
        <w:rPr>
          <w:rFonts w:ascii="Calibri" w:hAnsi="Calibri" w:cs="Calibri"/>
          <w:color w:val="000000"/>
          <w:sz w:val="22"/>
          <w:szCs w:val="24"/>
          <w:lang w:val="en-GB"/>
        </w:rPr>
        <w:t xml:space="preserve">compromise the </w:t>
      </w:r>
      <w:r w:rsidR="003026F6">
        <w:rPr>
          <w:rFonts w:ascii="Calibri" w:hAnsi="Calibri" w:cs="Calibri"/>
          <w:color w:val="000000"/>
          <w:sz w:val="22"/>
          <w:szCs w:val="24"/>
          <w:lang w:val="en-GB"/>
        </w:rPr>
        <w:t>integrity</w:t>
      </w:r>
      <w:r w:rsidR="004B2614">
        <w:rPr>
          <w:rFonts w:ascii="Calibri" w:hAnsi="Calibri" w:cs="Calibri"/>
          <w:color w:val="000000"/>
          <w:sz w:val="22"/>
          <w:szCs w:val="24"/>
          <w:lang w:val="en-GB"/>
        </w:rPr>
        <w:t xml:space="preserve"> of it</w:t>
      </w:r>
      <w:r w:rsidR="003026F6">
        <w:rPr>
          <w:rFonts w:ascii="Calibri" w:hAnsi="Calibri" w:cs="Calibri"/>
          <w:color w:val="000000"/>
          <w:sz w:val="22"/>
          <w:szCs w:val="24"/>
          <w:lang w:val="en-GB"/>
        </w:rPr>
        <w:t xml:space="preserve">. </w:t>
      </w:r>
      <w:r w:rsidR="001306EA" w:rsidRPr="00C250C5">
        <w:rPr>
          <w:rFonts w:ascii="Calibri" w:hAnsi="Calibri" w:cs="Calibri"/>
          <w:color w:val="000000"/>
          <w:sz w:val="22"/>
          <w:szCs w:val="24"/>
          <w:lang w:val="en-GB"/>
        </w:rPr>
        <w:t xml:space="preserve">The development shall be carried out in accordance with the principles of Drainage Strategy 168831-R02(02). Before commencement, the final detailed surface-water drainage scheme </w:t>
      </w:r>
      <w:r w:rsidR="0068087E" w:rsidRPr="00C250C5">
        <w:rPr>
          <w:rFonts w:ascii="Calibri" w:hAnsi="Calibri" w:cs="Calibri"/>
          <w:color w:val="000000"/>
          <w:sz w:val="22"/>
          <w:szCs w:val="24"/>
          <w:lang w:val="en-GB"/>
        </w:rPr>
        <w:t xml:space="preserve">should </w:t>
      </w:r>
      <w:r w:rsidR="001306EA" w:rsidRPr="00C250C5">
        <w:rPr>
          <w:rFonts w:ascii="Calibri" w:hAnsi="Calibri" w:cs="Calibri"/>
          <w:color w:val="000000"/>
          <w:sz w:val="22"/>
          <w:szCs w:val="24"/>
          <w:lang w:val="en-GB"/>
        </w:rPr>
        <w:t>be submitted to and approved by the local planning authority. It shall include hydraulic calculations for the 1-in-30-year and 1-in-100-year plus 40% climate-change events</w:t>
      </w:r>
      <w:r w:rsidR="006964DD" w:rsidRPr="00C250C5">
        <w:rPr>
          <w:rFonts w:ascii="Calibri" w:hAnsi="Calibri" w:cs="Calibri"/>
          <w:color w:val="000000"/>
          <w:sz w:val="22"/>
          <w:szCs w:val="24"/>
          <w:lang w:val="en-GB"/>
        </w:rPr>
        <w:t>;</w:t>
      </w:r>
      <w:r w:rsidR="001306EA" w:rsidRPr="00C250C5">
        <w:rPr>
          <w:rFonts w:ascii="Calibri" w:hAnsi="Calibri" w:cs="Calibri"/>
          <w:color w:val="000000"/>
          <w:sz w:val="22"/>
          <w:szCs w:val="24"/>
          <w:lang w:val="en-GB"/>
        </w:rPr>
        <w:t xml:space="preserve"> integration with the approved landscape and biodiversity schemes; </w:t>
      </w:r>
      <w:r w:rsidR="006964DD" w:rsidRPr="00C250C5">
        <w:rPr>
          <w:rFonts w:ascii="Calibri" w:hAnsi="Calibri" w:cs="Calibri"/>
          <w:color w:val="000000"/>
          <w:sz w:val="22"/>
          <w:szCs w:val="24"/>
          <w:lang w:val="en-GB"/>
        </w:rPr>
        <w:t xml:space="preserve">and outflow estimates into Rivers Brook </w:t>
      </w:r>
      <w:r w:rsidR="001306EA" w:rsidRPr="00C250C5">
        <w:rPr>
          <w:rFonts w:ascii="Calibri" w:hAnsi="Calibri" w:cs="Calibri"/>
          <w:color w:val="000000"/>
          <w:sz w:val="22"/>
          <w:szCs w:val="24"/>
          <w:lang w:val="en-GB"/>
        </w:rPr>
        <w:t>and arrangements for inspection, maintenance and long-term responsibility.</w:t>
      </w:r>
    </w:p>
    <w:p w14:paraId="5B5837AA" w14:textId="024F59D2"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Ensures that the stated SuDS principles are deliverable and maintained, supporting Policies C1 and NE3 and Part B Code 3c.</w:t>
      </w:r>
    </w:p>
    <w:p w14:paraId="625C4F7F" w14:textId="152E3769" w:rsidR="008C0581" w:rsidRPr="00E91A5B" w:rsidRDefault="00AD3841" w:rsidP="0002326A">
      <w:pPr>
        <w:pStyle w:val="Heading2"/>
        <w:ind w:left="720"/>
        <w:rPr>
          <w:rFonts w:ascii="Calibri" w:hAnsi="Calibri" w:cs="Calibri"/>
          <w:lang w:val="en-GB"/>
        </w:rPr>
      </w:pPr>
      <w:r>
        <w:rPr>
          <w:rFonts w:ascii="Calibri" w:hAnsi="Calibri" w:cs="Calibri"/>
          <w:lang w:val="en-GB"/>
        </w:rPr>
        <w:lastRenderedPageBreak/>
        <w:t>4</w:t>
      </w:r>
      <w:r w:rsidRPr="00E91A5B">
        <w:rPr>
          <w:rFonts w:ascii="Calibri" w:hAnsi="Calibri" w:cs="Calibri"/>
          <w:lang w:val="en-GB"/>
        </w:rPr>
        <w:t>. External lighting</w:t>
      </w:r>
    </w:p>
    <w:p w14:paraId="0A6293B5" w14:textId="77777777" w:rsidR="008C0581" w:rsidRPr="00C250C5" w:rsidRDefault="008D730C" w:rsidP="0002326A">
      <w:pPr>
        <w:ind w:left="720"/>
        <w:rPr>
          <w:rFonts w:ascii="Calibri" w:hAnsi="Calibri" w:cs="Calibri"/>
          <w:sz w:val="22"/>
          <w:szCs w:val="24"/>
          <w:lang w:val="en-GB"/>
        </w:rPr>
      </w:pPr>
      <w:r w:rsidRPr="00C250C5">
        <w:rPr>
          <w:rFonts w:ascii="Calibri" w:hAnsi="Calibri" w:cs="Calibri"/>
          <w:color w:val="000000"/>
          <w:sz w:val="22"/>
          <w:szCs w:val="24"/>
          <w:lang w:val="en-GB"/>
        </w:rPr>
        <w:t>No external lighting should be installed until a detailed lighting scheme has been approved. It should show locations, heights, luminaires, light levels and spill, colour temperature, direction, controls and hours of operation, informed by the ecological and landscape context. Lighting should be downward-directed and use a colour temperature below 3000K unless otherwise justified.</w:t>
      </w:r>
    </w:p>
    <w:p w14:paraId="02C92EB2" w14:textId="77777777"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Protects dark skies, biodiversity, landscape character and residential amenity under Policies NE2, NE5 and BE1 and Part B Code 2c.</w:t>
      </w:r>
    </w:p>
    <w:p w14:paraId="7B110F05" w14:textId="1DB2A70B" w:rsidR="008C0581" w:rsidRPr="00E91A5B" w:rsidRDefault="0002326A" w:rsidP="0002326A">
      <w:pPr>
        <w:pStyle w:val="Heading2"/>
        <w:ind w:left="720"/>
        <w:rPr>
          <w:rFonts w:ascii="Calibri" w:hAnsi="Calibri" w:cs="Calibri"/>
          <w:lang w:val="en-GB"/>
        </w:rPr>
      </w:pPr>
      <w:r>
        <w:rPr>
          <w:rFonts w:ascii="Calibri" w:hAnsi="Calibri" w:cs="Calibri"/>
          <w:lang w:val="en-GB"/>
        </w:rPr>
        <w:t>5</w:t>
      </w:r>
      <w:r w:rsidRPr="00E91A5B">
        <w:rPr>
          <w:rFonts w:ascii="Calibri" w:hAnsi="Calibri" w:cs="Calibri"/>
          <w:lang w:val="en-GB"/>
        </w:rPr>
        <w:t>. Construction environmental management plan</w:t>
      </w:r>
    </w:p>
    <w:p w14:paraId="587A2109" w14:textId="77777777" w:rsidR="008C0581" w:rsidRPr="00C250C5" w:rsidRDefault="008D730C" w:rsidP="0002326A">
      <w:pPr>
        <w:ind w:left="720"/>
        <w:rPr>
          <w:rFonts w:ascii="Calibri" w:hAnsi="Calibri" w:cs="Calibri"/>
          <w:sz w:val="22"/>
          <w:szCs w:val="24"/>
          <w:lang w:val="en-GB"/>
        </w:rPr>
      </w:pPr>
      <w:r w:rsidRPr="00C250C5">
        <w:rPr>
          <w:rFonts w:ascii="Calibri" w:hAnsi="Calibri" w:cs="Calibri"/>
          <w:color w:val="000000"/>
          <w:sz w:val="22"/>
          <w:szCs w:val="24"/>
          <w:lang w:val="en-GB"/>
        </w:rPr>
        <w:t>No development should commence until a CEMP has been approved. It should cover construction and delivery hours, vehicle routes, parking, wheel washing, dust, noise and vibration, waste, pollution and sediment control, protection of retained vegetation and habitats, and contact arrangements for complaints.</w:t>
      </w:r>
    </w:p>
    <w:p w14:paraId="60524E87" w14:textId="77777777"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Protects nearby residents, the highway, water environment and ecological features during construction.</w:t>
      </w:r>
    </w:p>
    <w:p w14:paraId="509B7F56" w14:textId="6054E50A" w:rsidR="008C0581" w:rsidRPr="00E91A5B" w:rsidRDefault="0002326A" w:rsidP="0002326A">
      <w:pPr>
        <w:pStyle w:val="Heading2"/>
        <w:ind w:left="720"/>
        <w:rPr>
          <w:rFonts w:ascii="Calibri" w:hAnsi="Calibri" w:cs="Calibri"/>
          <w:lang w:val="en-GB"/>
        </w:rPr>
      </w:pPr>
      <w:r>
        <w:rPr>
          <w:rFonts w:ascii="Calibri" w:hAnsi="Calibri" w:cs="Calibri"/>
          <w:lang w:val="en-GB"/>
        </w:rPr>
        <w:t>6</w:t>
      </w:r>
      <w:r w:rsidRPr="00E91A5B">
        <w:rPr>
          <w:rFonts w:ascii="Calibri" w:hAnsi="Calibri" w:cs="Calibri"/>
          <w:lang w:val="en-GB"/>
        </w:rPr>
        <w:t>. Operational hours and servicing</w:t>
      </w:r>
    </w:p>
    <w:p w14:paraId="7870EE77" w14:textId="77777777" w:rsidR="008C0581" w:rsidRPr="00C250C5" w:rsidRDefault="008D730C" w:rsidP="0002326A">
      <w:pPr>
        <w:ind w:left="720"/>
        <w:rPr>
          <w:rFonts w:ascii="Calibri" w:hAnsi="Calibri" w:cs="Calibri"/>
          <w:sz w:val="22"/>
          <w:szCs w:val="24"/>
          <w:lang w:val="en-GB"/>
        </w:rPr>
      </w:pPr>
      <w:r w:rsidRPr="00C250C5">
        <w:rPr>
          <w:rFonts w:ascii="Calibri" w:hAnsi="Calibri" w:cs="Calibri"/>
          <w:color w:val="000000"/>
          <w:sz w:val="22"/>
          <w:szCs w:val="24"/>
          <w:lang w:val="en-GB"/>
        </w:rPr>
        <w:t>Customer opening hours, delivery and servicing hours, waste collection, external activity and the operation of fixed plant should be controlled where the environmental-health and highway evidence demonstrates that this is necessary.</w:t>
      </w:r>
    </w:p>
    <w:p w14:paraId="1F793E79" w14:textId="77777777" w:rsidR="008C0581" w:rsidRPr="00C250C5" w:rsidRDefault="008D730C" w:rsidP="0002326A">
      <w:pPr>
        <w:ind w:left="950"/>
        <w:rPr>
          <w:rFonts w:ascii="Calibri" w:hAnsi="Calibri" w:cs="Calibri"/>
          <w:sz w:val="22"/>
          <w:szCs w:val="24"/>
          <w:lang w:val="en-GB"/>
        </w:rPr>
      </w:pPr>
      <w:r w:rsidRPr="00C250C5">
        <w:rPr>
          <w:rFonts w:ascii="Calibri" w:hAnsi="Calibri" w:cs="Calibri"/>
          <w:b/>
          <w:color w:val="1F4E79"/>
          <w:sz w:val="20"/>
          <w:szCs w:val="24"/>
          <w:lang w:val="en-GB"/>
        </w:rPr>
        <w:t xml:space="preserve">Reason: </w:t>
      </w:r>
      <w:r w:rsidRPr="00C250C5">
        <w:rPr>
          <w:rFonts w:ascii="Calibri" w:hAnsi="Calibri" w:cs="Calibri"/>
          <w:color w:val="666666"/>
          <w:sz w:val="20"/>
          <w:szCs w:val="24"/>
          <w:lang w:val="en-GB"/>
        </w:rPr>
        <w:t>Protects residential amenity while avoiding an imprecise condition that controls only public opening hours.</w:t>
      </w:r>
    </w:p>
    <w:p w14:paraId="2212C2D1" w14:textId="77777777" w:rsidR="008C0581" w:rsidRPr="00E91A5B" w:rsidRDefault="008D730C">
      <w:pPr>
        <w:pStyle w:val="Heading1"/>
        <w:rPr>
          <w:rFonts w:ascii="Calibri" w:hAnsi="Calibri" w:cs="Calibri"/>
          <w:lang w:val="en-GB"/>
        </w:rPr>
      </w:pPr>
      <w:r w:rsidRPr="00E91A5B">
        <w:rPr>
          <w:rFonts w:ascii="Calibri" w:hAnsi="Calibri" w:cs="Calibri"/>
          <w:lang w:val="en-GB"/>
        </w:rPr>
        <w:t>7. Conclusion</w:t>
      </w:r>
    </w:p>
    <w:p w14:paraId="44C89235" w14:textId="2756E169" w:rsidR="008C0581" w:rsidRPr="00C250C5" w:rsidRDefault="008D730C">
      <w:pPr>
        <w:rPr>
          <w:rFonts w:ascii="Calibri" w:hAnsi="Calibri" w:cs="Calibri"/>
          <w:sz w:val="22"/>
          <w:szCs w:val="24"/>
          <w:lang w:val="en-GB"/>
        </w:rPr>
      </w:pPr>
      <w:r w:rsidRPr="00C250C5">
        <w:rPr>
          <w:rFonts w:ascii="Calibri" w:hAnsi="Calibri" w:cs="Calibri"/>
          <w:color w:val="000000"/>
          <w:sz w:val="22"/>
          <w:szCs w:val="24"/>
          <w:lang w:val="en-GB"/>
        </w:rPr>
        <w:t xml:space="preserve">For the reasons set out above, Cherhill Parish Council supports the principle of the proposed farm shop and café. That support is subject to the local planning authority being satisfied on pedestrian and highway safety, landscape and visual effects, detailed drainage and biodiversity delivery, </w:t>
      </w:r>
      <w:r w:rsidR="00F75D87" w:rsidRPr="00C250C5">
        <w:rPr>
          <w:rFonts w:ascii="Calibri" w:hAnsi="Calibri" w:cs="Calibri"/>
          <w:color w:val="000000"/>
          <w:sz w:val="22"/>
          <w:szCs w:val="24"/>
          <w:lang w:val="en-GB"/>
        </w:rPr>
        <w:t xml:space="preserve">and </w:t>
      </w:r>
      <w:r w:rsidRPr="00C250C5">
        <w:rPr>
          <w:rFonts w:ascii="Calibri" w:hAnsi="Calibri" w:cs="Calibri"/>
          <w:color w:val="000000"/>
          <w:sz w:val="22"/>
          <w:szCs w:val="24"/>
          <w:lang w:val="en-GB"/>
        </w:rPr>
        <w:t>residential amenity, and to the necessary safeguards being secured through approved plans and conditions.</w:t>
      </w:r>
    </w:p>
    <w:p w14:paraId="5D9DE3A1" w14:textId="77777777" w:rsidR="008C0581" w:rsidRPr="00C250C5" w:rsidRDefault="008D730C">
      <w:pPr>
        <w:rPr>
          <w:rFonts w:ascii="Calibri" w:hAnsi="Calibri" w:cs="Calibri"/>
          <w:sz w:val="22"/>
          <w:szCs w:val="24"/>
          <w:lang w:val="en-GB"/>
        </w:rPr>
      </w:pPr>
      <w:r w:rsidRPr="00C250C5">
        <w:rPr>
          <w:rFonts w:ascii="Calibri" w:hAnsi="Calibri" w:cs="Calibri"/>
          <w:sz w:val="22"/>
          <w:szCs w:val="24"/>
          <w:lang w:val="en-GB"/>
        </w:rPr>
        <w:br w:type="page"/>
      </w:r>
    </w:p>
    <w:p w14:paraId="0D32724E" w14:textId="77777777" w:rsidR="008C0581" w:rsidRPr="00E91A5B" w:rsidRDefault="008D730C">
      <w:pPr>
        <w:pStyle w:val="Heading1"/>
        <w:rPr>
          <w:rFonts w:ascii="Calibri" w:hAnsi="Calibri" w:cs="Calibri"/>
          <w:lang w:val="en-GB"/>
        </w:rPr>
      </w:pPr>
      <w:r w:rsidRPr="00E91A5B">
        <w:rPr>
          <w:rFonts w:ascii="Calibri" w:hAnsi="Calibri" w:cs="Calibri"/>
          <w:lang w:val="en-GB"/>
        </w:rPr>
        <w:lastRenderedPageBreak/>
        <w:t>Appendix A — CCNP2 policy assessment</w:t>
      </w:r>
    </w:p>
    <w:p w14:paraId="6357D381" w14:textId="76961075" w:rsidR="008C0581" w:rsidRPr="00E91A5B" w:rsidRDefault="008D730C">
      <w:pPr>
        <w:rPr>
          <w:rFonts w:ascii="Calibri" w:hAnsi="Calibri" w:cs="Calibri"/>
          <w:lang w:val="en-GB"/>
        </w:rPr>
      </w:pPr>
      <w:r w:rsidRPr="00E91A5B">
        <w:rPr>
          <w:rFonts w:ascii="Calibri" w:hAnsi="Calibri" w:cs="Calibri"/>
          <w:color w:val="000000"/>
          <w:lang w:val="en-GB"/>
        </w:rPr>
        <w:t xml:space="preserve">This schedule is intended to direct the </w:t>
      </w:r>
      <w:r w:rsidR="00305E50">
        <w:rPr>
          <w:rFonts w:ascii="Calibri" w:hAnsi="Calibri" w:cs="Calibri"/>
          <w:color w:val="000000"/>
          <w:lang w:val="en-GB"/>
        </w:rPr>
        <w:t>planning officer</w:t>
      </w:r>
      <w:r w:rsidRPr="00E91A5B">
        <w:rPr>
          <w:rFonts w:ascii="Calibri" w:hAnsi="Calibri" w:cs="Calibri"/>
          <w:color w:val="000000"/>
          <w:lang w:val="en-GB"/>
        </w:rPr>
        <w:t xml:space="preserve"> to the relevant provisions of CCNP2 Part A. Short descriptions are used below</w:t>
      </w:r>
      <w:r w:rsidR="00F75D87">
        <w:rPr>
          <w:rFonts w:ascii="Calibri" w:hAnsi="Calibri" w:cs="Calibri"/>
          <w:color w:val="000000"/>
          <w:lang w:val="en-GB"/>
        </w:rPr>
        <w:t>;</w:t>
      </w:r>
    </w:p>
    <w:tbl>
      <w:tblPr>
        <w:tblStyle w:val="TableGrid"/>
        <w:tblW w:w="9360" w:type="dxa"/>
        <w:tblInd w:w="110" w:type="dxa"/>
        <w:tblLayout w:type="fixed"/>
        <w:tblLook w:val="04A0" w:firstRow="1" w:lastRow="0" w:firstColumn="1" w:lastColumn="0" w:noHBand="0" w:noVBand="1"/>
      </w:tblPr>
      <w:tblGrid>
        <w:gridCol w:w="600"/>
        <w:gridCol w:w="1750"/>
        <w:gridCol w:w="2380"/>
        <w:gridCol w:w="2500"/>
        <w:gridCol w:w="2130"/>
      </w:tblGrid>
      <w:tr w:rsidR="008C0581" w:rsidRPr="00E91A5B" w14:paraId="6DD82D4B" w14:textId="77777777">
        <w:trPr>
          <w:tblHeader/>
        </w:trPr>
        <w:tc>
          <w:tcPr>
            <w:tcW w:w="600" w:type="dxa"/>
            <w:shd w:val="clear" w:color="auto" w:fill="1F4E79"/>
            <w:tcMar>
              <w:top w:w="90" w:type="dxa"/>
              <w:left w:w="110" w:type="dxa"/>
              <w:bottom w:w="90" w:type="dxa"/>
              <w:right w:w="110" w:type="dxa"/>
            </w:tcMar>
            <w:vAlign w:val="center"/>
          </w:tcPr>
          <w:p w14:paraId="3B59EC68" w14:textId="77777777" w:rsidR="008C0581" w:rsidRPr="00E91A5B" w:rsidRDefault="008D730C">
            <w:pPr>
              <w:spacing w:after="0"/>
              <w:rPr>
                <w:rFonts w:ascii="Calibri" w:hAnsi="Calibri" w:cs="Calibri"/>
                <w:lang w:val="en-GB"/>
              </w:rPr>
            </w:pPr>
            <w:r w:rsidRPr="00E91A5B">
              <w:rPr>
                <w:rFonts w:ascii="Calibri" w:hAnsi="Calibri" w:cs="Calibri"/>
                <w:b/>
                <w:color w:val="FFFFFF"/>
                <w:sz w:val="14"/>
                <w:lang w:val="en-GB"/>
              </w:rPr>
              <w:t>Policy</w:t>
            </w:r>
          </w:p>
        </w:tc>
        <w:tc>
          <w:tcPr>
            <w:tcW w:w="1750" w:type="dxa"/>
            <w:shd w:val="clear" w:color="auto" w:fill="1F4E79"/>
            <w:tcMar>
              <w:top w:w="90" w:type="dxa"/>
              <w:left w:w="110" w:type="dxa"/>
              <w:bottom w:w="90" w:type="dxa"/>
              <w:right w:w="110" w:type="dxa"/>
            </w:tcMar>
            <w:vAlign w:val="center"/>
          </w:tcPr>
          <w:p w14:paraId="03CF24E1" w14:textId="77777777" w:rsidR="008C0581" w:rsidRPr="00E91A5B" w:rsidRDefault="008D730C">
            <w:pPr>
              <w:spacing w:after="0"/>
              <w:rPr>
                <w:rFonts w:ascii="Calibri" w:hAnsi="Calibri" w:cs="Calibri"/>
                <w:lang w:val="en-GB"/>
              </w:rPr>
            </w:pPr>
            <w:r w:rsidRPr="00E91A5B">
              <w:rPr>
                <w:rFonts w:ascii="Calibri" w:hAnsi="Calibri" w:cs="Calibri"/>
                <w:b/>
                <w:color w:val="FFFFFF"/>
                <w:sz w:val="14"/>
                <w:lang w:val="en-GB"/>
              </w:rPr>
              <w:t>Relevant matter</w:t>
            </w:r>
          </w:p>
        </w:tc>
        <w:tc>
          <w:tcPr>
            <w:tcW w:w="2380" w:type="dxa"/>
            <w:shd w:val="clear" w:color="auto" w:fill="1F4E79"/>
            <w:tcMar>
              <w:top w:w="90" w:type="dxa"/>
              <w:left w:w="110" w:type="dxa"/>
              <w:bottom w:w="90" w:type="dxa"/>
              <w:right w:w="110" w:type="dxa"/>
            </w:tcMar>
            <w:vAlign w:val="center"/>
          </w:tcPr>
          <w:p w14:paraId="3CC69013" w14:textId="77777777" w:rsidR="008C0581" w:rsidRPr="00E91A5B" w:rsidRDefault="008D730C">
            <w:pPr>
              <w:spacing w:after="0"/>
              <w:rPr>
                <w:rFonts w:ascii="Calibri" w:hAnsi="Calibri" w:cs="Calibri"/>
                <w:lang w:val="en-GB"/>
              </w:rPr>
            </w:pPr>
            <w:r w:rsidRPr="00E91A5B">
              <w:rPr>
                <w:rFonts w:ascii="Calibri" w:hAnsi="Calibri" w:cs="Calibri"/>
                <w:b/>
                <w:color w:val="FFFFFF"/>
                <w:sz w:val="14"/>
                <w:lang w:val="en-GB"/>
              </w:rPr>
              <w:t>Application evidence</w:t>
            </w:r>
          </w:p>
        </w:tc>
        <w:tc>
          <w:tcPr>
            <w:tcW w:w="2500" w:type="dxa"/>
            <w:shd w:val="clear" w:color="auto" w:fill="1F4E79"/>
            <w:tcMar>
              <w:top w:w="90" w:type="dxa"/>
              <w:left w:w="110" w:type="dxa"/>
              <w:bottom w:w="90" w:type="dxa"/>
              <w:right w:w="110" w:type="dxa"/>
            </w:tcMar>
            <w:vAlign w:val="center"/>
          </w:tcPr>
          <w:p w14:paraId="2891F58E" w14:textId="77777777" w:rsidR="008C0581" w:rsidRPr="00E91A5B" w:rsidRDefault="008D730C">
            <w:pPr>
              <w:spacing w:after="0"/>
              <w:rPr>
                <w:rFonts w:ascii="Calibri" w:hAnsi="Calibri" w:cs="Calibri"/>
                <w:lang w:val="en-GB"/>
              </w:rPr>
            </w:pPr>
            <w:r w:rsidRPr="00E91A5B">
              <w:rPr>
                <w:rFonts w:ascii="Calibri" w:hAnsi="Calibri" w:cs="Calibri"/>
                <w:b/>
                <w:color w:val="FFFFFF"/>
                <w:sz w:val="14"/>
                <w:lang w:val="en-GB"/>
              </w:rPr>
              <w:t>Parish council assessment</w:t>
            </w:r>
          </w:p>
        </w:tc>
        <w:tc>
          <w:tcPr>
            <w:tcW w:w="2130" w:type="dxa"/>
            <w:shd w:val="clear" w:color="auto" w:fill="1F4E79"/>
            <w:tcMar>
              <w:top w:w="90" w:type="dxa"/>
              <w:left w:w="110" w:type="dxa"/>
              <w:bottom w:w="90" w:type="dxa"/>
              <w:right w:w="110" w:type="dxa"/>
            </w:tcMar>
            <w:vAlign w:val="center"/>
          </w:tcPr>
          <w:p w14:paraId="02861B76" w14:textId="77777777" w:rsidR="008C0581" w:rsidRPr="00E91A5B" w:rsidRDefault="008D730C">
            <w:pPr>
              <w:spacing w:after="0"/>
              <w:rPr>
                <w:rFonts w:ascii="Calibri" w:hAnsi="Calibri" w:cs="Calibri"/>
                <w:lang w:val="en-GB"/>
              </w:rPr>
            </w:pPr>
            <w:r w:rsidRPr="00E91A5B">
              <w:rPr>
                <w:rFonts w:ascii="Calibri" w:hAnsi="Calibri" w:cs="Calibri"/>
                <w:b/>
                <w:color w:val="FFFFFF"/>
                <w:sz w:val="14"/>
                <w:lang w:val="en-GB"/>
              </w:rPr>
              <w:t>Action / safeguard</w:t>
            </w:r>
          </w:p>
        </w:tc>
      </w:tr>
      <w:tr w:rsidR="008C0581" w:rsidRPr="00E91A5B" w14:paraId="46A32048" w14:textId="77777777">
        <w:trPr>
          <w:cantSplit/>
        </w:trPr>
        <w:tc>
          <w:tcPr>
            <w:tcW w:w="600" w:type="dxa"/>
            <w:tcMar>
              <w:top w:w="90" w:type="dxa"/>
              <w:left w:w="110" w:type="dxa"/>
              <w:bottom w:w="90" w:type="dxa"/>
              <w:right w:w="110" w:type="dxa"/>
            </w:tcMar>
            <w:vAlign w:val="center"/>
          </w:tcPr>
          <w:p w14:paraId="194E95A1"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C1</w:t>
            </w:r>
          </w:p>
        </w:tc>
        <w:tc>
          <w:tcPr>
            <w:tcW w:w="1750" w:type="dxa"/>
            <w:tcMar>
              <w:top w:w="90" w:type="dxa"/>
              <w:left w:w="110" w:type="dxa"/>
              <w:bottom w:w="90" w:type="dxa"/>
              <w:right w:w="110" w:type="dxa"/>
            </w:tcMar>
            <w:vAlign w:val="center"/>
          </w:tcPr>
          <w:p w14:paraId="76CF03C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Sustainable development and climate resilience</w:t>
            </w:r>
          </w:p>
        </w:tc>
        <w:tc>
          <w:tcPr>
            <w:tcW w:w="2380" w:type="dxa"/>
            <w:tcMar>
              <w:top w:w="90" w:type="dxa"/>
              <w:left w:w="110" w:type="dxa"/>
              <w:bottom w:w="90" w:type="dxa"/>
              <w:right w:w="110" w:type="dxa"/>
            </w:tcMar>
            <w:vAlign w:val="center"/>
          </w:tcPr>
          <w:p w14:paraId="7ED19FCB"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Planning statement refers to SuDS, EV charging, cycle parking and air-source heat pumps.</w:t>
            </w:r>
          </w:p>
        </w:tc>
        <w:tc>
          <w:tcPr>
            <w:tcW w:w="2500" w:type="dxa"/>
            <w:tcMar>
              <w:top w:w="90" w:type="dxa"/>
              <w:left w:w="110" w:type="dxa"/>
              <w:bottom w:w="90" w:type="dxa"/>
              <w:right w:w="110" w:type="dxa"/>
            </w:tcMar>
            <w:vAlign w:val="center"/>
          </w:tcPr>
          <w:p w14:paraId="4AEC242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Relevant and supportive in principle. Detailed drainage and delivery of energy measures remain to be secured.</w:t>
            </w:r>
          </w:p>
        </w:tc>
        <w:tc>
          <w:tcPr>
            <w:tcW w:w="2130" w:type="dxa"/>
            <w:tcMar>
              <w:top w:w="90" w:type="dxa"/>
              <w:left w:w="110" w:type="dxa"/>
              <w:bottom w:w="90" w:type="dxa"/>
              <w:right w:w="110" w:type="dxa"/>
            </w:tcMar>
            <w:vAlign w:val="center"/>
          </w:tcPr>
          <w:p w14:paraId="603404A5" w14:textId="6F2B8BEF"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 4.</w:t>
            </w:r>
          </w:p>
        </w:tc>
      </w:tr>
      <w:tr w:rsidR="008C0581" w:rsidRPr="00E91A5B" w14:paraId="2A7ABD5C" w14:textId="77777777">
        <w:trPr>
          <w:cantSplit/>
        </w:trPr>
        <w:tc>
          <w:tcPr>
            <w:tcW w:w="600" w:type="dxa"/>
            <w:shd w:val="clear" w:color="auto" w:fill="F2F4F7"/>
            <w:tcMar>
              <w:top w:w="90" w:type="dxa"/>
              <w:left w:w="110" w:type="dxa"/>
              <w:bottom w:w="90" w:type="dxa"/>
              <w:right w:w="110" w:type="dxa"/>
            </w:tcMar>
            <w:vAlign w:val="center"/>
          </w:tcPr>
          <w:p w14:paraId="7B1A4B0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C2</w:t>
            </w:r>
          </w:p>
        </w:tc>
        <w:tc>
          <w:tcPr>
            <w:tcW w:w="1750" w:type="dxa"/>
            <w:shd w:val="clear" w:color="auto" w:fill="F2F4F7"/>
            <w:tcMar>
              <w:top w:w="90" w:type="dxa"/>
              <w:left w:w="110" w:type="dxa"/>
              <w:bottom w:w="90" w:type="dxa"/>
              <w:right w:w="110" w:type="dxa"/>
            </w:tcMar>
            <w:vAlign w:val="center"/>
          </w:tcPr>
          <w:p w14:paraId="3ABD932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Reduction of greenhouse-gas emissions and net-zero operation</w:t>
            </w:r>
          </w:p>
        </w:tc>
        <w:tc>
          <w:tcPr>
            <w:tcW w:w="2380" w:type="dxa"/>
            <w:shd w:val="clear" w:color="auto" w:fill="F2F4F7"/>
            <w:tcMar>
              <w:top w:w="90" w:type="dxa"/>
              <w:left w:w="110" w:type="dxa"/>
              <w:bottom w:w="90" w:type="dxa"/>
              <w:right w:w="110" w:type="dxa"/>
            </w:tcMar>
            <w:vAlign w:val="center"/>
          </w:tcPr>
          <w:p w14:paraId="15C314D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Air-source heat pumps, possible PV provision and a low-carbon materials strategy are described.</w:t>
            </w:r>
          </w:p>
        </w:tc>
        <w:tc>
          <w:tcPr>
            <w:tcW w:w="2500" w:type="dxa"/>
            <w:shd w:val="clear" w:color="auto" w:fill="F2F4F7"/>
            <w:tcMar>
              <w:top w:w="90" w:type="dxa"/>
              <w:left w:w="110" w:type="dxa"/>
              <w:bottom w:w="90" w:type="dxa"/>
              <w:right w:w="110" w:type="dxa"/>
            </w:tcMar>
            <w:vAlign w:val="center"/>
          </w:tcPr>
          <w:p w14:paraId="78023AA3" w14:textId="2B39A90D"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Partly demonstrated. PV installation is not yet a firm commitment</w:t>
            </w:r>
            <w:r w:rsidR="00783709">
              <w:rPr>
                <w:rFonts w:ascii="Calibri" w:hAnsi="Calibri" w:cs="Calibri"/>
                <w:color w:val="000000"/>
                <w:sz w:val="14"/>
                <w:lang w:val="en-GB"/>
              </w:rPr>
              <w:t xml:space="preserve"> but would be very welcome</w:t>
            </w:r>
          </w:p>
        </w:tc>
        <w:tc>
          <w:tcPr>
            <w:tcW w:w="2130" w:type="dxa"/>
            <w:shd w:val="clear" w:color="auto" w:fill="F2F4F7"/>
            <w:tcMar>
              <w:top w:w="90" w:type="dxa"/>
              <w:left w:w="110" w:type="dxa"/>
              <w:bottom w:w="90" w:type="dxa"/>
              <w:right w:w="110" w:type="dxa"/>
            </w:tcMar>
            <w:vAlign w:val="center"/>
          </w:tcPr>
          <w:p w14:paraId="08907F92" w14:textId="5D1CC65A" w:rsidR="008C0581" w:rsidRPr="00E91A5B" w:rsidRDefault="00BB1677">
            <w:pPr>
              <w:spacing w:after="0" w:line="245" w:lineRule="auto"/>
              <w:rPr>
                <w:rFonts w:ascii="Calibri" w:hAnsi="Calibri" w:cs="Calibri"/>
                <w:lang w:val="en-GB"/>
              </w:rPr>
            </w:pPr>
            <w:r>
              <w:rPr>
                <w:rFonts w:ascii="Calibri" w:hAnsi="Calibri" w:cs="Calibri"/>
                <w:color w:val="000000"/>
                <w:sz w:val="14"/>
                <w:lang w:val="en-GB"/>
              </w:rPr>
              <w:t>No condition requested</w:t>
            </w:r>
            <w:r w:rsidRPr="00E91A5B">
              <w:rPr>
                <w:rFonts w:ascii="Calibri" w:hAnsi="Calibri" w:cs="Calibri"/>
                <w:color w:val="000000"/>
                <w:sz w:val="14"/>
                <w:lang w:val="en-GB"/>
              </w:rPr>
              <w:t>.</w:t>
            </w:r>
          </w:p>
        </w:tc>
      </w:tr>
      <w:tr w:rsidR="008C0581" w:rsidRPr="00E91A5B" w14:paraId="0ED3A00F" w14:textId="77777777">
        <w:trPr>
          <w:cantSplit/>
        </w:trPr>
        <w:tc>
          <w:tcPr>
            <w:tcW w:w="600" w:type="dxa"/>
            <w:tcMar>
              <w:top w:w="90" w:type="dxa"/>
              <w:left w:w="110" w:type="dxa"/>
              <w:bottom w:w="90" w:type="dxa"/>
              <w:right w:w="110" w:type="dxa"/>
            </w:tcMar>
            <w:vAlign w:val="center"/>
          </w:tcPr>
          <w:p w14:paraId="41BF4A8A"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NE1</w:t>
            </w:r>
          </w:p>
        </w:tc>
        <w:tc>
          <w:tcPr>
            <w:tcW w:w="1750" w:type="dxa"/>
            <w:tcMar>
              <w:top w:w="90" w:type="dxa"/>
              <w:left w:w="110" w:type="dxa"/>
              <w:bottom w:w="90" w:type="dxa"/>
              <w:right w:w="110" w:type="dxa"/>
            </w:tcMar>
            <w:vAlign w:val="center"/>
          </w:tcPr>
          <w:p w14:paraId="629B5AF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Local Green Space</w:t>
            </w:r>
          </w:p>
        </w:tc>
        <w:tc>
          <w:tcPr>
            <w:tcW w:w="2380" w:type="dxa"/>
            <w:tcMar>
              <w:top w:w="90" w:type="dxa"/>
              <w:left w:w="110" w:type="dxa"/>
              <w:bottom w:w="90" w:type="dxa"/>
              <w:right w:w="110" w:type="dxa"/>
            </w:tcMar>
            <w:vAlign w:val="center"/>
          </w:tcPr>
          <w:p w14:paraId="7CFE60F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The site is not identified as Local Green Space.</w:t>
            </w:r>
          </w:p>
        </w:tc>
        <w:tc>
          <w:tcPr>
            <w:tcW w:w="2500" w:type="dxa"/>
            <w:tcMar>
              <w:top w:w="90" w:type="dxa"/>
              <w:left w:w="110" w:type="dxa"/>
              <w:bottom w:w="90" w:type="dxa"/>
              <w:right w:w="110" w:type="dxa"/>
            </w:tcMar>
            <w:vAlign w:val="center"/>
          </w:tcPr>
          <w:p w14:paraId="45DBDC3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No conflict identified; otherwise not determinative.</w:t>
            </w:r>
          </w:p>
        </w:tc>
        <w:tc>
          <w:tcPr>
            <w:tcW w:w="2130" w:type="dxa"/>
            <w:tcMar>
              <w:top w:w="90" w:type="dxa"/>
              <w:left w:w="110" w:type="dxa"/>
              <w:bottom w:w="90" w:type="dxa"/>
              <w:right w:w="110" w:type="dxa"/>
            </w:tcMar>
            <w:vAlign w:val="center"/>
          </w:tcPr>
          <w:p w14:paraId="1E9D2CF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Confirm mapping; no condition requested.</w:t>
            </w:r>
          </w:p>
        </w:tc>
      </w:tr>
      <w:tr w:rsidR="008C0581" w:rsidRPr="00E91A5B" w14:paraId="69C340A8" w14:textId="77777777">
        <w:trPr>
          <w:cantSplit/>
        </w:trPr>
        <w:tc>
          <w:tcPr>
            <w:tcW w:w="600" w:type="dxa"/>
            <w:shd w:val="clear" w:color="auto" w:fill="F2F4F7"/>
            <w:tcMar>
              <w:top w:w="90" w:type="dxa"/>
              <w:left w:w="110" w:type="dxa"/>
              <w:bottom w:w="90" w:type="dxa"/>
              <w:right w:w="110" w:type="dxa"/>
            </w:tcMar>
            <w:vAlign w:val="center"/>
          </w:tcPr>
          <w:p w14:paraId="67B0112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NE2</w:t>
            </w:r>
          </w:p>
        </w:tc>
        <w:tc>
          <w:tcPr>
            <w:tcW w:w="1750" w:type="dxa"/>
            <w:shd w:val="clear" w:color="auto" w:fill="F2F4F7"/>
            <w:tcMar>
              <w:top w:w="90" w:type="dxa"/>
              <w:left w:w="110" w:type="dxa"/>
              <w:bottom w:w="90" w:type="dxa"/>
              <w:right w:w="110" w:type="dxa"/>
            </w:tcMar>
            <w:vAlign w:val="center"/>
          </w:tcPr>
          <w:p w14:paraId="688DE2D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Protection and enhancement of biodiversity</w:t>
            </w:r>
          </w:p>
        </w:tc>
        <w:tc>
          <w:tcPr>
            <w:tcW w:w="2380" w:type="dxa"/>
            <w:shd w:val="clear" w:color="auto" w:fill="F2F4F7"/>
            <w:tcMar>
              <w:top w:w="90" w:type="dxa"/>
              <w:left w:w="110" w:type="dxa"/>
              <w:bottom w:w="90" w:type="dxa"/>
              <w:right w:w="110" w:type="dxa"/>
            </w:tcMar>
            <w:vAlign w:val="center"/>
          </w:tcPr>
          <w:p w14:paraId="2645749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BNG report and preliminary ecological appraisal; habitat creation and species measures proposed.</w:t>
            </w:r>
          </w:p>
        </w:tc>
        <w:tc>
          <w:tcPr>
            <w:tcW w:w="2500" w:type="dxa"/>
            <w:shd w:val="clear" w:color="auto" w:fill="F2F4F7"/>
            <w:tcMar>
              <w:top w:w="90" w:type="dxa"/>
              <w:left w:w="110" w:type="dxa"/>
              <w:bottom w:w="90" w:type="dxa"/>
              <w:right w:w="110" w:type="dxa"/>
            </w:tcMar>
            <w:vAlign w:val="center"/>
          </w:tcPr>
          <w:p w14:paraId="51963D5D" w14:textId="11466574"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Supportive</w:t>
            </w:r>
          </w:p>
        </w:tc>
        <w:tc>
          <w:tcPr>
            <w:tcW w:w="2130" w:type="dxa"/>
            <w:shd w:val="clear" w:color="auto" w:fill="F2F4F7"/>
            <w:tcMar>
              <w:top w:w="90" w:type="dxa"/>
              <w:left w:w="110" w:type="dxa"/>
              <w:bottom w:w="90" w:type="dxa"/>
              <w:right w:w="110" w:type="dxa"/>
            </w:tcMar>
            <w:vAlign w:val="center"/>
          </w:tcPr>
          <w:p w14:paraId="0BBCEC55" w14:textId="7564815E" w:rsidR="008C0581" w:rsidRPr="00E91A5B" w:rsidRDefault="00BB1677">
            <w:pPr>
              <w:spacing w:after="0" w:line="245" w:lineRule="auto"/>
              <w:rPr>
                <w:rFonts w:ascii="Calibri" w:hAnsi="Calibri" w:cs="Calibri"/>
                <w:lang w:val="en-GB"/>
              </w:rPr>
            </w:pPr>
            <w:r>
              <w:rPr>
                <w:rFonts w:ascii="Calibri" w:hAnsi="Calibri" w:cs="Calibri"/>
                <w:color w:val="000000"/>
                <w:sz w:val="14"/>
                <w:lang w:val="en-GB"/>
              </w:rPr>
              <w:t>No condition requested</w:t>
            </w:r>
            <w:r w:rsidRPr="00E91A5B">
              <w:rPr>
                <w:rFonts w:ascii="Calibri" w:hAnsi="Calibri" w:cs="Calibri"/>
                <w:color w:val="000000"/>
                <w:sz w:val="14"/>
                <w:lang w:val="en-GB"/>
              </w:rPr>
              <w:t>.</w:t>
            </w:r>
          </w:p>
        </w:tc>
      </w:tr>
      <w:tr w:rsidR="008C0581" w:rsidRPr="00E91A5B" w14:paraId="2C9BB36D" w14:textId="77777777">
        <w:trPr>
          <w:cantSplit/>
        </w:trPr>
        <w:tc>
          <w:tcPr>
            <w:tcW w:w="600" w:type="dxa"/>
            <w:tcMar>
              <w:top w:w="90" w:type="dxa"/>
              <w:left w:w="110" w:type="dxa"/>
              <w:bottom w:w="90" w:type="dxa"/>
              <w:right w:w="110" w:type="dxa"/>
            </w:tcMar>
            <w:vAlign w:val="center"/>
          </w:tcPr>
          <w:p w14:paraId="02946DB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NE3</w:t>
            </w:r>
          </w:p>
        </w:tc>
        <w:tc>
          <w:tcPr>
            <w:tcW w:w="1750" w:type="dxa"/>
            <w:tcMar>
              <w:top w:w="90" w:type="dxa"/>
              <w:left w:w="110" w:type="dxa"/>
              <w:bottom w:w="90" w:type="dxa"/>
              <w:right w:w="110" w:type="dxa"/>
            </w:tcMar>
            <w:vAlign w:val="center"/>
          </w:tcPr>
          <w:p w14:paraId="1340A7B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Green and blue infrastructure</w:t>
            </w:r>
          </w:p>
        </w:tc>
        <w:tc>
          <w:tcPr>
            <w:tcW w:w="2380" w:type="dxa"/>
            <w:tcMar>
              <w:top w:w="90" w:type="dxa"/>
              <w:left w:w="110" w:type="dxa"/>
              <w:bottom w:w="90" w:type="dxa"/>
              <w:right w:w="110" w:type="dxa"/>
            </w:tcMar>
            <w:vAlign w:val="center"/>
          </w:tcPr>
          <w:p w14:paraId="326E185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New pond, drainage feature, hedgerows, scrub and tree planting are proposed.</w:t>
            </w:r>
          </w:p>
        </w:tc>
        <w:tc>
          <w:tcPr>
            <w:tcW w:w="2500" w:type="dxa"/>
            <w:tcMar>
              <w:top w:w="90" w:type="dxa"/>
              <w:left w:w="110" w:type="dxa"/>
              <w:bottom w:w="90" w:type="dxa"/>
              <w:right w:w="110" w:type="dxa"/>
            </w:tcMar>
            <w:vAlign w:val="center"/>
          </w:tcPr>
          <w:p w14:paraId="44A835F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Potential enhancement of connectivity, subject to detailed design and management.</w:t>
            </w:r>
          </w:p>
        </w:tc>
        <w:tc>
          <w:tcPr>
            <w:tcW w:w="2130" w:type="dxa"/>
            <w:tcMar>
              <w:top w:w="90" w:type="dxa"/>
              <w:left w:w="110" w:type="dxa"/>
              <w:bottom w:w="90" w:type="dxa"/>
              <w:right w:w="110" w:type="dxa"/>
            </w:tcMar>
            <w:vAlign w:val="center"/>
          </w:tcPr>
          <w:p w14:paraId="042C2532" w14:textId="2F168A6A"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Conditions 2</w:t>
            </w:r>
            <w:r w:rsidR="00BB1677">
              <w:rPr>
                <w:rFonts w:ascii="Calibri" w:hAnsi="Calibri" w:cs="Calibri"/>
                <w:color w:val="000000"/>
                <w:sz w:val="14"/>
                <w:lang w:val="en-GB"/>
              </w:rPr>
              <w:t>&amp;3</w:t>
            </w:r>
            <w:r w:rsidRPr="00E91A5B">
              <w:rPr>
                <w:rFonts w:ascii="Calibri" w:hAnsi="Calibri" w:cs="Calibri"/>
                <w:color w:val="000000"/>
                <w:sz w:val="14"/>
                <w:lang w:val="en-GB"/>
              </w:rPr>
              <w:t>.</w:t>
            </w:r>
          </w:p>
        </w:tc>
      </w:tr>
      <w:tr w:rsidR="008C0581" w:rsidRPr="00E91A5B" w14:paraId="5FD39D23" w14:textId="77777777">
        <w:trPr>
          <w:cantSplit/>
        </w:trPr>
        <w:tc>
          <w:tcPr>
            <w:tcW w:w="600" w:type="dxa"/>
            <w:shd w:val="clear" w:color="auto" w:fill="F2F4F7"/>
            <w:tcMar>
              <w:top w:w="90" w:type="dxa"/>
              <w:left w:w="110" w:type="dxa"/>
              <w:bottom w:w="90" w:type="dxa"/>
              <w:right w:w="110" w:type="dxa"/>
            </w:tcMar>
            <w:vAlign w:val="center"/>
          </w:tcPr>
          <w:p w14:paraId="6C3F224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NE4</w:t>
            </w:r>
          </w:p>
        </w:tc>
        <w:tc>
          <w:tcPr>
            <w:tcW w:w="1750" w:type="dxa"/>
            <w:shd w:val="clear" w:color="auto" w:fill="F2F4F7"/>
            <w:tcMar>
              <w:top w:w="90" w:type="dxa"/>
              <w:left w:w="110" w:type="dxa"/>
              <w:bottom w:w="90" w:type="dxa"/>
              <w:right w:w="110" w:type="dxa"/>
            </w:tcMar>
            <w:vAlign w:val="center"/>
          </w:tcPr>
          <w:p w14:paraId="4D12FB2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Trees, woodland and hedgerows</w:t>
            </w:r>
          </w:p>
        </w:tc>
        <w:tc>
          <w:tcPr>
            <w:tcW w:w="2380" w:type="dxa"/>
            <w:shd w:val="clear" w:color="auto" w:fill="F2F4F7"/>
            <w:tcMar>
              <w:top w:w="90" w:type="dxa"/>
              <w:left w:w="110" w:type="dxa"/>
              <w:bottom w:w="90" w:type="dxa"/>
              <w:right w:w="110" w:type="dxa"/>
            </w:tcMar>
            <w:vAlign w:val="center"/>
          </w:tcPr>
          <w:p w14:paraId="6C39B64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Removal of a defunct hedgerow is reported; replacement native hedgerow and tree planting are proposed.</w:t>
            </w:r>
          </w:p>
        </w:tc>
        <w:tc>
          <w:tcPr>
            <w:tcW w:w="2500" w:type="dxa"/>
            <w:shd w:val="clear" w:color="auto" w:fill="F2F4F7"/>
            <w:tcMar>
              <w:top w:w="90" w:type="dxa"/>
              <w:left w:w="110" w:type="dxa"/>
              <w:bottom w:w="90" w:type="dxa"/>
              <w:right w:w="110" w:type="dxa"/>
            </w:tcMar>
            <w:vAlign w:val="center"/>
          </w:tcPr>
          <w:p w14:paraId="7D13651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Acceptable in principle if replacement quantity, quality and establishment are secured.</w:t>
            </w:r>
          </w:p>
        </w:tc>
        <w:tc>
          <w:tcPr>
            <w:tcW w:w="2130" w:type="dxa"/>
            <w:shd w:val="clear" w:color="auto" w:fill="F2F4F7"/>
            <w:tcMar>
              <w:top w:w="90" w:type="dxa"/>
              <w:left w:w="110" w:type="dxa"/>
              <w:bottom w:w="90" w:type="dxa"/>
              <w:right w:w="110" w:type="dxa"/>
            </w:tcMar>
            <w:vAlign w:val="center"/>
          </w:tcPr>
          <w:p w14:paraId="6C1AEBC4" w14:textId="21C00AE9"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 xml:space="preserve">Condition 2; </w:t>
            </w:r>
            <w:r w:rsidR="00783709" w:rsidRPr="00783709">
              <w:rPr>
                <w:rFonts w:ascii="Calibri" w:hAnsi="Calibri" w:cs="Calibri"/>
                <w:color w:val="000000"/>
                <w:sz w:val="14"/>
                <w:lang w:val="en-GB"/>
              </w:rPr>
              <w:t>verify hedgerow and tree planting quantities against the submitted BNG plan</w:t>
            </w:r>
            <w:r w:rsidRPr="00E91A5B">
              <w:rPr>
                <w:rFonts w:ascii="Calibri" w:hAnsi="Calibri" w:cs="Calibri"/>
                <w:color w:val="000000"/>
                <w:sz w:val="14"/>
                <w:lang w:val="en-GB"/>
              </w:rPr>
              <w:t>.</w:t>
            </w:r>
          </w:p>
        </w:tc>
      </w:tr>
      <w:tr w:rsidR="008C0581" w:rsidRPr="00E91A5B" w14:paraId="2EA61EBB" w14:textId="77777777">
        <w:trPr>
          <w:cantSplit/>
        </w:trPr>
        <w:tc>
          <w:tcPr>
            <w:tcW w:w="600" w:type="dxa"/>
            <w:tcMar>
              <w:top w:w="90" w:type="dxa"/>
              <w:left w:w="110" w:type="dxa"/>
              <w:bottom w:w="90" w:type="dxa"/>
              <w:right w:w="110" w:type="dxa"/>
            </w:tcMar>
            <w:vAlign w:val="center"/>
          </w:tcPr>
          <w:p w14:paraId="544026F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NE5</w:t>
            </w:r>
          </w:p>
        </w:tc>
        <w:tc>
          <w:tcPr>
            <w:tcW w:w="1750" w:type="dxa"/>
            <w:tcMar>
              <w:top w:w="90" w:type="dxa"/>
              <w:left w:w="110" w:type="dxa"/>
              <w:bottom w:w="90" w:type="dxa"/>
              <w:right w:w="110" w:type="dxa"/>
            </w:tcMar>
            <w:vAlign w:val="center"/>
          </w:tcPr>
          <w:p w14:paraId="3C230CF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Rural setting and important views</w:t>
            </w:r>
          </w:p>
        </w:tc>
        <w:tc>
          <w:tcPr>
            <w:tcW w:w="2380" w:type="dxa"/>
            <w:tcMar>
              <w:top w:w="90" w:type="dxa"/>
              <w:left w:w="110" w:type="dxa"/>
              <w:bottom w:w="90" w:type="dxa"/>
              <w:right w:w="110" w:type="dxa"/>
            </w:tcMar>
            <w:vAlign w:val="center"/>
          </w:tcPr>
          <w:p w14:paraId="27B4837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Muted materials, retained vegetation and new screening are relied upon; protected views are discussed.</w:t>
            </w:r>
          </w:p>
        </w:tc>
        <w:tc>
          <w:tcPr>
            <w:tcW w:w="2500" w:type="dxa"/>
            <w:tcMar>
              <w:top w:w="90" w:type="dxa"/>
              <w:left w:w="110" w:type="dxa"/>
              <w:bottom w:w="90" w:type="dxa"/>
              <w:right w:w="110" w:type="dxa"/>
            </w:tcMar>
            <w:vAlign w:val="center"/>
          </w:tcPr>
          <w:p w14:paraId="532561F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Potential compliance, but nine-metre silo element and National Landscape setting require officer assessment.</w:t>
            </w:r>
          </w:p>
        </w:tc>
        <w:tc>
          <w:tcPr>
            <w:tcW w:w="2130" w:type="dxa"/>
            <w:tcMar>
              <w:top w:w="90" w:type="dxa"/>
              <w:left w:w="110" w:type="dxa"/>
              <w:bottom w:w="90" w:type="dxa"/>
              <w:right w:w="110" w:type="dxa"/>
            </w:tcMar>
            <w:vAlign w:val="center"/>
          </w:tcPr>
          <w:p w14:paraId="5C2C683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 2; verify visual material and winter views.</w:t>
            </w:r>
          </w:p>
        </w:tc>
      </w:tr>
      <w:tr w:rsidR="008C0581" w:rsidRPr="00E91A5B" w14:paraId="743135B7" w14:textId="77777777">
        <w:trPr>
          <w:cantSplit/>
        </w:trPr>
        <w:tc>
          <w:tcPr>
            <w:tcW w:w="600" w:type="dxa"/>
            <w:shd w:val="clear" w:color="auto" w:fill="F2F4F7"/>
            <w:tcMar>
              <w:top w:w="90" w:type="dxa"/>
              <w:left w:w="110" w:type="dxa"/>
              <w:bottom w:w="90" w:type="dxa"/>
              <w:right w:w="110" w:type="dxa"/>
            </w:tcMar>
            <w:vAlign w:val="center"/>
          </w:tcPr>
          <w:p w14:paraId="35F5BA3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BE1</w:t>
            </w:r>
          </w:p>
        </w:tc>
        <w:tc>
          <w:tcPr>
            <w:tcW w:w="1750" w:type="dxa"/>
            <w:shd w:val="clear" w:color="auto" w:fill="F2F4F7"/>
            <w:tcMar>
              <w:top w:w="90" w:type="dxa"/>
              <w:left w:w="110" w:type="dxa"/>
              <w:bottom w:w="90" w:type="dxa"/>
              <w:right w:w="110" w:type="dxa"/>
            </w:tcMar>
            <w:vAlign w:val="center"/>
          </w:tcPr>
          <w:p w14:paraId="2EF6628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Design informed by adopted design guidance</w:t>
            </w:r>
          </w:p>
        </w:tc>
        <w:tc>
          <w:tcPr>
            <w:tcW w:w="2380" w:type="dxa"/>
            <w:shd w:val="clear" w:color="auto" w:fill="F2F4F7"/>
            <w:tcMar>
              <w:top w:w="90" w:type="dxa"/>
              <w:left w:w="110" w:type="dxa"/>
              <w:bottom w:w="90" w:type="dxa"/>
              <w:right w:w="110" w:type="dxa"/>
            </w:tcMar>
            <w:vAlign w:val="center"/>
          </w:tcPr>
          <w:p w14:paraId="3D2E502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Planning statement refers to CCNP2 Part B and proposes agricultural-form materials and controlled lighting.</w:t>
            </w:r>
          </w:p>
        </w:tc>
        <w:tc>
          <w:tcPr>
            <w:tcW w:w="2500" w:type="dxa"/>
            <w:shd w:val="clear" w:color="auto" w:fill="F2F4F7"/>
            <w:tcMar>
              <w:top w:w="90" w:type="dxa"/>
              <w:left w:w="110" w:type="dxa"/>
              <w:bottom w:w="90" w:type="dxa"/>
              <w:right w:w="110" w:type="dxa"/>
            </w:tcMar>
            <w:vAlign w:val="center"/>
          </w:tcPr>
          <w:p w14:paraId="34C6893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Broadly aligned, subject to detailed landscape, lighting and materials controls.</w:t>
            </w:r>
          </w:p>
        </w:tc>
        <w:tc>
          <w:tcPr>
            <w:tcW w:w="2130" w:type="dxa"/>
            <w:shd w:val="clear" w:color="auto" w:fill="F2F4F7"/>
            <w:tcMar>
              <w:top w:w="90" w:type="dxa"/>
              <w:left w:w="110" w:type="dxa"/>
              <w:bottom w:w="90" w:type="dxa"/>
              <w:right w:w="110" w:type="dxa"/>
            </w:tcMar>
            <w:vAlign w:val="center"/>
          </w:tcPr>
          <w:p w14:paraId="3F8BE085" w14:textId="4AE16FAF"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 xml:space="preserve">Conditions 2 and </w:t>
            </w:r>
            <w:r w:rsidR="00BB1677">
              <w:rPr>
                <w:rFonts w:ascii="Calibri" w:hAnsi="Calibri" w:cs="Calibri"/>
                <w:color w:val="000000"/>
                <w:sz w:val="14"/>
                <w:lang w:val="en-GB"/>
              </w:rPr>
              <w:t>4</w:t>
            </w:r>
            <w:r w:rsidRPr="00E91A5B">
              <w:rPr>
                <w:rFonts w:ascii="Calibri" w:hAnsi="Calibri" w:cs="Calibri"/>
                <w:color w:val="000000"/>
                <w:sz w:val="14"/>
                <w:lang w:val="en-GB"/>
              </w:rPr>
              <w:t>; Appendix B.</w:t>
            </w:r>
          </w:p>
        </w:tc>
      </w:tr>
      <w:tr w:rsidR="008C0581" w:rsidRPr="00E91A5B" w14:paraId="3E55277A" w14:textId="77777777">
        <w:trPr>
          <w:cantSplit/>
        </w:trPr>
        <w:tc>
          <w:tcPr>
            <w:tcW w:w="600" w:type="dxa"/>
            <w:tcMar>
              <w:top w:w="90" w:type="dxa"/>
              <w:left w:w="110" w:type="dxa"/>
              <w:bottom w:w="90" w:type="dxa"/>
              <w:right w:w="110" w:type="dxa"/>
            </w:tcMar>
            <w:vAlign w:val="center"/>
          </w:tcPr>
          <w:p w14:paraId="1EE6A0C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BE2</w:t>
            </w:r>
          </w:p>
        </w:tc>
        <w:tc>
          <w:tcPr>
            <w:tcW w:w="1750" w:type="dxa"/>
            <w:tcMar>
              <w:top w:w="90" w:type="dxa"/>
              <w:left w:w="110" w:type="dxa"/>
              <w:bottom w:w="90" w:type="dxa"/>
              <w:right w:w="110" w:type="dxa"/>
            </w:tcMar>
            <w:vAlign w:val="center"/>
          </w:tcPr>
          <w:p w14:paraId="10B37A91"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Heritage assets</w:t>
            </w:r>
          </w:p>
        </w:tc>
        <w:tc>
          <w:tcPr>
            <w:tcW w:w="2380" w:type="dxa"/>
            <w:tcMar>
              <w:top w:w="90" w:type="dxa"/>
              <w:left w:w="110" w:type="dxa"/>
              <w:bottom w:w="90" w:type="dxa"/>
              <w:right w:w="110" w:type="dxa"/>
            </w:tcMar>
            <w:vAlign w:val="center"/>
          </w:tcPr>
          <w:p w14:paraId="5071D8F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Hayle Farmhouse is stated to be approximately 100m south; no heritage asset lies on the site.</w:t>
            </w:r>
          </w:p>
        </w:tc>
        <w:tc>
          <w:tcPr>
            <w:tcW w:w="2500" w:type="dxa"/>
            <w:tcMar>
              <w:top w:w="90" w:type="dxa"/>
              <w:left w:w="110" w:type="dxa"/>
              <w:bottom w:w="90" w:type="dxa"/>
              <w:right w:w="110" w:type="dxa"/>
            </w:tcMar>
            <w:vAlign w:val="center"/>
          </w:tcPr>
          <w:p w14:paraId="3A9CDF0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No harm is anticipated on the submitted evidence, but the officer should verify the setting assessment.</w:t>
            </w:r>
          </w:p>
        </w:tc>
        <w:tc>
          <w:tcPr>
            <w:tcW w:w="2130" w:type="dxa"/>
            <w:tcMar>
              <w:top w:w="90" w:type="dxa"/>
              <w:left w:w="110" w:type="dxa"/>
              <w:bottom w:w="90" w:type="dxa"/>
              <w:right w:w="110" w:type="dxa"/>
            </w:tcMar>
            <w:vAlign w:val="center"/>
          </w:tcPr>
          <w:p w14:paraId="2F25204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Confirm distance and heritage consultation.</w:t>
            </w:r>
          </w:p>
        </w:tc>
      </w:tr>
      <w:tr w:rsidR="008C0581" w:rsidRPr="00E91A5B" w14:paraId="6AE19106" w14:textId="77777777">
        <w:trPr>
          <w:cantSplit/>
        </w:trPr>
        <w:tc>
          <w:tcPr>
            <w:tcW w:w="600" w:type="dxa"/>
            <w:shd w:val="clear" w:color="auto" w:fill="F2F4F7"/>
            <w:tcMar>
              <w:top w:w="90" w:type="dxa"/>
              <w:left w:w="110" w:type="dxa"/>
              <w:bottom w:w="90" w:type="dxa"/>
              <w:right w:w="110" w:type="dxa"/>
            </w:tcMar>
            <w:vAlign w:val="center"/>
          </w:tcPr>
          <w:p w14:paraId="63D856A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CF1</w:t>
            </w:r>
          </w:p>
        </w:tc>
        <w:tc>
          <w:tcPr>
            <w:tcW w:w="1750" w:type="dxa"/>
            <w:shd w:val="clear" w:color="auto" w:fill="F2F4F7"/>
            <w:tcMar>
              <w:top w:w="90" w:type="dxa"/>
              <w:left w:w="110" w:type="dxa"/>
              <w:bottom w:w="90" w:type="dxa"/>
              <w:right w:w="110" w:type="dxa"/>
            </w:tcMar>
            <w:vAlign w:val="center"/>
          </w:tcPr>
          <w:p w14:paraId="7D81FF2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Community facilities</w:t>
            </w:r>
          </w:p>
        </w:tc>
        <w:tc>
          <w:tcPr>
            <w:tcW w:w="2380" w:type="dxa"/>
            <w:shd w:val="clear" w:color="auto" w:fill="F2F4F7"/>
            <w:tcMar>
              <w:top w:w="90" w:type="dxa"/>
              <w:left w:w="110" w:type="dxa"/>
              <w:bottom w:w="90" w:type="dxa"/>
              <w:right w:w="110" w:type="dxa"/>
            </w:tcMar>
            <w:vAlign w:val="center"/>
          </w:tcPr>
          <w:p w14:paraId="7F25EF2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Applicant describes the farm shop and café as a community hub for residents and walkers.</w:t>
            </w:r>
          </w:p>
        </w:tc>
        <w:tc>
          <w:tcPr>
            <w:tcW w:w="2500" w:type="dxa"/>
            <w:shd w:val="clear" w:color="auto" w:fill="F2F4F7"/>
            <w:tcMar>
              <w:top w:w="90" w:type="dxa"/>
              <w:left w:w="110" w:type="dxa"/>
              <w:bottom w:w="90" w:type="dxa"/>
              <w:right w:w="110" w:type="dxa"/>
            </w:tcMar>
            <w:vAlign w:val="center"/>
          </w:tcPr>
          <w:p w14:paraId="6D558F26" w14:textId="499116A6" w:rsidR="008C0581" w:rsidRPr="00E91A5B" w:rsidRDefault="00786417">
            <w:pPr>
              <w:spacing w:after="0" w:line="245" w:lineRule="auto"/>
              <w:rPr>
                <w:rFonts w:ascii="Calibri" w:hAnsi="Calibri" w:cs="Calibri"/>
                <w:lang w:val="en-GB"/>
              </w:rPr>
            </w:pPr>
            <w:r>
              <w:rPr>
                <w:rFonts w:ascii="Calibri" w:hAnsi="Calibri" w:cs="Calibri"/>
                <w:color w:val="000000"/>
                <w:sz w:val="14"/>
                <w:lang w:val="en-GB"/>
              </w:rPr>
              <w:t xml:space="preserve">Whilst there is no </w:t>
            </w:r>
            <w:r w:rsidR="00783709">
              <w:rPr>
                <w:rFonts w:ascii="Calibri" w:hAnsi="Calibri" w:cs="Calibri"/>
                <w:color w:val="000000"/>
                <w:sz w:val="14"/>
                <w:lang w:val="en-GB"/>
              </w:rPr>
              <w:t xml:space="preserve">formal submitted </w:t>
            </w:r>
            <w:r>
              <w:rPr>
                <w:rFonts w:ascii="Calibri" w:hAnsi="Calibri" w:cs="Calibri"/>
                <w:color w:val="000000"/>
                <w:sz w:val="14"/>
                <w:lang w:val="en-GB"/>
              </w:rPr>
              <w:t>evidenced need for this</w:t>
            </w:r>
            <w:r w:rsidR="00BB1677">
              <w:rPr>
                <w:rFonts w:ascii="Calibri" w:hAnsi="Calibri" w:cs="Calibri"/>
                <w:color w:val="000000"/>
                <w:sz w:val="14"/>
                <w:lang w:val="en-GB"/>
              </w:rPr>
              <w:t>,</w:t>
            </w:r>
            <w:r>
              <w:rPr>
                <w:rFonts w:ascii="Calibri" w:hAnsi="Calibri" w:cs="Calibri"/>
                <w:color w:val="000000"/>
                <w:sz w:val="14"/>
                <w:lang w:val="en-GB"/>
              </w:rPr>
              <w:t xml:space="preserve"> the overwhelming local support indicates that such a need exists.</w:t>
            </w:r>
          </w:p>
        </w:tc>
        <w:tc>
          <w:tcPr>
            <w:tcW w:w="2130" w:type="dxa"/>
            <w:shd w:val="clear" w:color="auto" w:fill="F2F4F7"/>
            <w:tcMar>
              <w:top w:w="90" w:type="dxa"/>
              <w:left w:w="110" w:type="dxa"/>
              <w:bottom w:w="90" w:type="dxa"/>
              <w:right w:w="110" w:type="dxa"/>
            </w:tcMar>
            <w:vAlign w:val="center"/>
          </w:tcPr>
          <w:p w14:paraId="0661A41D" w14:textId="01121D64" w:rsidR="008C0581" w:rsidRPr="00E91A5B" w:rsidRDefault="00786417">
            <w:pPr>
              <w:spacing w:after="0" w:line="245" w:lineRule="auto"/>
              <w:rPr>
                <w:rFonts w:ascii="Calibri" w:hAnsi="Calibri" w:cs="Calibri"/>
                <w:lang w:val="en-GB"/>
              </w:rPr>
            </w:pPr>
            <w:r>
              <w:rPr>
                <w:rFonts w:ascii="Calibri" w:hAnsi="Calibri" w:cs="Calibri"/>
                <w:color w:val="000000"/>
                <w:sz w:val="14"/>
                <w:lang w:val="en-GB"/>
              </w:rPr>
              <w:t>No condition requested</w:t>
            </w:r>
            <w:r w:rsidRPr="00E91A5B">
              <w:rPr>
                <w:rFonts w:ascii="Calibri" w:hAnsi="Calibri" w:cs="Calibri"/>
                <w:color w:val="000000"/>
                <w:sz w:val="14"/>
                <w:lang w:val="en-GB"/>
              </w:rPr>
              <w:t>.</w:t>
            </w:r>
          </w:p>
        </w:tc>
      </w:tr>
      <w:tr w:rsidR="008C0581" w:rsidRPr="00E91A5B" w14:paraId="4B36F9A6" w14:textId="77777777">
        <w:trPr>
          <w:cantSplit/>
        </w:trPr>
        <w:tc>
          <w:tcPr>
            <w:tcW w:w="600" w:type="dxa"/>
            <w:tcMar>
              <w:top w:w="90" w:type="dxa"/>
              <w:left w:w="110" w:type="dxa"/>
              <w:bottom w:w="90" w:type="dxa"/>
              <w:right w:w="110" w:type="dxa"/>
            </w:tcMar>
            <w:vAlign w:val="center"/>
          </w:tcPr>
          <w:p w14:paraId="6A857EA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GA1</w:t>
            </w:r>
          </w:p>
        </w:tc>
        <w:tc>
          <w:tcPr>
            <w:tcW w:w="1750" w:type="dxa"/>
            <w:tcMar>
              <w:top w:w="90" w:type="dxa"/>
              <w:left w:w="110" w:type="dxa"/>
              <w:bottom w:w="90" w:type="dxa"/>
              <w:right w:w="110" w:type="dxa"/>
            </w:tcMar>
            <w:vAlign w:val="center"/>
          </w:tcPr>
          <w:p w14:paraId="1E57AC1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Access and highway impact</w:t>
            </w:r>
          </w:p>
        </w:tc>
        <w:tc>
          <w:tcPr>
            <w:tcW w:w="2380" w:type="dxa"/>
            <w:tcMar>
              <w:top w:w="90" w:type="dxa"/>
              <w:left w:w="110" w:type="dxa"/>
              <w:bottom w:w="90" w:type="dxa"/>
              <w:right w:w="110" w:type="dxa"/>
            </w:tcMar>
            <w:vAlign w:val="center"/>
          </w:tcPr>
          <w:p w14:paraId="24720B1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Existing access would be improved; visibility splays and a limited trip increase are reported.</w:t>
            </w:r>
          </w:p>
        </w:tc>
        <w:tc>
          <w:tcPr>
            <w:tcW w:w="2500" w:type="dxa"/>
            <w:tcMar>
              <w:top w:w="90" w:type="dxa"/>
              <w:left w:w="110" w:type="dxa"/>
              <w:bottom w:w="90" w:type="dxa"/>
              <w:right w:w="110" w:type="dxa"/>
            </w:tcMar>
            <w:vAlign w:val="center"/>
          </w:tcPr>
          <w:p w14:paraId="4620E45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Supportive in principle, subject to highway-authority advice and pedestrian-safety concerns.</w:t>
            </w:r>
          </w:p>
        </w:tc>
        <w:tc>
          <w:tcPr>
            <w:tcW w:w="2130" w:type="dxa"/>
            <w:tcMar>
              <w:top w:w="90" w:type="dxa"/>
              <w:left w:w="110" w:type="dxa"/>
              <w:bottom w:w="90" w:type="dxa"/>
              <w:right w:w="110" w:type="dxa"/>
            </w:tcMar>
            <w:vAlign w:val="center"/>
          </w:tcPr>
          <w:p w14:paraId="76E5067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 1; assess A4 traffic and speeds.</w:t>
            </w:r>
          </w:p>
        </w:tc>
      </w:tr>
      <w:tr w:rsidR="008C0581" w:rsidRPr="00E91A5B" w14:paraId="3695B66E" w14:textId="77777777">
        <w:trPr>
          <w:cantSplit/>
        </w:trPr>
        <w:tc>
          <w:tcPr>
            <w:tcW w:w="600" w:type="dxa"/>
            <w:shd w:val="clear" w:color="auto" w:fill="F2F4F7"/>
            <w:tcMar>
              <w:top w:w="90" w:type="dxa"/>
              <w:left w:w="110" w:type="dxa"/>
              <w:bottom w:w="90" w:type="dxa"/>
              <w:right w:w="110" w:type="dxa"/>
            </w:tcMar>
            <w:vAlign w:val="center"/>
          </w:tcPr>
          <w:p w14:paraId="1714221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GA2</w:t>
            </w:r>
          </w:p>
        </w:tc>
        <w:tc>
          <w:tcPr>
            <w:tcW w:w="1750" w:type="dxa"/>
            <w:shd w:val="clear" w:color="auto" w:fill="F2F4F7"/>
            <w:tcMar>
              <w:top w:w="90" w:type="dxa"/>
              <w:left w:w="110" w:type="dxa"/>
              <w:bottom w:w="90" w:type="dxa"/>
              <w:right w:w="110" w:type="dxa"/>
            </w:tcMar>
            <w:vAlign w:val="center"/>
          </w:tcPr>
          <w:p w14:paraId="7A6D469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Public realm and movement environment</w:t>
            </w:r>
          </w:p>
        </w:tc>
        <w:tc>
          <w:tcPr>
            <w:tcW w:w="2380" w:type="dxa"/>
            <w:shd w:val="clear" w:color="auto" w:fill="F2F4F7"/>
            <w:tcMar>
              <w:top w:w="90" w:type="dxa"/>
              <w:left w:w="110" w:type="dxa"/>
              <w:bottom w:w="90" w:type="dxa"/>
              <w:right w:w="110" w:type="dxa"/>
            </w:tcMar>
            <w:vAlign w:val="center"/>
          </w:tcPr>
          <w:p w14:paraId="4D3AE8F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Parking and servicing are separated; internal pedestrian routes and permeable surfacing are proposed.</w:t>
            </w:r>
          </w:p>
        </w:tc>
        <w:tc>
          <w:tcPr>
            <w:tcW w:w="2500" w:type="dxa"/>
            <w:shd w:val="clear" w:color="auto" w:fill="F2F4F7"/>
            <w:tcMar>
              <w:top w:w="90" w:type="dxa"/>
              <w:left w:w="110" w:type="dxa"/>
              <w:bottom w:w="90" w:type="dxa"/>
              <w:right w:w="110" w:type="dxa"/>
            </w:tcMar>
            <w:vAlign w:val="center"/>
          </w:tcPr>
          <w:p w14:paraId="68078C1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Relevant to the quality and safety of the site layout.</w:t>
            </w:r>
          </w:p>
        </w:tc>
        <w:tc>
          <w:tcPr>
            <w:tcW w:w="2130" w:type="dxa"/>
            <w:shd w:val="clear" w:color="auto" w:fill="F2F4F7"/>
            <w:tcMar>
              <w:top w:w="90" w:type="dxa"/>
              <w:left w:w="110" w:type="dxa"/>
              <w:bottom w:w="90" w:type="dxa"/>
              <w:right w:w="110" w:type="dxa"/>
            </w:tcMar>
            <w:vAlign w:val="center"/>
          </w:tcPr>
          <w:p w14:paraId="04972C93" w14:textId="7CEDC328"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Conditions 1</w:t>
            </w:r>
            <w:r w:rsidR="00BB1677">
              <w:rPr>
                <w:rFonts w:ascii="Calibri" w:hAnsi="Calibri" w:cs="Calibri"/>
                <w:color w:val="000000"/>
                <w:sz w:val="14"/>
                <w:lang w:val="en-GB"/>
              </w:rPr>
              <w:t xml:space="preserve"> and </w:t>
            </w:r>
            <w:r w:rsidRPr="00E91A5B">
              <w:rPr>
                <w:rFonts w:ascii="Calibri" w:hAnsi="Calibri" w:cs="Calibri"/>
                <w:color w:val="000000"/>
                <w:sz w:val="14"/>
                <w:lang w:val="en-GB"/>
              </w:rPr>
              <w:t>2.</w:t>
            </w:r>
          </w:p>
        </w:tc>
      </w:tr>
      <w:tr w:rsidR="008C0581" w:rsidRPr="00E91A5B" w14:paraId="1171334B" w14:textId="77777777">
        <w:trPr>
          <w:cantSplit/>
        </w:trPr>
        <w:tc>
          <w:tcPr>
            <w:tcW w:w="600" w:type="dxa"/>
            <w:tcMar>
              <w:top w:w="90" w:type="dxa"/>
              <w:left w:w="110" w:type="dxa"/>
              <w:bottom w:w="90" w:type="dxa"/>
              <w:right w:w="110" w:type="dxa"/>
            </w:tcMar>
            <w:vAlign w:val="center"/>
          </w:tcPr>
          <w:p w14:paraId="2884683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GA3</w:t>
            </w:r>
          </w:p>
        </w:tc>
        <w:tc>
          <w:tcPr>
            <w:tcW w:w="1750" w:type="dxa"/>
            <w:tcMar>
              <w:top w:w="90" w:type="dxa"/>
              <w:left w:w="110" w:type="dxa"/>
              <w:bottom w:w="90" w:type="dxa"/>
              <w:right w:w="110" w:type="dxa"/>
            </w:tcMar>
            <w:vAlign w:val="center"/>
          </w:tcPr>
          <w:p w14:paraId="7A9DC53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Walking, cycling and public transport priority</w:t>
            </w:r>
          </w:p>
        </w:tc>
        <w:tc>
          <w:tcPr>
            <w:tcW w:w="2380" w:type="dxa"/>
            <w:tcMar>
              <w:top w:w="90" w:type="dxa"/>
              <w:left w:w="110" w:type="dxa"/>
              <w:bottom w:w="90" w:type="dxa"/>
              <w:right w:w="110" w:type="dxa"/>
            </w:tcMar>
            <w:vAlign w:val="center"/>
          </w:tcPr>
          <w:p w14:paraId="11A2B4C8"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Twelve cycle spaces and proximity to bus stops are reported.</w:t>
            </w:r>
          </w:p>
        </w:tc>
        <w:tc>
          <w:tcPr>
            <w:tcW w:w="2500" w:type="dxa"/>
            <w:tcMar>
              <w:top w:w="90" w:type="dxa"/>
              <w:left w:w="110" w:type="dxa"/>
              <w:bottom w:w="90" w:type="dxa"/>
              <w:right w:w="110" w:type="dxa"/>
            </w:tcMar>
            <w:vAlign w:val="center"/>
          </w:tcPr>
          <w:p w14:paraId="29FE172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Partly demonstrated. The practical pedestrian route and bus service must be verified.</w:t>
            </w:r>
          </w:p>
        </w:tc>
        <w:tc>
          <w:tcPr>
            <w:tcW w:w="2130" w:type="dxa"/>
            <w:tcMar>
              <w:top w:w="90" w:type="dxa"/>
              <w:left w:w="110" w:type="dxa"/>
              <w:bottom w:w="90" w:type="dxa"/>
              <w:right w:w="110" w:type="dxa"/>
            </w:tcMar>
            <w:vAlign w:val="center"/>
          </w:tcPr>
          <w:p w14:paraId="13CBEDDF" w14:textId="4864C300"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Conditions 1.</w:t>
            </w:r>
          </w:p>
        </w:tc>
      </w:tr>
      <w:tr w:rsidR="008C0581" w:rsidRPr="00E91A5B" w14:paraId="605E0870" w14:textId="77777777">
        <w:trPr>
          <w:cantSplit/>
        </w:trPr>
        <w:tc>
          <w:tcPr>
            <w:tcW w:w="600" w:type="dxa"/>
            <w:shd w:val="clear" w:color="auto" w:fill="F2F4F7"/>
            <w:tcMar>
              <w:top w:w="90" w:type="dxa"/>
              <w:left w:w="110" w:type="dxa"/>
              <w:bottom w:w="90" w:type="dxa"/>
              <w:right w:w="110" w:type="dxa"/>
            </w:tcMar>
            <w:vAlign w:val="center"/>
          </w:tcPr>
          <w:p w14:paraId="3EC98F5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GA4</w:t>
            </w:r>
          </w:p>
        </w:tc>
        <w:tc>
          <w:tcPr>
            <w:tcW w:w="1750" w:type="dxa"/>
            <w:shd w:val="clear" w:color="auto" w:fill="F2F4F7"/>
            <w:tcMar>
              <w:top w:w="90" w:type="dxa"/>
              <w:left w:w="110" w:type="dxa"/>
              <w:bottom w:w="90" w:type="dxa"/>
              <w:right w:w="110" w:type="dxa"/>
            </w:tcMar>
            <w:vAlign w:val="center"/>
          </w:tcPr>
          <w:p w14:paraId="558C3D2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Low-emission vehicle charging</w:t>
            </w:r>
          </w:p>
        </w:tc>
        <w:tc>
          <w:tcPr>
            <w:tcW w:w="2380" w:type="dxa"/>
            <w:shd w:val="clear" w:color="auto" w:fill="F2F4F7"/>
            <w:tcMar>
              <w:top w:w="90" w:type="dxa"/>
              <w:left w:w="110" w:type="dxa"/>
              <w:bottom w:w="90" w:type="dxa"/>
              <w:right w:w="110" w:type="dxa"/>
            </w:tcMar>
            <w:vAlign w:val="center"/>
          </w:tcPr>
          <w:p w14:paraId="00126DB1"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Four EV charging spaces are shown.</w:t>
            </w:r>
          </w:p>
        </w:tc>
        <w:tc>
          <w:tcPr>
            <w:tcW w:w="2500" w:type="dxa"/>
            <w:shd w:val="clear" w:color="auto" w:fill="F2F4F7"/>
            <w:tcMar>
              <w:top w:w="90" w:type="dxa"/>
              <w:left w:w="110" w:type="dxa"/>
              <w:bottom w:w="90" w:type="dxa"/>
              <w:right w:w="110" w:type="dxa"/>
            </w:tcMar>
            <w:vAlign w:val="center"/>
          </w:tcPr>
          <w:p w14:paraId="5E06CA1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Complies in principle if installed and retained.</w:t>
            </w:r>
          </w:p>
        </w:tc>
        <w:tc>
          <w:tcPr>
            <w:tcW w:w="2130" w:type="dxa"/>
            <w:shd w:val="clear" w:color="auto" w:fill="F2F4F7"/>
            <w:tcMar>
              <w:top w:w="90" w:type="dxa"/>
              <w:left w:w="110" w:type="dxa"/>
              <w:bottom w:w="90" w:type="dxa"/>
              <w:right w:w="110" w:type="dxa"/>
            </w:tcMar>
            <w:vAlign w:val="center"/>
          </w:tcPr>
          <w:p w14:paraId="45837CF8" w14:textId="443764CF" w:rsidR="008C0581" w:rsidRPr="00E91A5B" w:rsidRDefault="00BB1677">
            <w:pPr>
              <w:spacing w:after="0" w:line="245" w:lineRule="auto"/>
              <w:rPr>
                <w:rFonts w:ascii="Calibri" w:hAnsi="Calibri" w:cs="Calibri"/>
                <w:lang w:val="en-GB"/>
              </w:rPr>
            </w:pPr>
            <w:r>
              <w:rPr>
                <w:rFonts w:ascii="Calibri" w:hAnsi="Calibri" w:cs="Calibri"/>
                <w:color w:val="000000"/>
                <w:sz w:val="14"/>
                <w:lang w:val="en-GB"/>
              </w:rPr>
              <w:t>No condition requested.</w:t>
            </w:r>
          </w:p>
        </w:tc>
      </w:tr>
      <w:tr w:rsidR="008C0581" w:rsidRPr="00E91A5B" w14:paraId="2904B724" w14:textId="77777777">
        <w:trPr>
          <w:cantSplit/>
        </w:trPr>
        <w:tc>
          <w:tcPr>
            <w:tcW w:w="600" w:type="dxa"/>
            <w:tcMar>
              <w:top w:w="90" w:type="dxa"/>
              <w:left w:w="110" w:type="dxa"/>
              <w:bottom w:w="90" w:type="dxa"/>
              <w:right w:w="110" w:type="dxa"/>
            </w:tcMar>
            <w:vAlign w:val="center"/>
          </w:tcPr>
          <w:p w14:paraId="1276A26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GA5</w:t>
            </w:r>
          </w:p>
        </w:tc>
        <w:tc>
          <w:tcPr>
            <w:tcW w:w="1750" w:type="dxa"/>
            <w:tcMar>
              <w:top w:w="90" w:type="dxa"/>
              <w:left w:w="110" w:type="dxa"/>
              <w:bottom w:w="90" w:type="dxa"/>
              <w:right w:w="110" w:type="dxa"/>
            </w:tcMar>
            <w:vAlign w:val="center"/>
          </w:tcPr>
          <w:p w14:paraId="6C42257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Design-led parking provision</w:t>
            </w:r>
          </w:p>
        </w:tc>
        <w:tc>
          <w:tcPr>
            <w:tcW w:w="2380" w:type="dxa"/>
            <w:tcMar>
              <w:top w:w="90" w:type="dxa"/>
              <w:left w:w="110" w:type="dxa"/>
              <w:bottom w:w="90" w:type="dxa"/>
              <w:right w:w="110" w:type="dxa"/>
            </w:tcMar>
            <w:vAlign w:val="center"/>
          </w:tcPr>
          <w:p w14:paraId="40A3EEF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Seventy-three spaces, including accessible and EV spaces, are proposed.</w:t>
            </w:r>
          </w:p>
        </w:tc>
        <w:tc>
          <w:tcPr>
            <w:tcW w:w="2500" w:type="dxa"/>
            <w:tcMar>
              <w:top w:w="90" w:type="dxa"/>
              <w:left w:w="110" w:type="dxa"/>
              <w:bottom w:w="90" w:type="dxa"/>
              <w:right w:w="110" w:type="dxa"/>
            </w:tcMar>
            <w:vAlign w:val="center"/>
          </w:tcPr>
          <w:p w14:paraId="6C1458EB" w14:textId="38DF73A9"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 xml:space="preserve">Layout may be acceptable, </w:t>
            </w:r>
            <w:r w:rsidR="00742042">
              <w:rPr>
                <w:rFonts w:ascii="Calibri" w:hAnsi="Calibri" w:cs="Calibri"/>
                <w:color w:val="000000"/>
                <w:sz w:val="14"/>
                <w:lang w:val="en-GB"/>
              </w:rPr>
              <w:t xml:space="preserve">but 73 parking spaces does </w:t>
            </w:r>
            <w:r w:rsidR="00783709">
              <w:rPr>
                <w:rFonts w:ascii="Calibri" w:hAnsi="Calibri" w:cs="Calibri"/>
                <w:color w:val="000000"/>
                <w:sz w:val="14"/>
                <w:lang w:val="en-GB"/>
              </w:rPr>
              <w:t>very high.</w:t>
            </w:r>
          </w:p>
        </w:tc>
        <w:tc>
          <w:tcPr>
            <w:tcW w:w="2130" w:type="dxa"/>
            <w:tcMar>
              <w:top w:w="90" w:type="dxa"/>
              <w:left w:w="110" w:type="dxa"/>
              <w:bottom w:w="90" w:type="dxa"/>
              <w:right w:w="110" w:type="dxa"/>
            </w:tcMar>
            <w:vAlign w:val="center"/>
          </w:tcPr>
          <w:p w14:paraId="63A4169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Officer/highway authority to verify standards.</w:t>
            </w:r>
          </w:p>
        </w:tc>
      </w:tr>
      <w:tr w:rsidR="008C0581" w:rsidRPr="00E91A5B" w14:paraId="623561F1" w14:textId="77777777">
        <w:trPr>
          <w:cantSplit/>
        </w:trPr>
        <w:tc>
          <w:tcPr>
            <w:tcW w:w="600" w:type="dxa"/>
            <w:shd w:val="clear" w:color="auto" w:fill="F2F4F7"/>
            <w:tcMar>
              <w:top w:w="90" w:type="dxa"/>
              <w:left w:w="110" w:type="dxa"/>
              <w:bottom w:w="90" w:type="dxa"/>
              <w:right w:w="110" w:type="dxa"/>
            </w:tcMar>
            <w:vAlign w:val="center"/>
          </w:tcPr>
          <w:p w14:paraId="34F2B0B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GA6</w:t>
            </w:r>
          </w:p>
        </w:tc>
        <w:tc>
          <w:tcPr>
            <w:tcW w:w="1750" w:type="dxa"/>
            <w:shd w:val="clear" w:color="auto" w:fill="F2F4F7"/>
            <w:tcMar>
              <w:top w:w="90" w:type="dxa"/>
              <w:left w:w="110" w:type="dxa"/>
              <w:bottom w:w="90" w:type="dxa"/>
              <w:right w:w="110" w:type="dxa"/>
            </w:tcMar>
            <w:vAlign w:val="center"/>
          </w:tcPr>
          <w:p w14:paraId="5D71ADF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Leisure walking and cycling routes</w:t>
            </w:r>
          </w:p>
        </w:tc>
        <w:tc>
          <w:tcPr>
            <w:tcW w:w="2380" w:type="dxa"/>
            <w:shd w:val="clear" w:color="auto" w:fill="F2F4F7"/>
            <w:tcMar>
              <w:top w:w="90" w:type="dxa"/>
              <w:left w:w="110" w:type="dxa"/>
              <w:bottom w:w="90" w:type="dxa"/>
              <w:right w:w="110" w:type="dxa"/>
            </w:tcMar>
            <w:vAlign w:val="center"/>
          </w:tcPr>
          <w:p w14:paraId="6D2B24D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A pedestrian connection to the western-side footpath is described.</w:t>
            </w:r>
          </w:p>
        </w:tc>
        <w:tc>
          <w:tcPr>
            <w:tcW w:w="2500" w:type="dxa"/>
            <w:shd w:val="clear" w:color="auto" w:fill="F2F4F7"/>
            <w:tcMar>
              <w:top w:w="90" w:type="dxa"/>
              <w:left w:w="110" w:type="dxa"/>
              <w:bottom w:w="90" w:type="dxa"/>
              <w:right w:w="110" w:type="dxa"/>
            </w:tcMar>
            <w:vAlign w:val="center"/>
          </w:tcPr>
          <w:p w14:paraId="2B30EC4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Potential enhancement, but the route and status are unclear on the information reviewed.</w:t>
            </w:r>
          </w:p>
        </w:tc>
        <w:tc>
          <w:tcPr>
            <w:tcW w:w="2130" w:type="dxa"/>
            <w:shd w:val="clear" w:color="auto" w:fill="F2F4F7"/>
            <w:tcMar>
              <w:top w:w="90" w:type="dxa"/>
              <w:left w:w="110" w:type="dxa"/>
              <w:bottom w:w="90" w:type="dxa"/>
              <w:right w:w="110" w:type="dxa"/>
            </w:tcMar>
            <w:vAlign w:val="center"/>
          </w:tcPr>
          <w:p w14:paraId="0EE42A3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Condition 1; distinguish public right of way, permissive path and internal path.</w:t>
            </w:r>
          </w:p>
        </w:tc>
      </w:tr>
      <w:tr w:rsidR="008C0581" w:rsidRPr="00E91A5B" w14:paraId="12BE4E4B" w14:textId="77777777">
        <w:trPr>
          <w:cantSplit/>
        </w:trPr>
        <w:tc>
          <w:tcPr>
            <w:tcW w:w="600" w:type="dxa"/>
            <w:tcMar>
              <w:top w:w="90" w:type="dxa"/>
              <w:left w:w="110" w:type="dxa"/>
              <w:bottom w:w="90" w:type="dxa"/>
              <w:right w:w="110" w:type="dxa"/>
            </w:tcMar>
            <w:vAlign w:val="center"/>
          </w:tcPr>
          <w:p w14:paraId="34FB371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lastRenderedPageBreak/>
              <w:t>WS2</w:t>
            </w:r>
          </w:p>
        </w:tc>
        <w:tc>
          <w:tcPr>
            <w:tcW w:w="1750" w:type="dxa"/>
            <w:tcMar>
              <w:top w:w="90" w:type="dxa"/>
              <w:left w:w="110" w:type="dxa"/>
              <w:bottom w:w="90" w:type="dxa"/>
              <w:right w:w="110" w:type="dxa"/>
            </w:tcMar>
            <w:vAlign w:val="center"/>
          </w:tcPr>
          <w:p w14:paraId="247D2D5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Diversification of an existing rural business</w:t>
            </w:r>
          </w:p>
        </w:tc>
        <w:tc>
          <w:tcPr>
            <w:tcW w:w="2380" w:type="dxa"/>
            <w:tcMar>
              <w:top w:w="90" w:type="dxa"/>
              <w:left w:w="110" w:type="dxa"/>
              <w:bottom w:w="90" w:type="dxa"/>
              <w:right w:w="110" w:type="dxa"/>
            </w:tcMar>
            <w:vAlign w:val="center"/>
          </w:tcPr>
          <w:p w14:paraId="71416773" w14:textId="554FE686"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 xml:space="preserve">Farm-shop and café proposal associated with Nolands Farm; 23 jobs </w:t>
            </w:r>
            <w:r w:rsidR="00742042">
              <w:rPr>
                <w:rFonts w:ascii="Calibri" w:hAnsi="Calibri" w:cs="Calibri"/>
                <w:color w:val="000000"/>
                <w:sz w:val="14"/>
                <w:lang w:val="en-GB"/>
              </w:rPr>
              <w:t xml:space="preserve">(8 full time and 15 part time) </w:t>
            </w:r>
            <w:r w:rsidRPr="00E91A5B">
              <w:rPr>
                <w:rFonts w:ascii="Calibri" w:hAnsi="Calibri" w:cs="Calibri"/>
                <w:color w:val="000000"/>
                <w:sz w:val="14"/>
                <w:lang w:val="en-GB"/>
              </w:rPr>
              <w:t>and local sourcing are claimed.</w:t>
            </w:r>
          </w:p>
        </w:tc>
        <w:tc>
          <w:tcPr>
            <w:tcW w:w="2500" w:type="dxa"/>
            <w:tcMar>
              <w:top w:w="90" w:type="dxa"/>
              <w:left w:w="110" w:type="dxa"/>
              <w:bottom w:w="90" w:type="dxa"/>
              <w:right w:w="110" w:type="dxa"/>
            </w:tcMar>
            <w:vAlign w:val="center"/>
          </w:tcPr>
          <w:p w14:paraId="752AA8DA" w14:textId="1E090AAB"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Strong support</w:t>
            </w:r>
            <w:r w:rsidR="00742042">
              <w:rPr>
                <w:rFonts w:ascii="Calibri" w:hAnsi="Calibri" w:cs="Calibri"/>
                <w:color w:val="000000"/>
                <w:sz w:val="14"/>
                <w:lang w:val="en-GB"/>
              </w:rPr>
              <w:t>.</w:t>
            </w:r>
          </w:p>
        </w:tc>
        <w:tc>
          <w:tcPr>
            <w:tcW w:w="2130" w:type="dxa"/>
            <w:tcMar>
              <w:top w:w="90" w:type="dxa"/>
              <w:left w:w="110" w:type="dxa"/>
              <w:bottom w:w="90" w:type="dxa"/>
              <w:right w:w="110" w:type="dxa"/>
            </w:tcMar>
            <w:vAlign w:val="center"/>
          </w:tcPr>
          <w:p w14:paraId="009C99A0" w14:textId="083A5EEB" w:rsidR="008C0581" w:rsidRPr="00E91A5B" w:rsidRDefault="00742042">
            <w:pPr>
              <w:spacing w:after="0" w:line="245" w:lineRule="auto"/>
              <w:rPr>
                <w:rFonts w:ascii="Calibri" w:hAnsi="Calibri" w:cs="Calibri"/>
                <w:lang w:val="en-GB"/>
              </w:rPr>
            </w:pPr>
            <w:r>
              <w:rPr>
                <w:rFonts w:ascii="Calibri" w:hAnsi="Calibri" w:cs="Calibri"/>
                <w:color w:val="000000"/>
                <w:sz w:val="14"/>
                <w:lang w:val="en-GB"/>
              </w:rPr>
              <w:t>No condition requested</w:t>
            </w:r>
            <w:r w:rsidRPr="00E91A5B">
              <w:rPr>
                <w:rFonts w:ascii="Calibri" w:hAnsi="Calibri" w:cs="Calibri"/>
                <w:color w:val="000000"/>
                <w:sz w:val="14"/>
                <w:lang w:val="en-GB"/>
              </w:rPr>
              <w:t>.</w:t>
            </w:r>
          </w:p>
        </w:tc>
      </w:tr>
      <w:tr w:rsidR="008C0581" w:rsidRPr="00E91A5B" w14:paraId="19C2F957" w14:textId="77777777">
        <w:trPr>
          <w:cantSplit/>
        </w:trPr>
        <w:tc>
          <w:tcPr>
            <w:tcW w:w="600" w:type="dxa"/>
            <w:shd w:val="clear" w:color="auto" w:fill="F2F4F7"/>
            <w:tcMar>
              <w:top w:w="90" w:type="dxa"/>
              <w:left w:w="110" w:type="dxa"/>
              <w:bottom w:w="90" w:type="dxa"/>
              <w:right w:w="110" w:type="dxa"/>
            </w:tcMar>
            <w:vAlign w:val="center"/>
          </w:tcPr>
          <w:p w14:paraId="29CE4B7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WS3</w:t>
            </w:r>
          </w:p>
        </w:tc>
        <w:tc>
          <w:tcPr>
            <w:tcW w:w="1750" w:type="dxa"/>
            <w:shd w:val="clear" w:color="auto" w:fill="F2F4F7"/>
            <w:tcMar>
              <w:top w:w="90" w:type="dxa"/>
              <w:left w:w="110" w:type="dxa"/>
              <w:bottom w:w="90" w:type="dxa"/>
              <w:right w:w="110" w:type="dxa"/>
            </w:tcMar>
            <w:vAlign w:val="center"/>
          </w:tcPr>
          <w:p w14:paraId="6A311C3B"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Visitor economy</w:t>
            </w:r>
          </w:p>
        </w:tc>
        <w:tc>
          <w:tcPr>
            <w:tcW w:w="2380" w:type="dxa"/>
            <w:shd w:val="clear" w:color="auto" w:fill="F2F4F7"/>
            <w:tcMar>
              <w:top w:w="90" w:type="dxa"/>
              <w:left w:w="110" w:type="dxa"/>
              <w:bottom w:w="90" w:type="dxa"/>
              <w:right w:w="110" w:type="dxa"/>
            </w:tcMar>
            <w:vAlign w:val="center"/>
          </w:tcPr>
          <w:p w14:paraId="7914F46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Café, shop and toilets would serve residents, walkers and visitors; no overnight accommodation is proposed.</w:t>
            </w:r>
          </w:p>
        </w:tc>
        <w:tc>
          <w:tcPr>
            <w:tcW w:w="2500" w:type="dxa"/>
            <w:shd w:val="clear" w:color="auto" w:fill="F2F4F7"/>
            <w:tcMar>
              <w:top w:w="90" w:type="dxa"/>
              <w:left w:w="110" w:type="dxa"/>
              <w:bottom w:w="90" w:type="dxa"/>
              <w:right w:w="110" w:type="dxa"/>
            </w:tcMar>
            <w:vAlign w:val="center"/>
          </w:tcPr>
          <w:p w14:paraId="33F0603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Supportive in principle, provided landscape, access and amenity effects are acceptable.</w:t>
            </w:r>
          </w:p>
        </w:tc>
        <w:tc>
          <w:tcPr>
            <w:tcW w:w="2130" w:type="dxa"/>
            <w:shd w:val="clear" w:color="auto" w:fill="F2F4F7"/>
            <w:tcMar>
              <w:top w:w="90" w:type="dxa"/>
              <w:left w:w="110" w:type="dxa"/>
              <w:bottom w:w="90" w:type="dxa"/>
              <w:right w:w="110" w:type="dxa"/>
            </w:tcMar>
            <w:vAlign w:val="center"/>
          </w:tcPr>
          <w:p w14:paraId="27A9021E" w14:textId="223423EC"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 xml:space="preserve">Conditions 1, 2, </w:t>
            </w:r>
            <w:r w:rsidR="00742042">
              <w:rPr>
                <w:rFonts w:ascii="Calibri" w:hAnsi="Calibri" w:cs="Calibri"/>
                <w:color w:val="000000"/>
                <w:sz w:val="14"/>
                <w:lang w:val="en-GB"/>
              </w:rPr>
              <w:t>4</w:t>
            </w:r>
            <w:r w:rsidRPr="00E91A5B">
              <w:rPr>
                <w:rFonts w:ascii="Calibri" w:hAnsi="Calibri" w:cs="Calibri"/>
                <w:color w:val="000000"/>
                <w:sz w:val="14"/>
                <w:lang w:val="en-GB"/>
              </w:rPr>
              <w:t xml:space="preserve"> and </w:t>
            </w:r>
            <w:r w:rsidR="00742042">
              <w:rPr>
                <w:rFonts w:ascii="Calibri" w:hAnsi="Calibri" w:cs="Calibri"/>
                <w:color w:val="000000"/>
                <w:sz w:val="14"/>
                <w:lang w:val="en-GB"/>
              </w:rPr>
              <w:t>6</w:t>
            </w:r>
            <w:r w:rsidRPr="00E91A5B">
              <w:rPr>
                <w:rFonts w:ascii="Calibri" w:hAnsi="Calibri" w:cs="Calibri"/>
                <w:color w:val="000000"/>
                <w:sz w:val="14"/>
                <w:lang w:val="en-GB"/>
              </w:rPr>
              <w:t>.</w:t>
            </w:r>
          </w:p>
        </w:tc>
      </w:tr>
      <w:tr w:rsidR="008C0581" w:rsidRPr="00E91A5B" w14:paraId="0ACFF858" w14:textId="77777777">
        <w:trPr>
          <w:cantSplit/>
        </w:trPr>
        <w:tc>
          <w:tcPr>
            <w:tcW w:w="600" w:type="dxa"/>
            <w:tcMar>
              <w:top w:w="90" w:type="dxa"/>
              <w:left w:w="110" w:type="dxa"/>
              <w:bottom w:w="90" w:type="dxa"/>
              <w:right w:w="110" w:type="dxa"/>
            </w:tcMar>
            <w:vAlign w:val="center"/>
          </w:tcPr>
          <w:p w14:paraId="67E43A2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WS4</w:t>
            </w:r>
          </w:p>
        </w:tc>
        <w:tc>
          <w:tcPr>
            <w:tcW w:w="1750" w:type="dxa"/>
            <w:tcMar>
              <w:top w:w="90" w:type="dxa"/>
              <w:left w:w="110" w:type="dxa"/>
              <w:bottom w:w="90" w:type="dxa"/>
              <w:right w:w="110" w:type="dxa"/>
            </w:tcMar>
            <w:vAlign w:val="center"/>
          </w:tcPr>
          <w:p w14:paraId="3998935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Town-centre policy</w:t>
            </w:r>
          </w:p>
        </w:tc>
        <w:tc>
          <w:tcPr>
            <w:tcW w:w="2380" w:type="dxa"/>
            <w:tcMar>
              <w:top w:w="90" w:type="dxa"/>
              <w:left w:w="110" w:type="dxa"/>
              <w:bottom w:w="90" w:type="dxa"/>
              <w:right w:w="110" w:type="dxa"/>
            </w:tcMar>
            <w:vAlign w:val="center"/>
          </w:tcPr>
          <w:p w14:paraId="2D590C8E" w14:textId="4552E2F6"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Sequential and retail-impact assessments report no preferable site and 1% convenience-turnover diversion.</w:t>
            </w:r>
          </w:p>
        </w:tc>
        <w:tc>
          <w:tcPr>
            <w:tcW w:w="2500" w:type="dxa"/>
            <w:tcMar>
              <w:top w:w="90" w:type="dxa"/>
              <w:left w:w="110" w:type="dxa"/>
              <w:bottom w:w="90" w:type="dxa"/>
              <w:right w:w="110" w:type="dxa"/>
            </w:tcMar>
            <w:vAlign w:val="center"/>
          </w:tcPr>
          <w:p w14:paraId="4C4373E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4"/>
                <w:lang w:val="en-GB"/>
              </w:rPr>
              <w:t>No conflict identified on the submitted evidence.</w:t>
            </w:r>
          </w:p>
        </w:tc>
        <w:tc>
          <w:tcPr>
            <w:tcW w:w="2130" w:type="dxa"/>
            <w:tcMar>
              <w:top w:w="90" w:type="dxa"/>
              <w:left w:w="110" w:type="dxa"/>
              <w:bottom w:w="90" w:type="dxa"/>
              <w:right w:w="110" w:type="dxa"/>
            </w:tcMar>
            <w:vAlign w:val="center"/>
          </w:tcPr>
          <w:p w14:paraId="52C280B1" w14:textId="12AB9A61" w:rsidR="008C0581" w:rsidRPr="00E91A5B" w:rsidRDefault="00F85061">
            <w:pPr>
              <w:spacing w:after="0" w:line="245" w:lineRule="auto"/>
              <w:rPr>
                <w:rFonts w:ascii="Calibri" w:hAnsi="Calibri" w:cs="Calibri"/>
                <w:lang w:val="en-GB"/>
              </w:rPr>
            </w:pPr>
            <w:r>
              <w:rPr>
                <w:rFonts w:ascii="Calibri" w:hAnsi="Calibri" w:cs="Calibri"/>
                <w:color w:val="000000"/>
                <w:sz w:val="14"/>
                <w:lang w:val="en-GB"/>
              </w:rPr>
              <w:t>No condition requested.</w:t>
            </w:r>
          </w:p>
        </w:tc>
      </w:tr>
    </w:tbl>
    <w:p w14:paraId="67770CFA" w14:textId="77777777" w:rsidR="008C0581" w:rsidRPr="00E91A5B" w:rsidRDefault="008C0581">
      <w:pPr>
        <w:spacing w:after="20"/>
        <w:rPr>
          <w:rFonts w:ascii="Calibri" w:hAnsi="Calibri" w:cs="Calibri"/>
          <w:lang w:val="en-GB"/>
        </w:rPr>
      </w:pPr>
    </w:p>
    <w:p w14:paraId="5D39B7D2" w14:textId="77777777" w:rsidR="008C0581" w:rsidRPr="00E91A5B" w:rsidRDefault="008D730C">
      <w:pPr>
        <w:rPr>
          <w:rFonts w:ascii="Calibri" w:hAnsi="Calibri" w:cs="Calibri"/>
          <w:lang w:val="en-GB"/>
        </w:rPr>
      </w:pPr>
      <w:r w:rsidRPr="00E91A5B">
        <w:rPr>
          <w:rFonts w:ascii="Calibri" w:hAnsi="Calibri" w:cs="Calibri"/>
          <w:lang w:val="en-GB"/>
        </w:rPr>
        <w:br w:type="page"/>
      </w:r>
    </w:p>
    <w:p w14:paraId="0A4DEDCD" w14:textId="77777777" w:rsidR="008C0581" w:rsidRPr="00E91A5B" w:rsidRDefault="008D730C">
      <w:pPr>
        <w:pStyle w:val="Heading1"/>
        <w:rPr>
          <w:rFonts w:ascii="Calibri" w:hAnsi="Calibri" w:cs="Calibri"/>
          <w:lang w:val="en-GB"/>
        </w:rPr>
      </w:pPr>
      <w:r w:rsidRPr="00E91A5B">
        <w:rPr>
          <w:rFonts w:ascii="Calibri" w:hAnsi="Calibri" w:cs="Calibri"/>
          <w:lang w:val="en-GB"/>
        </w:rPr>
        <w:lastRenderedPageBreak/>
        <w:t>Appendix B — CCNP2 Part B design-code assessment</w:t>
      </w:r>
    </w:p>
    <w:p w14:paraId="6AA88446" w14:textId="77777777" w:rsidR="008C0581" w:rsidRPr="00E91A5B" w:rsidRDefault="008D730C">
      <w:pPr>
        <w:rPr>
          <w:rFonts w:ascii="Calibri" w:hAnsi="Calibri" w:cs="Calibri"/>
          <w:lang w:val="en-GB"/>
        </w:rPr>
      </w:pPr>
      <w:r w:rsidRPr="00E91A5B">
        <w:rPr>
          <w:rFonts w:ascii="Calibri" w:hAnsi="Calibri" w:cs="Calibri"/>
          <w:color w:val="000000"/>
          <w:lang w:val="en-GB"/>
        </w:rPr>
        <w:t>This schedule identifies the design codes considered relevant to the proposal. Codes that concern housing, residential infill or other clearly unrelated development types have not been treated as determinative.</w:t>
      </w:r>
    </w:p>
    <w:tbl>
      <w:tblPr>
        <w:tblStyle w:val="TableGrid"/>
        <w:tblW w:w="9360" w:type="dxa"/>
        <w:tblInd w:w="110" w:type="dxa"/>
        <w:tblLayout w:type="fixed"/>
        <w:tblLook w:val="04A0" w:firstRow="1" w:lastRow="0" w:firstColumn="1" w:lastColumn="0" w:noHBand="0" w:noVBand="1"/>
      </w:tblPr>
      <w:tblGrid>
        <w:gridCol w:w="700"/>
        <w:gridCol w:w="1900"/>
        <w:gridCol w:w="3150"/>
        <w:gridCol w:w="3610"/>
      </w:tblGrid>
      <w:tr w:rsidR="008C0581" w:rsidRPr="00E91A5B" w14:paraId="619323CF" w14:textId="77777777">
        <w:trPr>
          <w:tblHeader/>
        </w:trPr>
        <w:tc>
          <w:tcPr>
            <w:tcW w:w="700" w:type="dxa"/>
            <w:shd w:val="clear" w:color="auto" w:fill="1F4E79"/>
            <w:tcMar>
              <w:top w:w="90" w:type="dxa"/>
              <w:left w:w="110" w:type="dxa"/>
              <w:bottom w:w="90" w:type="dxa"/>
              <w:right w:w="110" w:type="dxa"/>
            </w:tcMar>
            <w:vAlign w:val="center"/>
          </w:tcPr>
          <w:p w14:paraId="5DE7511D" w14:textId="77777777" w:rsidR="008C0581" w:rsidRPr="00E91A5B" w:rsidRDefault="008D730C">
            <w:pPr>
              <w:spacing w:after="0"/>
              <w:rPr>
                <w:rFonts w:ascii="Calibri" w:hAnsi="Calibri" w:cs="Calibri"/>
                <w:lang w:val="en-GB"/>
              </w:rPr>
            </w:pPr>
            <w:r w:rsidRPr="00E91A5B">
              <w:rPr>
                <w:rFonts w:ascii="Calibri" w:hAnsi="Calibri" w:cs="Calibri"/>
                <w:b/>
                <w:color w:val="FFFFFF"/>
                <w:sz w:val="15"/>
                <w:lang w:val="en-GB"/>
              </w:rPr>
              <w:t>Code</w:t>
            </w:r>
          </w:p>
        </w:tc>
        <w:tc>
          <w:tcPr>
            <w:tcW w:w="1900" w:type="dxa"/>
            <w:shd w:val="clear" w:color="auto" w:fill="1F4E79"/>
            <w:tcMar>
              <w:top w:w="90" w:type="dxa"/>
              <w:left w:w="110" w:type="dxa"/>
              <w:bottom w:w="90" w:type="dxa"/>
              <w:right w:w="110" w:type="dxa"/>
            </w:tcMar>
            <w:vAlign w:val="center"/>
          </w:tcPr>
          <w:p w14:paraId="0E1F9DA7" w14:textId="77777777" w:rsidR="008C0581" w:rsidRPr="00E91A5B" w:rsidRDefault="008D730C">
            <w:pPr>
              <w:spacing w:after="0"/>
              <w:rPr>
                <w:rFonts w:ascii="Calibri" w:hAnsi="Calibri" w:cs="Calibri"/>
                <w:lang w:val="en-GB"/>
              </w:rPr>
            </w:pPr>
            <w:r w:rsidRPr="00E91A5B">
              <w:rPr>
                <w:rFonts w:ascii="Calibri" w:hAnsi="Calibri" w:cs="Calibri"/>
                <w:b/>
                <w:color w:val="FFFFFF"/>
                <w:sz w:val="15"/>
                <w:lang w:val="en-GB"/>
              </w:rPr>
              <w:t>Design issue</w:t>
            </w:r>
          </w:p>
        </w:tc>
        <w:tc>
          <w:tcPr>
            <w:tcW w:w="3150" w:type="dxa"/>
            <w:shd w:val="clear" w:color="auto" w:fill="1F4E79"/>
            <w:tcMar>
              <w:top w:w="90" w:type="dxa"/>
              <w:left w:w="110" w:type="dxa"/>
              <w:bottom w:w="90" w:type="dxa"/>
              <w:right w:w="110" w:type="dxa"/>
            </w:tcMar>
            <w:vAlign w:val="center"/>
          </w:tcPr>
          <w:p w14:paraId="6DEFDA85" w14:textId="77777777" w:rsidR="008C0581" w:rsidRPr="00E91A5B" w:rsidRDefault="008D730C">
            <w:pPr>
              <w:spacing w:after="0"/>
              <w:rPr>
                <w:rFonts w:ascii="Calibri" w:hAnsi="Calibri" w:cs="Calibri"/>
                <w:lang w:val="en-GB"/>
              </w:rPr>
            </w:pPr>
            <w:r w:rsidRPr="00E91A5B">
              <w:rPr>
                <w:rFonts w:ascii="Calibri" w:hAnsi="Calibri" w:cs="Calibri"/>
                <w:b/>
                <w:color w:val="FFFFFF"/>
                <w:sz w:val="15"/>
                <w:lang w:val="en-GB"/>
              </w:rPr>
              <w:t>Application evidence</w:t>
            </w:r>
          </w:p>
        </w:tc>
        <w:tc>
          <w:tcPr>
            <w:tcW w:w="3610" w:type="dxa"/>
            <w:shd w:val="clear" w:color="auto" w:fill="1F4E79"/>
            <w:tcMar>
              <w:top w:w="90" w:type="dxa"/>
              <w:left w:w="110" w:type="dxa"/>
              <w:bottom w:w="90" w:type="dxa"/>
              <w:right w:w="110" w:type="dxa"/>
            </w:tcMar>
            <w:vAlign w:val="center"/>
          </w:tcPr>
          <w:p w14:paraId="259F0BC4" w14:textId="77777777" w:rsidR="008C0581" w:rsidRPr="00E91A5B" w:rsidRDefault="008D730C">
            <w:pPr>
              <w:spacing w:after="0"/>
              <w:rPr>
                <w:rFonts w:ascii="Calibri" w:hAnsi="Calibri" w:cs="Calibri"/>
                <w:lang w:val="en-GB"/>
              </w:rPr>
            </w:pPr>
            <w:r w:rsidRPr="00E91A5B">
              <w:rPr>
                <w:rFonts w:ascii="Calibri" w:hAnsi="Calibri" w:cs="Calibri"/>
                <w:b/>
                <w:color w:val="FFFFFF"/>
                <w:sz w:val="15"/>
                <w:lang w:val="en-GB"/>
              </w:rPr>
              <w:t>Parish council assessment</w:t>
            </w:r>
          </w:p>
        </w:tc>
      </w:tr>
      <w:tr w:rsidR="008C0581" w:rsidRPr="00E91A5B" w14:paraId="566E5A86" w14:textId="77777777">
        <w:trPr>
          <w:cantSplit/>
        </w:trPr>
        <w:tc>
          <w:tcPr>
            <w:tcW w:w="700" w:type="dxa"/>
            <w:tcMar>
              <w:top w:w="90" w:type="dxa"/>
              <w:left w:w="110" w:type="dxa"/>
              <w:bottom w:w="90" w:type="dxa"/>
              <w:right w:w="110" w:type="dxa"/>
            </w:tcMar>
            <w:vAlign w:val="center"/>
          </w:tcPr>
          <w:p w14:paraId="64D1B29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1a–1b</w:t>
            </w:r>
          </w:p>
        </w:tc>
        <w:tc>
          <w:tcPr>
            <w:tcW w:w="1900" w:type="dxa"/>
            <w:tcMar>
              <w:top w:w="90" w:type="dxa"/>
              <w:left w:w="110" w:type="dxa"/>
              <w:bottom w:w="90" w:type="dxa"/>
              <w:right w:w="110" w:type="dxa"/>
            </w:tcMar>
            <w:vAlign w:val="center"/>
          </w:tcPr>
          <w:p w14:paraId="5BBCFE08"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Context and character</w:t>
            </w:r>
          </w:p>
        </w:tc>
        <w:tc>
          <w:tcPr>
            <w:tcW w:w="3150" w:type="dxa"/>
            <w:tcMar>
              <w:top w:w="90" w:type="dxa"/>
              <w:left w:w="110" w:type="dxa"/>
              <w:bottom w:w="90" w:type="dxa"/>
              <w:right w:w="110" w:type="dxa"/>
            </w:tcMar>
            <w:vAlign w:val="center"/>
          </w:tcPr>
          <w:p w14:paraId="7C6A5511"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Muted metal and timber cladding, brick plinth and an agricultural form are proposed.</w:t>
            </w:r>
          </w:p>
        </w:tc>
        <w:tc>
          <w:tcPr>
            <w:tcW w:w="3610" w:type="dxa"/>
            <w:tcMar>
              <w:top w:w="90" w:type="dxa"/>
              <w:left w:w="110" w:type="dxa"/>
              <w:bottom w:w="90" w:type="dxa"/>
              <w:right w:w="110" w:type="dxa"/>
            </w:tcMar>
            <w:vAlign w:val="center"/>
          </w:tcPr>
          <w:p w14:paraId="164E570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Broadly aligned with the Rural character area, subject to confirmation of the correct character-area description and material details.</w:t>
            </w:r>
          </w:p>
        </w:tc>
      </w:tr>
      <w:tr w:rsidR="008C0581" w:rsidRPr="00E91A5B" w14:paraId="33FE1B99" w14:textId="77777777">
        <w:trPr>
          <w:cantSplit/>
        </w:trPr>
        <w:tc>
          <w:tcPr>
            <w:tcW w:w="700" w:type="dxa"/>
            <w:shd w:val="clear" w:color="auto" w:fill="F2F4F7"/>
            <w:tcMar>
              <w:top w:w="90" w:type="dxa"/>
              <w:left w:w="110" w:type="dxa"/>
              <w:bottom w:w="90" w:type="dxa"/>
              <w:right w:w="110" w:type="dxa"/>
            </w:tcMar>
            <w:vAlign w:val="center"/>
          </w:tcPr>
          <w:p w14:paraId="6293A77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1c</w:t>
            </w:r>
          </w:p>
        </w:tc>
        <w:tc>
          <w:tcPr>
            <w:tcW w:w="1900" w:type="dxa"/>
            <w:shd w:val="clear" w:color="auto" w:fill="F2F4F7"/>
            <w:tcMar>
              <w:top w:w="90" w:type="dxa"/>
              <w:left w:w="110" w:type="dxa"/>
              <w:bottom w:w="90" w:type="dxa"/>
              <w:right w:w="110" w:type="dxa"/>
            </w:tcMar>
            <w:vAlign w:val="center"/>
          </w:tcPr>
          <w:p w14:paraId="558D33F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Key views</w:t>
            </w:r>
          </w:p>
        </w:tc>
        <w:tc>
          <w:tcPr>
            <w:tcW w:w="3150" w:type="dxa"/>
            <w:shd w:val="clear" w:color="auto" w:fill="F2F4F7"/>
            <w:tcMar>
              <w:top w:w="90" w:type="dxa"/>
              <w:left w:w="110" w:type="dxa"/>
              <w:bottom w:w="90" w:type="dxa"/>
              <w:right w:w="110" w:type="dxa"/>
            </w:tcMar>
            <w:vAlign w:val="center"/>
          </w:tcPr>
          <w:p w14:paraId="250F3E2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The application discusses views including those from the Cherhill White Horse and relies on design and planting.</w:t>
            </w:r>
          </w:p>
        </w:tc>
        <w:tc>
          <w:tcPr>
            <w:tcW w:w="3610" w:type="dxa"/>
            <w:shd w:val="clear" w:color="auto" w:fill="F2F4F7"/>
            <w:tcMar>
              <w:top w:w="90" w:type="dxa"/>
              <w:left w:w="110" w:type="dxa"/>
              <w:bottom w:w="90" w:type="dxa"/>
              <w:right w:w="110" w:type="dxa"/>
            </w:tcMar>
            <w:vAlign w:val="center"/>
          </w:tcPr>
          <w:p w14:paraId="54CF690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Officer should verify important public views, winter visibility and the effect before planting matures.</w:t>
            </w:r>
          </w:p>
        </w:tc>
      </w:tr>
      <w:tr w:rsidR="008C0581" w:rsidRPr="00E91A5B" w14:paraId="64D2F5D4" w14:textId="77777777">
        <w:trPr>
          <w:cantSplit/>
        </w:trPr>
        <w:tc>
          <w:tcPr>
            <w:tcW w:w="700" w:type="dxa"/>
            <w:tcMar>
              <w:top w:w="90" w:type="dxa"/>
              <w:left w:w="110" w:type="dxa"/>
              <w:bottom w:w="90" w:type="dxa"/>
              <w:right w:w="110" w:type="dxa"/>
            </w:tcMar>
            <w:vAlign w:val="center"/>
          </w:tcPr>
          <w:p w14:paraId="36758A6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1d</w:t>
            </w:r>
          </w:p>
        </w:tc>
        <w:tc>
          <w:tcPr>
            <w:tcW w:w="1900" w:type="dxa"/>
            <w:tcMar>
              <w:top w:w="90" w:type="dxa"/>
              <w:left w:w="110" w:type="dxa"/>
              <w:bottom w:w="90" w:type="dxa"/>
              <w:right w:w="110" w:type="dxa"/>
            </w:tcMar>
            <w:vAlign w:val="center"/>
          </w:tcPr>
          <w:p w14:paraId="564C939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Heritage setting</w:t>
            </w:r>
          </w:p>
        </w:tc>
        <w:tc>
          <w:tcPr>
            <w:tcW w:w="3150" w:type="dxa"/>
            <w:tcMar>
              <w:top w:w="90" w:type="dxa"/>
              <w:left w:w="110" w:type="dxa"/>
              <w:bottom w:w="90" w:type="dxa"/>
              <w:right w:w="110" w:type="dxa"/>
            </w:tcMar>
            <w:vAlign w:val="center"/>
          </w:tcPr>
          <w:p w14:paraId="52C7352A"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Hayle Farmhouse is reported to be about 100m south, with no harm anticipated.</w:t>
            </w:r>
          </w:p>
        </w:tc>
        <w:tc>
          <w:tcPr>
            <w:tcW w:w="3610" w:type="dxa"/>
            <w:tcMar>
              <w:top w:w="90" w:type="dxa"/>
              <w:left w:w="110" w:type="dxa"/>
              <w:bottom w:w="90" w:type="dxa"/>
              <w:right w:w="110" w:type="dxa"/>
            </w:tcMar>
            <w:vAlign w:val="center"/>
          </w:tcPr>
          <w:p w14:paraId="3F4F6B44" w14:textId="14235B09"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No conflict identified on current evidence.</w:t>
            </w:r>
          </w:p>
        </w:tc>
      </w:tr>
      <w:tr w:rsidR="008C0581" w:rsidRPr="00E91A5B" w14:paraId="011D1B59" w14:textId="77777777">
        <w:trPr>
          <w:cantSplit/>
        </w:trPr>
        <w:tc>
          <w:tcPr>
            <w:tcW w:w="700" w:type="dxa"/>
            <w:shd w:val="clear" w:color="auto" w:fill="F2F4F7"/>
            <w:tcMar>
              <w:top w:w="90" w:type="dxa"/>
              <w:left w:w="110" w:type="dxa"/>
              <w:bottom w:w="90" w:type="dxa"/>
              <w:right w:w="110" w:type="dxa"/>
            </w:tcMar>
            <w:vAlign w:val="center"/>
          </w:tcPr>
          <w:p w14:paraId="0C2DB5F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1e</w:t>
            </w:r>
          </w:p>
        </w:tc>
        <w:tc>
          <w:tcPr>
            <w:tcW w:w="1900" w:type="dxa"/>
            <w:shd w:val="clear" w:color="auto" w:fill="F2F4F7"/>
            <w:tcMar>
              <w:top w:w="90" w:type="dxa"/>
              <w:left w:w="110" w:type="dxa"/>
              <w:bottom w:w="90" w:type="dxa"/>
              <w:right w:w="110" w:type="dxa"/>
            </w:tcMar>
            <w:vAlign w:val="center"/>
          </w:tcPr>
          <w:p w14:paraId="50AA601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Industrial proximity / buffer</w:t>
            </w:r>
          </w:p>
        </w:tc>
        <w:tc>
          <w:tcPr>
            <w:tcW w:w="3150" w:type="dxa"/>
            <w:shd w:val="clear" w:color="auto" w:fill="F2F4F7"/>
            <w:tcMar>
              <w:top w:w="90" w:type="dxa"/>
              <w:left w:w="110" w:type="dxa"/>
              <w:bottom w:w="90" w:type="dxa"/>
              <w:right w:w="110" w:type="dxa"/>
            </w:tcMar>
            <w:vAlign w:val="center"/>
          </w:tcPr>
          <w:p w14:paraId="3334C49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Site is agricultural rather than industrial; retained and enhanced planting is proposed.</w:t>
            </w:r>
          </w:p>
        </w:tc>
        <w:tc>
          <w:tcPr>
            <w:tcW w:w="3610" w:type="dxa"/>
            <w:shd w:val="clear" w:color="auto" w:fill="F2F4F7"/>
            <w:tcMar>
              <w:top w:w="90" w:type="dxa"/>
              <w:left w:w="110" w:type="dxa"/>
              <w:bottom w:w="90" w:type="dxa"/>
              <w:right w:w="110" w:type="dxa"/>
            </w:tcMar>
            <w:vAlign w:val="center"/>
          </w:tcPr>
          <w:p w14:paraId="0A65DEB2" w14:textId="2B682CFB"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Not directly applicable.</w:t>
            </w:r>
          </w:p>
        </w:tc>
      </w:tr>
      <w:tr w:rsidR="008C0581" w:rsidRPr="00E91A5B" w14:paraId="77565433" w14:textId="77777777">
        <w:trPr>
          <w:cantSplit/>
        </w:trPr>
        <w:tc>
          <w:tcPr>
            <w:tcW w:w="700" w:type="dxa"/>
            <w:tcMar>
              <w:top w:w="90" w:type="dxa"/>
              <w:left w:w="110" w:type="dxa"/>
              <w:bottom w:w="90" w:type="dxa"/>
              <w:right w:w="110" w:type="dxa"/>
            </w:tcMar>
            <w:vAlign w:val="center"/>
          </w:tcPr>
          <w:p w14:paraId="54AEE02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2a</w:t>
            </w:r>
          </w:p>
        </w:tc>
        <w:tc>
          <w:tcPr>
            <w:tcW w:w="1900" w:type="dxa"/>
            <w:tcMar>
              <w:top w:w="90" w:type="dxa"/>
              <w:left w:w="110" w:type="dxa"/>
              <w:bottom w:w="90" w:type="dxa"/>
              <w:right w:w="110" w:type="dxa"/>
            </w:tcMar>
            <w:vAlign w:val="center"/>
          </w:tcPr>
          <w:p w14:paraId="53DA023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Pedestrian connectivity</w:t>
            </w:r>
          </w:p>
        </w:tc>
        <w:tc>
          <w:tcPr>
            <w:tcW w:w="3150" w:type="dxa"/>
            <w:tcMar>
              <w:top w:w="90" w:type="dxa"/>
              <w:left w:w="110" w:type="dxa"/>
              <w:bottom w:w="90" w:type="dxa"/>
              <w:right w:w="110" w:type="dxa"/>
            </w:tcMar>
            <w:vAlign w:val="center"/>
          </w:tcPr>
          <w:p w14:paraId="6D932F2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Pedestrian links and a connection to the western-side footpath are described.</w:t>
            </w:r>
          </w:p>
        </w:tc>
        <w:tc>
          <w:tcPr>
            <w:tcW w:w="3610" w:type="dxa"/>
            <w:tcMar>
              <w:top w:w="90" w:type="dxa"/>
              <w:left w:w="110" w:type="dxa"/>
              <w:bottom w:w="90" w:type="dxa"/>
              <w:right w:w="110" w:type="dxa"/>
            </w:tcMar>
            <w:vAlign w:val="center"/>
          </w:tcPr>
          <w:p w14:paraId="4284AFBA"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Relevant, but plans and deliverability require clarification; see requested pedestrian-access scheme.</w:t>
            </w:r>
          </w:p>
        </w:tc>
      </w:tr>
      <w:tr w:rsidR="008C0581" w:rsidRPr="00E91A5B" w14:paraId="3A46FC7B" w14:textId="77777777">
        <w:trPr>
          <w:cantSplit/>
        </w:trPr>
        <w:tc>
          <w:tcPr>
            <w:tcW w:w="700" w:type="dxa"/>
            <w:shd w:val="clear" w:color="auto" w:fill="F2F4F7"/>
            <w:tcMar>
              <w:top w:w="90" w:type="dxa"/>
              <w:left w:w="110" w:type="dxa"/>
              <w:bottom w:w="90" w:type="dxa"/>
              <w:right w:w="110" w:type="dxa"/>
            </w:tcMar>
            <w:vAlign w:val="center"/>
          </w:tcPr>
          <w:p w14:paraId="45E91C5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2b</w:t>
            </w:r>
          </w:p>
        </w:tc>
        <w:tc>
          <w:tcPr>
            <w:tcW w:w="1900" w:type="dxa"/>
            <w:shd w:val="clear" w:color="auto" w:fill="F2F4F7"/>
            <w:tcMar>
              <w:top w:w="90" w:type="dxa"/>
              <w:left w:w="110" w:type="dxa"/>
              <w:bottom w:w="90" w:type="dxa"/>
              <w:right w:w="110" w:type="dxa"/>
            </w:tcMar>
            <w:vAlign w:val="center"/>
          </w:tcPr>
          <w:p w14:paraId="1AF214F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Street and movement design</w:t>
            </w:r>
          </w:p>
        </w:tc>
        <w:tc>
          <w:tcPr>
            <w:tcW w:w="3150" w:type="dxa"/>
            <w:shd w:val="clear" w:color="auto" w:fill="F2F4F7"/>
            <w:tcMar>
              <w:top w:w="90" w:type="dxa"/>
              <w:left w:w="110" w:type="dxa"/>
              <w:bottom w:w="90" w:type="dxa"/>
              <w:right w:w="110" w:type="dxa"/>
            </w:tcMar>
            <w:vAlign w:val="center"/>
          </w:tcPr>
          <w:p w14:paraId="541A56B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Customer parking and servicing are separated; the existing access would be widened.</w:t>
            </w:r>
          </w:p>
        </w:tc>
        <w:tc>
          <w:tcPr>
            <w:tcW w:w="3610" w:type="dxa"/>
            <w:shd w:val="clear" w:color="auto" w:fill="F2F4F7"/>
            <w:tcMar>
              <w:top w:w="90" w:type="dxa"/>
              <w:left w:w="110" w:type="dxa"/>
              <w:bottom w:w="90" w:type="dxa"/>
              <w:right w:w="110" w:type="dxa"/>
            </w:tcMar>
            <w:vAlign w:val="center"/>
          </w:tcPr>
          <w:p w14:paraId="117E6DC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Broadly acceptable subject to highway-authority advice and safe pedestrian arrangements.</w:t>
            </w:r>
          </w:p>
        </w:tc>
      </w:tr>
      <w:tr w:rsidR="008C0581" w:rsidRPr="00E91A5B" w14:paraId="13C4758B" w14:textId="77777777">
        <w:trPr>
          <w:cantSplit/>
        </w:trPr>
        <w:tc>
          <w:tcPr>
            <w:tcW w:w="700" w:type="dxa"/>
            <w:tcMar>
              <w:top w:w="90" w:type="dxa"/>
              <w:left w:w="110" w:type="dxa"/>
              <w:bottom w:w="90" w:type="dxa"/>
              <w:right w:w="110" w:type="dxa"/>
            </w:tcMar>
            <w:vAlign w:val="center"/>
          </w:tcPr>
          <w:p w14:paraId="5050DE9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2c</w:t>
            </w:r>
          </w:p>
        </w:tc>
        <w:tc>
          <w:tcPr>
            <w:tcW w:w="1900" w:type="dxa"/>
            <w:tcMar>
              <w:top w:w="90" w:type="dxa"/>
              <w:left w:w="110" w:type="dxa"/>
              <w:bottom w:w="90" w:type="dxa"/>
              <w:right w:w="110" w:type="dxa"/>
            </w:tcMar>
            <w:vAlign w:val="center"/>
          </w:tcPr>
          <w:p w14:paraId="4977190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Dark-sky lighting</w:t>
            </w:r>
          </w:p>
        </w:tc>
        <w:tc>
          <w:tcPr>
            <w:tcW w:w="3150" w:type="dxa"/>
            <w:tcMar>
              <w:top w:w="90" w:type="dxa"/>
              <w:left w:w="110" w:type="dxa"/>
              <w:bottom w:w="90" w:type="dxa"/>
              <w:right w:w="110" w:type="dxa"/>
            </w:tcMar>
            <w:vAlign w:val="center"/>
          </w:tcPr>
          <w:p w14:paraId="7907C56E"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Low-level, time-controlled lighting is proposed and dark-sky requirements are acknowledged.</w:t>
            </w:r>
          </w:p>
        </w:tc>
        <w:tc>
          <w:tcPr>
            <w:tcW w:w="3610" w:type="dxa"/>
            <w:tcMar>
              <w:top w:w="90" w:type="dxa"/>
              <w:left w:w="110" w:type="dxa"/>
              <w:bottom w:w="90" w:type="dxa"/>
              <w:right w:w="110" w:type="dxa"/>
            </w:tcMar>
            <w:vAlign w:val="center"/>
          </w:tcPr>
          <w:p w14:paraId="3A2E0D6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Principle accepted; a detailed lighting scheme remains necessary.</w:t>
            </w:r>
          </w:p>
        </w:tc>
      </w:tr>
      <w:tr w:rsidR="008C0581" w:rsidRPr="00E91A5B" w14:paraId="735B1BB3" w14:textId="77777777">
        <w:trPr>
          <w:cantSplit/>
        </w:trPr>
        <w:tc>
          <w:tcPr>
            <w:tcW w:w="700" w:type="dxa"/>
            <w:shd w:val="clear" w:color="auto" w:fill="F2F4F7"/>
            <w:tcMar>
              <w:top w:w="90" w:type="dxa"/>
              <w:left w:w="110" w:type="dxa"/>
              <w:bottom w:w="90" w:type="dxa"/>
              <w:right w:w="110" w:type="dxa"/>
            </w:tcMar>
            <w:vAlign w:val="center"/>
          </w:tcPr>
          <w:p w14:paraId="72DE2285"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2d</w:t>
            </w:r>
          </w:p>
        </w:tc>
        <w:tc>
          <w:tcPr>
            <w:tcW w:w="1900" w:type="dxa"/>
            <w:shd w:val="clear" w:color="auto" w:fill="F2F4F7"/>
            <w:tcMar>
              <w:top w:w="90" w:type="dxa"/>
              <w:left w:w="110" w:type="dxa"/>
              <w:bottom w:w="90" w:type="dxa"/>
              <w:right w:w="110" w:type="dxa"/>
            </w:tcMar>
            <w:vAlign w:val="center"/>
          </w:tcPr>
          <w:p w14:paraId="4EDF3E0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Parking integration and porous surfacing</w:t>
            </w:r>
          </w:p>
        </w:tc>
        <w:tc>
          <w:tcPr>
            <w:tcW w:w="3150" w:type="dxa"/>
            <w:shd w:val="clear" w:color="auto" w:fill="F2F4F7"/>
            <w:tcMar>
              <w:top w:w="90" w:type="dxa"/>
              <w:left w:w="110" w:type="dxa"/>
              <w:bottom w:w="90" w:type="dxa"/>
              <w:right w:w="110" w:type="dxa"/>
            </w:tcMar>
            <w:vAlign w:val="center"/>
          </w:tcPr>
          <w:p w14:paraId="655B7A2B"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Seventy-three spaces, including accessible and EV spaces; permeable systems are proposed.</w:t>
            </w:r>
          </w:p>
        </w:tc>
        <w:tc>
          <w:tcPr>
            <w:tcW w:w="3610" w:type="dxa"/>
            <w:shd w:val="clear" w:color="auto" w:fill="F2F4F7"/>
            <w:tcMar>
              <w:top w:w="90" w:type="dxa"/>
              <w:left w:w="110" w:type="dxa"/>
              <w:bottom w:w="90" w:type="dxa"/>
              <w:right w:w="110" w:type="dxa"/>
            </w:tcMar>
            <w:vAlign w:val="center"/>
          </w:tcPr>
          <w:p w14:paraId="016AA57B"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Detailed compliance depends on parking justification, landscape integration and drainage design.</w:t>
            </w:r>
          </w:p>
        </w:tc>
      </w:tr>
      <w:tr w:rsidR="008C0581" w:rsidRPr="00E91A5B" w14:paraId="330ED899" w14:textId="77777777">
        <w:trPr>
          <w:cantSplit/>
        </w:trPr>
        <w:tc>
          <w:tcPr>
            <w:tcW w:w="700" w:type="dxa"/>
            <w:tcMar>
              <w:top w:w="90" w:type="dxa"/>
              <w:left w:w="110" w:type="dxa"/>
              <w:bottom w:w="90" w:type="dxa"/>
              <w:right w:w="110" w:type="dxa"/>
            </w:tcMar>
            <w:vAlign w:val="center"/>
          </w:tcPr>
          <w:p w14:paraId="09428ED4"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3a</w:t>
            </w:r>
          </w:p>
        </w:tc>
        <w:tc>
          <w:tcPr>
            <w:tcW w:w="1900" w:type="dxa"/>
            <w:tcMar>
              <w:top w:w="90" w:type="dxa"/>
              <w:left w:w="110" w:type="dxa"/>
              <w:bottom w:w="90" w:type="dxa"/>
              <w:right w:w="110" w:type="dxa"/>
            </w:tcMar>
            <w:vAlign w:val="center"/>
          </w:tcPr>
          <w:p w14:paraId="596E102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Green-network connectivity</w:t>
            </w:r>
          </w:p>
        </w:tc>
        <w:tc>
          <w:tcPr>
            <w:tcW w:w="3150" w:type="dxa"/>
            <w:tcMar>
              <w:top w:w="90" w:type="dxa"/>
              <w:left w:w="110" w:type="dxa"/>
              <w:bottom w:w="90" w:type="dxa"/>
              <w:right w:w="110" w:type="dxa"/>
            </w:tcMar>
            <w:vAlign w:val="center"/>
          </w:tcPr>
          <w:p w14:paraId="6E6E069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Native scrub, pond, hedgerow and tree planting are proposed.</w:t>
            </w:r>
          </w:p>
        </w:tc>
        <w:tc>
          <w:tcPr>
            <w:tcW w:w="3610" w:type="dxa"/>
            <w:tcMar>
              <w:top w:w="90" w:type="dxa"/>
              <w:left w:w="110" w:type="dxa"/>
              <w:bottom w:w="90" w:type="dxa"/>
              <w:right w:w="110" w:type="dxa"/>
            </w:tcMar>
            <w:vAlign w:val="center"/>
          </w:tcPr>
          <w:p w14:paraId="0E000D6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Potential enhancement subject to detailed design, implementation and long-term management.</w:t>
            </w:r>
          </w:p>
        </w:tc>
      </w:tr>
      <w:tr w:rsidR="008C0581" w:rsidRPr="00E91A5B" w14:paraId="34AC3420" w14:textId="77777777">
        <w:trPr>
          <w:cantSplit/>
        </w:trPr>
        <w:tc>
          <w:tcPr>
            <w:tcW w:w="700" w:type="dxa"/>
            <w:shd w:val="clear" w:color="auto" w:fill="F2F4F7"/>
            <w:tcMar>
              <w:top w:w="90" w:type="dxa"/>
              <w:left w:w="110" w:type="dxa"/>
              <w:bottom w:w="90" w:type="dxa"/>
              <w:right w:w="110" w:type="dxa"/>
            </w:tcMar>
            <w:vAlign w:val="center"/>
          </w:tcPr>
          <w:p w14:paraId="5B98378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3b</w:t>
            </w:r>
          </w:p>
        </w:tc>
        <w:tc>
          <w:tcPr>
            <w:tcW w:w="1900" w:type="dxa"/>
            <w:shd w:val="clear" w:color="auto" w:fill="F2F4F7"/>
            <w:tcMar>
              <w:top w:w="90" w:type="dxa"/>
              <w:left w:w="110" w:type="dxa"/>
              <w:bottom w:w="90" w:type="dxa"/>
              <w:right w:w="110" w:type="dxa"/>
            </w:tcMar>
            <w:vAlign w:val="center"/>
          </w:tcPr>
          <w:p w14:paraId="7998117B"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Habitats and wildlife corridors</w:t>
            </w:r>
          </w:p>
        </w:tc>
        <w:tc>
          <w:tcPr>
            <w:tcW w:w="3150" w:type="dxa"/>
            <w:shd w:val="clear" w:color="auto" w:fill="F2F4F7"/>
            <w:tcMar>
              <w:top w:w="90" w:type="dxa"/>
              <w:left w:w="110" w:type="dxa"/>
              <w:bottom w:w="90" w:type="dxa"/>
              <w:right w:w="110" w:type="dxa"/>
            </w:tcMar>
            <w:vAlign w:val="center"/>
          </w:tcPr>
          <w:p w14:paraId="59E3A62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Species measures, Reasonable Avoidance Method Statements and BNG habitat creation are described.</w:t>
            </w:r>
          </w:p>
        </w:tc>
        <w:tc>
          <w:tcPr>
            <w:tcW w:w="3610" w:type="dxa"/>
            <w:shd w:val="clear" w:color="auto" w:fill="F2F4F7"/>
            <w:tcMar>
              <w:top w:w="90" w:type="dxa"/>
              <w:left w:w="110" w:type="dxa"/>
              <w:bottom w:w="90" w:type="dxa"/>
              <w:right w:w="110" w:type="dxa"/>
            </w:tcMar>
            <w:vAlign w:val="center"/>
          </w:tcPr>
          <w:p w14:paraId="0D69F36C" w14:textId="56926250"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Supportive.</w:t>
            </w:r>
          </w:p>
        </w:tc>
      </w:tr>
      <w:tr w:rsidR="008C0581" w:rsidRPr="00E91A5B" w14:paraId="6E9A8E7D" w14:textId="77777777">
        <w:trPr>
          <w:cantSplit/>
        </w:trPr>
        <w:tc>
          <w:tcPr>
            <w:tcW w:w="700" w:type="dxa"/>
            <w:tcMar>
              <w:top w:w="90" w:type="dxa"/>
              <w:left w:w="110" w:type="dxa"/>
              <w:bottom w:w="90" w:type="dxa"/>
              <w:right w:w="110" w:type="dxa"/>
            </w:tcMar>
            <w:vAlign w:val="center"/>
          </w:tcPr>
          <w:p w14:paraId="4D588AD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3c</w:t>
            </w:r>
          </w:p>
        </w:tc>
        <w:tc>
          <w:tcPr>
            <w:tcW w:w="1900" w:type="dxa"/>
            <w:tcMar>
              <w:top w:w="90" w:type="dxa"/>
              <w:left w:w="110" w:type="dxa"/>
              <w:bottom w:w="90" w:type="dxa"/>
              <w:right w:w="110" w:type="dxa"/>
            </w:tcMar>
            <w:vAlign w:val="center"/>
          </w:tcPr>
          <w:p w14:paraId="58D2299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Surface-water management</w:t>
            </w:r>
          </w:p>
        </w:tc>
        <w:tc>
          <w:tcPr>
            <w:tcW w:w="3150" w:type="dxa"/>
            <w:tcMar>
              <w:top w:w="90" w:type="dxa"/>
              <w:left w:w="110" w:type="dxa"/>
              <w:bottom w:w="90" w:type="dxa"/>
              <w:right w:w="110" w:type="dxa"/>
            </w:tcMar>
            <w:vAlign w:val="center"/>
          </w:tcPr>
          <w:p w14:paraId="1191C858"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Permeable paving, attenuation, a pond and flow controls are proposed.</w:t>
            </w:r>
          </w:p>
        </w:tc>
        <w:tc>
          <w:tcPr>
            <w:tcW w:w="3610" w:type="dxa"/>
            <w:tcMar>
              <w:top w:w="90" w:type="dxa"/>
              <w:left w:w="110" w:type="dxa"/>
              <w:bottom w:w="90" w:type="dxa"/>
              <w:right w:w="110" w:type="dxa"/>
            </w:tcMar>
            <w:vAlign w:val="center"/>
          </w:tcPr>
          <w:p w14:paraId="20BF8694" w14:textId="6A4BFF88"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Compliant in principle</w:t>
            </w:r>
            <w:r w:rsidR="00F85061">
              <w:rPr>
                <w:rFonts w:ascii="Calibri" w:hAnsi="Calibri" w:cs="Calibri"/>
                <w:color w:val="000000"/>
                <w:sz w:val="15"/>
                <w:lang w:val="en-GB"/>
              </w:rPr>
              <w:t>, subject to implementation of the Drainage Strategy</w:t>
            </w:r>
            <w:r w:rsidR="00134FAB">
              <w:rPr>
                <w:rFonts w:ascii="Calibri" w:hAnsi="Calibri" w:cs="Calibri"/>
                <w:color w:val="000000"/>
                <w:sz w:val="15"/>
                <w:lang w:val="en-GB"/>
              </w:rPr>
              <w:t>.</w:t>
            </w:r>
          </w:p>
        </w:tc>
      </w:tr>
      <w:tr w:rsidR="008C0581" w:rsidRPr="00E91A5B" w14:paraId="09C97C58" w14:textId="77777777">
        <w:trPr>
          <w:cantSplit/>
        </w:trPr>
        <w:tc>
          <w:tcPr>
            <w:tcW w:w="700" w:type="dxa"/>
            <w:shd w:val="clear" w:color="auto" w:fill="F2F4F7"/>
            <w:tcMar>
              <w:top w:w="90" w:type="dxa"/>
              <w:left w:w="110" w:type="dxa"/>
              <w:bottom w:w="90" w:type="dxa"/>
              <w:right w:w="110" w:type="dxa"/>
            </w:tcMar>
            <w:vAlign w:val="center"/>
          </w:tcPr>
          <w:p w14:paraId="3A59507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4a</w:t>
            </w:r>
          </w:p>
        </w:tc>
        <w:tc>
          <w:tcPr>
            <w:tcW w:w="1900" w:type="dxa"/>
            <w:shd w:val="clear" w:color="auto" w:fill="F2F4F7"/>
            <w:tcMar>
              <w:top w:w="90" w:type="dxa"/>
              <w:left w:w="110" w:type="dxa"/>
              <w:bottom w:w="90" w:type="dxa"/>
              <w:right w:w="110" w:type="dxa"/>
            </w:tcMar>
            <w:vAlign w:val="center"/>
          </w:tcPr>
          <w:p w14:paraId="0F71A7A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Height and built form</w:t>
            </w:r>
          </w:p>
        </w:tc>
        <w:tc>
          <w:tcPr>
            <w:tcW w:w="3150" w:type="dxa"/>
            <w:shd w:val="clear" w:color="auto" w:fill="F2F4F7"/>
            <w:tcMar>
              <w:top w:w="90" w:type="dxa"/>
              <w:left w:w="110" w:type="dxa"/>
              <w:bottom w:w="90" w:type="dxa"/>
              <w:right w:w="110" w:type="dxa"/>
            </w:tcMar>
            <w:vAlign w:val="center"/>
          </w:tcPr>
          <w:p w14:paraId="163955C9" w14:textId="21472011"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 xml:space="preserve">Parts are single and two-storey; maximum silo ridge height is stated to be </w:t>
            </w:r>
            <w:r w:rsidR="00786417">
              <w:rPr>
                <w:rFonts w:ascii="Calibri" w:hAnsi="Calibri" w:cs="Calibri"/>
                <w:color w:val="000000"/>
                <w:sz w:val="15"/>
                <w:lang w:val="en-GB"/>
              </w:rPr>
              <w:t xml:space="preserve">8.9 </w:t>
            </w:r>
            <w:r w:rsidRPr="00E91A5B">
              <w:rPr>
                <w:rFonts w:ascii="Calibri" w:hAnsi="Calibri" w:cs="Calibri"/>
                <w:color w:val="000000"/>
                <w:sz w:val="15"/>
                <w:lang w:val="en-GB"/>
              </w:rPr>
              <w:t>metres.</w:t>
            </w:r>
          </w:p>
        </w:tc>
        <w:tc>
          <w:tcPr>
            <w:tcW w:w="3610" w:type="dxa"/>
            <w:shd w:val="clear" w:color="auto" w:fill="F2F4F7"/>
            <w:tcMar>
              <w:top w:w="90" w:type="dxa"/>
              <w:left w:w="110" w:type="dxa"/>
              <w:bottom w:w="90" w:type="dxa"/>
              <w:right w:w="110" w:type="dxa"/>
            </w:tcMar>
            <w:vAlign w:val="center"/>
          </w:tcPr>
          <w:p w14:paraId="309CC8A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The silo element requires careful landscape assessment rather than an unqualified compliance finding.</w:t>
            </w:r>
          </w:p>
        </w:tc>
      </w:tr>
      <w:tr w:rsidR="008C0581" w:rsidRPr="00E91A5B" w14:paraId="46CE6B34" w14:textId="77777777">
        <w:trPr>
          <w:cantSplit/>
        </w:trPr>
        <w:tc>
          <w:tcPr>
            <w:tcW w:w="700" w:type="dxa"/>
            <w:tcMar>
              <w:top w:w="90" w:type="dxa"/>
              <w:left w:w="110" w:type="dxa"/>
              <w:bottom w:w="90" w:type="dxa"/>
              <w:right w:w="110" w:type="dxa"/>
            </w:tcMar>
            <w:vAlign w:val="center"/>
          </w:tcPr>
          <w:p w14:paraId="11B3E3C2"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4b–4c</w:t>
            </w:r>
          </w:p>
        </w:tc>
        <w:tc>
          <w:tcPr>
            <w:tcW w:w="1900" w:type="dxa"/>
            <w:tcMar>
              <w:top w:w="90" w:type="dxa"/>
              <w:left w:w="110" w:type="dxa"/>
              <w:bottom w:w="90" w:type="dxa"/>
              <w:right w:w="110" w:type="dxa"/>
            </w:tcMar>
            <w:vAlign w:val="center"/>
          </w:tcPr>
          <w:p w14:paraId="3D354E43"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Boundary treatment</w:t>
            </w:r>
          </w:p>
        </w:tc>
        <w:tc>
          <w:tcPr>
            <w:tcW w:w="3150" w:type="dxa"/>
            <w:tcMar>
              <w:top w:w="90" w:type="dxa"/>
              <w:left w:w="110" w:type="dxa"/>
              <w:bottom w:w="90" w:type="dxa"/>
              <w:right w:w="110" w:type="dxa"/>
            </w:tcMar>
            <w:vAlign w:val="center"/>
          </w:tcPr>
          <w:p w14:paraId="4108307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Existing vegetation to the south-west would be retained; fencing and planting would be added.</w:t>
            </w:r>
          </w:p>
        </w:tc>
        <w:tc>
          <w:tcPr>
            <w:tcW w:w="3610" w:type="dxa"/>
            <w:tcMar>
              <w:top w:w="90" w:type="dxa"/>
              <w:left w:w="110" w:type="dxa"/>
              <w:bottom w:w="90" w:type="dxa"/>
              <w:right w:w="110" w:type="dxa"/>
            </w:tcMar>
            <w:vAlign w:val="center"/>
          </w:tcPr>
          <w:p w14:paraId="72371931"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Acceptable in principle subject to details and establishment.</w:t>
            </w:r>
          </w:p>
        </w:tc>
      </w:tr>
      <w:tr w:rsidR="008C0581" w:rsidRPr="00E91A5B" w14:paraId="173C2C8D" w14:textId="77777777">
        <w:trPr>
          <w:cantSplit/>
        </w:trPr>
        <w:tc>
          <w:tcPr>
            <w:tcW w:w="700" w:type="dxa"/>
            <w:shd w:val="clear" w:color="auto" w:fill="F2F4F7"/>
            <w:tcMar>
              <w:top w:w="90" w:type="dxa"/>
              <w:left w:w="110" w:type="dxa"/>
              <w:bottom w:w="90" w:type="dxa"/>
              <w:right w:w="110" w:type="dxa"/>
            </w:tcMar>
            <w:vAlign w:val="center"/>
          </w:tcPr>
          <w:p w14:paraId="77F3943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4f</w:t>
            </w:r>
          </w:p>
        </w:tc>
        <w:tc>
          <w:tcPr>
            <w:tcW w:w="1900" w:type="dxa"/>
            <w:shd w:val="clear" w:color="auto" w:fill="F2F4F7"/>
            <w:tcMar>
              <w:top w:w="90" w:type="dxa"/>
              <w:left w:w="110" w:type="dxa"/>
              <w:bottom w:w="90" w:type="dxa"/>
              <w:right w:w="110" w:type="dxa"/>
            </w:tcMar>
            <w:vAlign w:val="center"/>
          </w:tcPr>
          <w:p w14:paraId="5689D22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Materials</w:t>
            </w:r>
          </w:p>
        </w:tc>
        <w:tc>
          <w:tcPr>
            <w:tcW w:w="3150" w:type="dxa"/>
            <w:shd w:val="clear" w:color="auto" w:fill="F2F4F7"/>
            <w:tcMar>
              <w:top w:w="90" w:type="dxa"/>
              <w:left w:w="110" w:type="dxa"/>
              <w:bottom w:w="90" w:type="dxa"/>
              <w:right w:w="110" w:type="dxa"/>
            </w:tcMar>
            <w:vAlign w:val="center"/>
          </w:tcPr>
          <w:p w14:paraId="005009A6"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Grey metal, brown timber, glazing and brick plinth in muted tones are proposed.</w:t>
            </w:r>
          </w:p>
        </w:tc>
        <w:tc>
          <w:tcPr>
            <w:tcW w:w="3610" w:type="dxa"/>
            <w:shd w:val="clear" w:color="auto" w:fill="F2F4F7"/>
            <w:tcMar>
              <w:top w:w="90" w:type="dxa"/>
              <w:left w:w="110" w:type="dxa"/>
              <w:bottom w:w="90" w:type="dxa"/>
              <w:right w:w="110" w:type="dxa"/>
            </w:tcMar>
            <w:vAlign w:val="center"/>
          </w:tcPr>
          <w:p w14:paraId="198ED2DD"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Generally appropriate to an agricultural context; final samples/details should be controlled if necessary.</w:t>
            </w:r>
          </w:p>
        </w:tc>
      </w:tr>
      <w:tr w:rsidR="008C0581" w:rsidRPr="00E91A5B" w14:paraId="23B0C909" w14:textId="77777777">
        <w:trPr>
          <w:cantSplit/>
        </w:trPr>
        <w:tc>
          <w:tcPr>
            <w:tcW w:w="700" w:type="dxa"/>
            <w:tcMar>
              <w:top w:w="90" w:type="dxa"/>
              <w:left w:w="110" w:type="dxa"/>
              <w:bottom w:w="90" w:type="dxa"/>
              <w:right w:w="110" w:type="dxa"/>
            </w:tcMar>
            <w:vAlign w:val="center"/>
          </w:tcPr>
          <w:p w14:paraId="7A85CAE8"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4g</w:t>
            </w:r>
          </w:p>
        </w:tc>
        <w:tc>
          <w:tcPr>
            <w:tcW w:w="1900" w:type="dxa"/>
            <w:tcMar>
              <w:top w:w="90" w:type="dxa"/>
              <w:left w:w="110" w:type="dxa"/>
              <w:bottom w:w="90" w:type="dxa"/>
              <w:right w:w="110" w:type="dxa"/>
            </w:tcMar>
            <w:vAlign w:val="center"/>
          </w:tcPr>
          <w:p w14:paraId="79C626B0"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Shopfront and active frontage</w:t>
            </w:r>
          </w:p>
        </w:tc>
        <w:tc>
          <w:tcPr>
            <w:tcW w:w="3150" w:type="dxa"/>
            <w:tcMar>
              <w:top w:w="90" w:type="dxa"/>
              <w:left w:w="110" w:type="dxa"/>
              <w:bottom w:w="90" w:type="dxa"/>
              <w:right w:w="110" w:type="dxa"/>
            </w:tcMar>
            <w:vAlign w:val="center"/>
          </w:tcPr>
          <w:p w14:paraId="41C71C4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Glazing and an active farm-shop/café frontage are proposed.</w:t>
            </w:r>
          </w:p>
        </w:tc>
        <w:tc>
          <w:tcPr>
            <w:tcW w:w="3610" w:type="dxa"/>
            <w:tcMar>
              <w:top w:w="90" w:type="dxa"/>
              <w:left w:w="110" w:type="dxa"/>
              <w:bottom w:w="90" w:type="dxa"/>
              <w:right w:w="110" w:type="dxa"/>
            </w:tcMar>
            <w:vAlign w:val="center"/>
          </w:tcPr>
          <w:p w14:paraId="0E95CB9C"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Only partly applicable because this is not a high-street context.</w:t>
            </w:r>
          </w:p>
        </w:tc>
      </w:tr>
      <w:tr w:rsidR="008C0581" w:rsidRPr="00E91A5B" w14:paraId="3F060ED1" w14:textId="77777777">
        <w:trPr>
          <w:cantSplit/>
        </w:trPr>
        <w:tc>
          <w:tcPr>
            <w:tcW w:w="700" w:type="dxa"/>
            <w:shd w:val="clear" w:color="auto" w:fill="F2F4F7"/>
            <w:tcMar>
              <w:top w:w="90" w:type="dxa"/>
              <w:left w:w="110" w:type="dxa"/>
              <w:bottom w:w="90" w:type="dxa"/>
              <w:right w:w="110" w:type="dxa"/>
            </w:tcMar>
            <w:vAlign w:val="center"/>
          </w:tcPr>
          <w:p w14:paraId="501D1BEF"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4h</w:t>
            </w:r>
          </w:p>
        </w:tc>
        <w:tc>
          <w:tcPr>
            <w:tcW w:w="1900" w:type="dxa"/>
            <w:shd w:val="clear" w:color="auto" w:fill="F2F4F7"/>
            <w:tcMar>
              <w:top w:w="90" w:type="dxa"/>
              <w:left w:w="110" w:type="dxa"/>
              <w:bottom w:w="90" w:type="dxa"/>
              <w:right w:w="110" w:type="dxa"/>
            </w:tcMar>
            <w:vAlign w:val="center"/>
          </w:tcPr>
          <w:p w14:paraId="07C58C79"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Eco-design and renewable energy</w:t>
            </w:r>
          </w:p>
        </w:tc>
        <w:tc>
          <w:tcPr>
            <w:tcW w:w="3150" w:type="dxa"/>
            <w:shd w:val="clear" w:color="auto" w:fill="F2F4F7"/>
            <w:tcMar>
              <w:top w:w="90" w:type="dxa"/>
              <w:left w:w="110" w:type="dxa"/>
              <w:bottom w:w="90" w:type="dxa"/>
              <w:right w:w="110" w:type="dxa"/>
            </w:tcMar>
            <w:vAlign w:val="center"/>
          </w:tcPr>
          <w:p w14:paraId="40AABFF8"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Air-source heat pumps are proposed; PV is conditional on viability or future provision.</w:t>
            </w:r>
          </w:p>
        </w:tc>
        <w:tc>
          <w:tcPr>
            <w:tcW w:w="3610" w:type="dxa"/>
            <w:shd w:val="clear" w:color="auto" w:fill="F2F4F7"/>
            <w:tcMar>
              <w:top w:w="90" w:type="dxa"/>
              <w:left w:w="110" w:type="dxa"/>
              <w:bottom w:w="90" w:type="dxa"/>
              <w:right w:w="110" w:type="dxa"/>
            </w:tcMar>
            <w:vAlign w:val="center"/>
          </w:tcPr>
          <w:p w14:paraId="719367E7" w14:textId="77777777" w:rsidR="008C0581" w:rsidRPr="00E91A5B" w:rsidRDefault="008D730C">
            <w:pPr>
              <w:spacing w:after="0" w:line="245" w:lineRule="auto"/>
              <w:rPr>
                <w:rFonts w:ascii="Calibri" w:hAnsi="Calibri" w:cs="Calibri"/>
                <w:lang w:val="en-GB"/>
              </w:rPr>
            </w:pPr>
            <w:r w:rsidRPr="00E91A5B">
              <w:rPr>
                <w:rFonts w:ascii="Calibri" w:hAnsi="Calibri" w:cs="Calibri"/>
                <w:color w:val="000000"/>
                <w:sz w:val="15"/>
                <w:lang w:val="en-GB"/>
              </w:rPr>
              <w:t>Partly demonstrated. A firm energy and carbon-reduction strategy is required.</w:t>
            </w:r>
          </w:p>
        </w:tc>
      </w:tr>
    </w:tbl>
    <w:p w14:paraId="6673322D" w14:textId="77777777" w:rsidR="008C0581" w:rsidRPr="00E91A5B" w:rsidRDefault="008C0581">
      <w:pPr>
        <w:spacing w:after="20"/>
        <w:rPr>
          <w:rFonts w:ascii="Calibri" w:hAnsi="Calibri" w:cs="Calibri"/>
          <w:lang w:val="en-GB"/>
        </w:rPr>
      </w:pPr>
    </w:p>
    <w:p w14:paraId="29B67D4A" w14:textId="1104CA35" w:rsidR="008C0581" w:rsidRDefault="008D730C" w:rsidP="00F75D87">
      <w:pPr>
        <w:rPr>
          <w:rFonts w:ascii="Calibri" w:hAnsi="Calibri" w:cs="Calibri"/>
          <w:lang w:val="en-GB"/>
        </w:rPr>
      </w:pPr>
      <w:r w:rsidRPr="00E91A5B">
        <w:rPr>
          <w:rFonts w:ascii="Calibri" w:hAnsi="Calibri" w:cs="Calibri"/>
          <w:lang w:val="en-GB"/>
        </w:rPr>
        <w:br w:type="page"/>
      </w:r>
    </w:p>
    <w:p w14:paraId="5ADD6FC0" w14:textId="64F88FAA" w:rsidR="00AF6259" w:rsidRPr="00AF6259" w:rsidRDefault="00AF6259" w:rsidP="00AF6259">
      <w:pPr>
        <w:pStyle w:val="Heading1"/>
        <w:rPr>
          <w:rFonts w:ascii="Calibri" w:hAnsi="Calibri" w:cs="Calibri"/>
          <w:lang w:val="en-GB"/>
        </w:rPr>
      </w:pPr>
      <w:r>
        <w:rPr>
          <w:rFonts w:ascii="Calibri" w:hAnsi="Calibri" w:cs="Calibri"/>
          <w:lang w:val="en-GB"/>
        </w:rPr>
        <w:lastRenderedPageBreak/>
        <w:t xml:space="preserve">Appendix C: Wiltshire Council Planning Portal </w:t>
      </w:r>
      <w:r w:rsidRPr="00AF6259">
        <w:rPr>
          <w:rFonts w:ascii="Calibri" w:hAnsi="Calibri" w:cs="Calibri"/>
          <w:lang w:val="en-GB"/>
        </w:rPr>
        <w:t>Comment Analysis</w:t>
      </w:r>
    </w:p>
    <w:p w14:paraId="7C14F07D" w14:textId="77777777" w:rsidR="00AF6259" w:rsidRDefault="00AF6259" w:rsidP="00AF6259">
      <w:pPr>
        <w:outlineLvl w:val="2"/>
        <w:rPr>
          <w:rFonts w:eastAsia="Times New Roman" w:cs="Arial"/>
          <w:b/>
          <w:bCs/>
          <w:color w:val="24292E"/>
          <w:lang w:eastAsia="en-GB"/>
        </w:rPr>
      </w:pPr>
    </w:p>
    <w:p w14:paraId="4A5AE026" w14:textId="2EAC5390" w:rsidR="00AF6259" w:rsidRPr="00F95768" w:rsidRDefault="00AF6259" w:rsidP="00AF6259">
      <w:pPr>
        <w:outlineLvl w:val="2"/>
        <w:rPr>
          <w:rFonts w:eastAsia="Times New Roman" w:cs="Arial"/>
          <w:b/>
          <w:bCs/>
          <w:color w:val="24292E"/>
          <w:lang w:eastAsia="en-GB"/>
        </w:rPr>
      </w:pPr>
      <w:r w:rsidRPr="00F95768">
        <w:rPr>
          <w:rFonts w:eastAsia="Times New Roman" w:cs="Arial"/>
          <w:b/>
          <w:bCs/>
          <w:color w:val="24292E"/>
          <w:lang w:eastAsia="en-GB"/>
        </w:rPr>
        <w:t>Summary</w:t>
      </w:r>
    </w:p>
    <w:p w14:paraId="1B55EB7F"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color w:val="24292E"/>
          <w:sz w:val="22"/>
          <w:lang w:eastAsia="en-GB"/>
        </w:rPr>
        <w:t>The vast majority of respondents support the application. The primary drivers for support are the economic benefit to local agriculture, the creation of a social hub on the eastern side of Calne, and the provision of local employment. Minority concerns relate to material planning considerations: pedestrian safety, traffic speed/volume, visual impact on the AONB fringe, and potential competition with existing local businesses. One statutory request for archaeological mitigation was received.</w:t>
      </w:r>
    </w:p>
    <w:p w14:paraId="4A382ADF" w14:textId="77777777" w:rsidR="00AF6259" w:rsidRPr="00A20B10" w:rsidRDefault="00AF6259" w:rsidP="00AF6259">
      <w:pPr>
        <w:outlineLvl w:val="2"/>
        <w:rPr>
          <w:rFonts w:eastAsia="Times New Roman" w:cs="Arial"/>
          <w:b/>
          <w:bCs/>
          <w:color w:val="24292E"/>
          <w:sz w:val="22"/>
          <w:lang w:eastAsia="en-GB"/>
        </w:rPr>
      </w:pPr>
      <w:r w:rsidRPr="00A20B10">
        <w:rPr>
          <w:rFonts w:eastAsia="Times New Roman" w:cs="Arial"/>
          <w:b/>
          <w:bCs/>
          <w:color w:val="24292E"/>
          <w:sz w:val="22"/>
          <w:lang w:eastAsia="en-GB"/>
        </w:rPr>
        <w:t>Key Feedback Categories</w:t>
      </w:r>
    </w:p>
    <w:p w14:paraId="67D18EA4"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i/>
          <w:iCs/>
          <w:color w:val="24292E"/>
          <w:sz w:val="22"/>
          <w:lang w:eastAsia="en-GB"/>
        </w:rPr>
        <w:t>Note: Categories overlap — individual respondents may appear in multiple categories. The first eight categories represent positive feedback; the remainder represent concerns or conditions sought.</w:t>
      </w:r>
    </w:p>
    <w:tbl>
      <w:tblPr>
        <w:tblStyle w:val="GridTable1Light-Accent1"/>
        <w:tblW w:w="0" w:type="auto"/>
        <w:tblLook w:val="04A0" w:firstRow="1" w:lastRow="0" w:firstColumn="1" w:lastColumn="0" w:noHBand="0" w:noVBand="1"/>
      </w:tblPr>
      <w:tblGrid>
        <w:gridCol w:w="3256"/>
        <w:gridCol w:w="992"/>
        <w:gridCol w:w="4762"/>
      </w:tblGrid>
      <w:tr w:rsidR="00AF6259" w:rsidRPr="00F95768" w14:paraId="193F7AEC"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noWrap/>
            <w:vAlign w:val="center"/>
            <w:hideMark/>
          </w:tcPr>
          <w:p w14:paraId="6D5A1D6A" w14:textId="77777777" w:rsidR="00AF6259" w:rsidRPr="00F95768" w:rsidRDefault="00AF6259" w:rsidP="0064106D">
            <w:pPr>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Category</w:t>
            </w:r>
          </w:p>
        </w:tc>
        <w:tc>
          <w:tcPr>
            <w:tcW w:w="992" w:type="dxa"/>
            <w:noWrap/>
            <w:vAlign w:val="center"/>
            <w:hideMark/>
          </w:tcPr>
          <w:p w14:paraId="352764AB" w14:textId="77777777" w:rsidR="00AF6259" w:rsidRPr="00F95768" w:rsidRDefault="00AF6259" w:rsidP="0064106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 xml:space="preserve">No. of </w:t>
            </w:r>
            <w:r>
              <w:rPr>
                <w:rFonts w:eastAsia="Times New Roman" w:cs="Times New Roman"/>
                <w:b w:val="0"/>
                <w:bCs w:val="0"/>
                <w:color w:val="0C0C14"/>
                <w:spacing w:val="6"/>
                <w:kern w:val="0"/>
                <w:sz w:val="22"/>
                <w:szCs w:val="22"/>
                <w:lang w:eastAsia="en-GB"/>
                <w14:ligatures w14:val="none"/>
              </w:rPr>
              <w:t>Resp’ts</w:t>
            </w:r>
          </w:p>
        </w:tc>
        <w:tc>
          <w:tcPr>
            <w:tcW w:w="4762" w:type="dxa"/>
            <w:noWrap/>
            <w:vAlign w:val="center"/>
            <w:hideMark/>
          </w:tcPr>
          <w:p w14:paraId="434DC305"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Nature of Feedback</w:t>
            </w:r>
          </w:p>
        </w:tc>
      </w:tr>
      <w:tr w:rsidR="00AF6259" w:rsidRPr="00F95768" w14:paraId="78862167"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335B7CFD"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Local Economy &amp; Farming</w:t>
            </w:r>
          </w:p>
        </w:tc>
        <w:tc>
          <w:tcPr>
            <w:tcW w:w="992" w:type="dxa"/>
            <w:vAlign w:val="center"/>
            <w:hideMark/>
          </w:tcPr>
          <w:p w14:paraId="57D6B3CD"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20</w:t>
            </w:r>
          </w:p>
        </w:tc>
        <w:tc>
          <w:tcPr>
            <w:tcW w:w="4762" w:type="dxa"/>
            <w:vAlign w:val="center"/>
            <w:hideMark/>
          </w:tcPr>
          <w:p w14:paraId="62BC9AA9"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Support for British farming, reduced food miles, local produce outlets</w:t>
            </w:r>
          </w:p>
        </w:tc>
      </w:tr>
      <w:tr w:rsidR="00AF6259" w:rsidRPr="00F95768" w14:paraId="5063C246"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4CBC6EB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Employment</w:t>
            </w:r>
          </w:p>
        </w:tc>
        <w:tc>
          <w:tcPr>
            <w:tcW w:w="992" w:type="dxa"/>
            <w:vAlign w:val="center"/>
            <w:hideMark/>
          </w:tcPr>
          <w:p w14:paraId="73F05DE2"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14</w:t>
            </w:r>
          </w:p>
        </w:tc>
        <w:tc>
          <w:tcPr>
            <w:tcW w:w="4762" w:type="dxa"/>
            <w:vAlign w:val="center"/>
            <w:hideMark/>
          </w:tcPr>
          <w:p w14:paraId="674EAD8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Positive view on job creation for local residents</w:t>
            </w:r>
          </w:p>
        </w:tc>
      </w:tr>
      <w:tr w:rsidR="00AF6259" w:rsidRPr="00F95768" w14:paraId="4235D173"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1E20D40B"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Design &amp; Landscape</w:t>
            </w:r>
          </w:p>
        </w:tc>
        <w:tc>
          <w:tcPr>
            <w:tcW w:w="992" w:type="dxa"/>
            <w:vAlign w:val="center"/>
            <w:hideMark/>
          </w:tcPr>
          <w:p w14:paraId="6C7370F3"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10</w:t>
            </w:r>
          </w:p>
        </w:tc>
        <w:tc>
          <w:tcPr>
            <w:tcW w:w="4762" w:type="dxa"/>
            <w:vAlign w:val="center"/>
            <w:hideMark/>
          </w:tcPr>
          <w:p w14:paraId="23C11B02"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General agreement that design is sympathetic and blends with surroundings</w:t>
            </w:r>
          </w:p>
        </w:tc>
      </w:tr>
      <w:tr w:rsidR="00AF6259" w:rsidRPr="00F95768" w14:paraId="7BF9A138"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25B10BAF"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Community &amp; Social Value</w:t>
            </w:r>
          </w:p>
        </w:tc>
        <w:tc>
          <w:tcPr>
            <w:tcW w:w="992" w:type="dxa"/>
            <w:vAlign w:val="center"/>
            <w:hideMark/>
          </w:tcPr>
          <w:p w14:paraId="141A096D"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9</w:t>
            </w:r>
          </w:p>
        </w:tc>
        <w:tc>
          <w:tcPr>
            <w:tcW w:w="4762" w:type="dxa"/>
            <w:vAlign w:val="center"/>
            <w:hideMark/>
          </w:tcPr>
          <w:p w14:paraId="45E84DB3"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Desire for a social focal point/meeting place in this part of town</w:t>
            </w:r>
          </w:p>
        </w:tc>
      </w:tr>
      <w:tr w:rsidR="00AF6259" w:rsidRPr="00F95768" w14:paraId="28ACE210"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32AACF57"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Convenience &amp; Reduced Travel</w:t>
            </w:r>
          </w:p>
        </w:tc>
        <w:tc>
          <w:tcPr>
            <w:tcW w:w="992" w:type="dxa"/>
            <w:vAlign w:val="center"/>
            <w:hideMark/>
          </w:tcPr>
          <w:p w14:paraId="5DE108F5"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8</w:t>
            </w:r>
          </w:p>
        </w:tc>
        <w:tc>
          <w:tcPr>
            <w:tcW w:w="4762" w:type="dxa"/>
            <w:vAlign w:val="center"/>
            <w:hideMark/>
          </w:tcPr>
          <w:p w14:paraId="1D217C5E"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Support for reducing need to travel across town to supermarkets</w:t>
            </w:r>
          </w:p>
        </w:tc>
      </w:tr>
      <w:tr w:rsidR="00AF6259" w:rsidRPr="00F95768" w14:paraId="2FADBD94"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0B69575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Environmental / Wildlife</w:t>
            </w:r>
          </w:p>
        </w:tc>
        <w:tc>
          <w:tcPr>
            <w:tcW w:w="992" w:type="dxa"/>
            <w:vAlign w:val="center"/>
            <w:hideMark/>
          </w:tcPr>
          <w:p w14:paraId="63481159"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6</w:t>
            </w:r>
          </w:p>
        </w:tc>
        <w:tc>
          <w:tcPr>
            <w:tcW w:w="4762" w:type="dxa"/>
            <w:vAlign w:val="center"/>
            <w:hideMark/>
          </w:tcPr>
          <w:p w14:paraId="5ECE6962"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Support for biodiversity, grazing, sustainability features</w:t>
            </w:r>
          </w:p>
        </w:tc>
      </w:tr>
      <w:tr w:rsidR="00AF6259" w:rsidRPr="00F95768" w14:paraId="47D9207D"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374E9C9A"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Strategic Location (A4 access)</w:t>
            </w:r>
          </w:p>
        </w:tc>
        <w:tc>
          <w:tcPr>
            <w:tcW w:w="992" w:type="dxa"/>
            <w:vAlign w:val="center"/>
            <w:hideMark/>
          </w:tcPr>
          <w:p w14:paraId="5DDA7E82"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4</w:t>
            </w:r>
          </w:p>
        </w:tc>
        <w:tc>
          <w:tcPr>
            <w:tcW w:w="4762" w:type="dxa"/>
            <w:vAlign w:val="center"/>
            <w:hideMark/>
          </w:tcPr>
          <w:p w14:paraId="223434C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Good access from A4, well-positioned for eastern Calne</w:t>
            </w:r>
          </w:p>
        </w:tc>
      </w:tr>
      <w:tr w:rsidR="00AF6259" w:rsidRPr="00F95768" w14:paraId="030E0487"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6FC03AB7"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Preferred Over Housing</w:t>
            </w:r>
          </w:p>
        </w:tc>
        <w:tc>
          <w:tcPr>
            <w:tcW w:w="992" w:type="dxa"/>
            <w:vAlign w:val="center"/>
            <w:hideMark/>
          </w:tcPr>
          <w:p w14:paraId="3C99807B"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4762" w:type="dxa"/>
            <w:vAlign w:val="center"/>
            <w:hideMark/>
          </w:tcPr>
          <w:p w14:paraId="67E2CE37"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Viewed as preferable to housing development</w:t>
            </w:r>
          </w:p>
        </w:tc>
      </w:tr>
      <w:tr w:rsidR="00AF6259" w:rsidRPr="00F95768" w14:paraId="6874563E"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4BD05BC6"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Pedestrian Access / Safety</w:t>
            </w:r>
          </w:p>
        </w:tc>
        <w:tc>
          <w:tcPr>
            <w:tcW w:w="992" w:type="dxa"/>
            <w:vAlign w:val="center"/>
            <w:hideMark/>
          </w:tcPr>
          <w:p w14:paraId="135DA5A2"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4</w:t>
            </w:r>
          </w:p>
        </w:tc>
        <w:tc>
          <w:tcPr>
            <w:tcW w:w="4762" w:type="dxa"/>
            <w:vAlign w:val="center"/>
            <w:hideMark/>
          </w:tcPr>
          <w:p w14:paraId="0AA7F526"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Requests for safe footpaths from Cherhill and Lower Compton estate</w:t>
            </w:r>
          </w:p>
        </w:tc>
      </w:tr>
      <w:tr w:rsidR="00AF6259" w:rsidRPr="00F95768" w14:paraId="5F0EBE83"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521D8581"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Traffic &amp; Speed Limits</w:t>
            </w:r>
          </w:p>
        </w:tc>
        <w:tc>
          <w:tcPr>
            <w:tcW w:w="992" w:type="dxa"/>
            <w:vAlign w:val="center"/>
            <w:hideMark/>
          </w:tcPr>
          <w:p w14:paraId="51977ECD"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3</w:t>
            </w:r>
          </w:p>
        </w:tc>
        <w:tc>
          <w:tcPr>
            <w:tcW w:w="4762" w:type="dxa"/>
            <w:vAlign w:val="center"/>
            <w:hideMark/>
          </w:tcPr>
          <w:p w14:paraId="3BE86F9D"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Concerns over current 40mph limit; requests for reduction to 20/30mph</w:t>
            </w:r>
          </w:p>
        </w:tc>
      </w:tr>
      <w:tr w:rsidR="00AF6259" w:rsidRPr="00F95768" w14:paraId="3EEBBEF8"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53AF97AF"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Traffic / A4 Junction Safety</w:t>
            </w:r>
          </w:p>
        </w:tc>
        <w:tc>
          <w:tcPr>
            <w:tcW w:w="992" w:type="dxa"/>
            <w:vAlign w:val="center"/>
            <w:hideMark/>
          </w:tcPr>
          <w:p w14:paraId="125AE43A"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4762" w:type="dxa"/>
            <w:vAlign w:val="center"/>
            <w:hideMark/>
          </w:tcPr>
          <w:p w14:paraId="43F23BC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Concerns about junction danger and landfill/recycling vehicle traffic</w:t>
            </w:r>
          </w:p>
        </w:tc>
      </w:tr>
      <w:tr w:rsidR="00AF6259" w:rsidRPr="00F95768" w14:paraId="4A793B76"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50A1817"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Car Park Scale / Visual Impact</w:t>
            </w:r>
          </w:p>
        </w:tc>
        <w:tc>
          <w:tcPr>
            <w:tcW w:w="992" w:type="dxa"/>
            <w:vAlign w:val="center"/>
            <w:hideMark/>
          </w:tcPr>
          <w:p w14:paraId="1F4B2F0E"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4762" w:type="dxa"/>
            <w:vAlign w:val="center"/>
            <w:hideMark/>
          </w:tcPr>
          <w:p w14:paraId="2258F9F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Car park considered excessive; hardstanding on AONB fringe</w:t>
            </w:r>
          </w:p>
        </w:tc>
      </w:tr>
      <w:tr w:rsidR="00AF6259" w:rsidRPr="00F95768" w14:paraId="7E4CAC75"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27EAFE74"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lastRenderedPageBreak/>
              <w:t>Impact on Existing Businesses</w:t>
            </w:r>
          </w:p>
        </w:tc>
        <w:tc>
          <w:tcPr>
            <w:tcW w:w="992" w:type="dxa"/>
            <w:vAlign w:val="center"/>
            <w:hideMark/>
          </w:tcPr>
          <w:p w14:paraId="7D3060C8"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4762" w:type="dxa"/>
            <w:vAlign w:val="center"/>
            <w:hideMark/>
          </w:tcPr>
          <w:p w14:paraId="43FDE526"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Concerns regarding competition with existing café and pub</w:t>
            </w:r>
          </w:p>
        </w:tc>
      </w:tr>
      <w:tr w:rsidR="00AF6259" w:rsidRPr="00F95768" w14:paraId="644AFCB3"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5E80F38C"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Noise / Light / Smell Pollution</w:t>
            </w:r>
          </w:p>
        </w:tc>
        <w:tc>
          <w:tcPr>
            <w:tcW w:w="992" w:type="dxa"/>
            <w:vAlign w:val="center"/>
            <w:hideMark/>
          </w:tcPr>
          <w:p w14:paraId="140C230B"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4762" w:type="dxa"/>
            <w:vAlign w:val="center"/>
            <w:hideMark/>
          </w:tcPr>
          <w:p w14:paraId="30A92707"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Risk of light spill, noise disturbance to nearby residents</w:t>
            </w:r>
          </w:p>
        </w:tc>
      </w:tr>
      <w:tr w:rsidR="00AF6259" w:rsidRPr="00F95768" w14:paraId="1D73BBDE"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2BCD51F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Proximity to Residential Properties</w:t>
            </w:r>
          </w:p>
        </w:tc>
        <w:tc>
          <w:tcPr>
            <w:tcW w:w="992" w:type="dxa"/>
            <w:vAlign w:val="center"/>
            <w:hideMark/>
          </w:tcPr>
          <w:p w14:paraId="7ECE62FE"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4762" w:type="dxa"/>
            <w:vAlign w:val="center"/>
            <w:hideMark/>
          </w:tcPr>
          <w:p w14:paraId="4EB8AA8D"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Commercial activity close to family homes</w:t>
            </w:r>
          </w:p>
        </w:tc>
      </w:tr>
      <w:tr w:rsidR="00AF6259" w:rsidRPr="00F95768" w14:paraId="7CD882B9"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BFAE28D"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Visual Impact (Tree Line)</w:t>
            </w:r>
          </w:p>
        </w:tc>
        <w:tc>
          <w:tcPr>
            <w:tcW w:w="992" w:type="dxa"/>
            <w:vAlign w:val="center"/>
            <w:hideMark/>
          </w:tcPr>
          <w:p w14:paraId="62D2302F"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4762" w:type="dxa"/>
            <w:vAlign w:val="center"/>
            <w:hideMark/>
          </w:tcPr>
          <w:p w14:paraId="348F69BF"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Proposed tree line blocking views of Morgans Hill</w:t>
            </w:r>
          </w:p>
        </w:tc>
      </w:tr>
      <w:tr w:rsidR="00AF6259" w:rsidRPr="00F95768" w14:paraId="76C87B84"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191BF83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Transport Survey Validity</w:t>
            </w:r>
          </w:p>
        </w:tc>
        <w:tc>
          <w:tcPr>
            <w:tcW w:w="992" w:type="dxa"/>
            <w:vAlign w:val="center"/>
            <w:hideMark/>
          </w:tcPr>
          <w:p w14:paraId="610DCC9D"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4762" w:type="dxa"/>
            <w:vAlign w:val="center"/>
            <w:hideMark/>
          </w:tcPr>
          <w:p w14:paraId="696F883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Survey timing questioned; tip closed and lorry traffic absent on survey days</w:t>
            </w:r>
          </w:p>
        </w:tc>
      </w:tr>
      <w:tr w:rsidR="00AF6259" w:rsidRPr="00F95768" w14:paraId="4DD88740" w14:textId="77777777" w:rsidTr="0064106D">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04376E3E"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Archaeology</w:t>
            </w:r>
          </w:p>
        </w:tc>
        <w:tc>
          <w:tcPr>
            <w:tcW w:w="992" w:type="dxa"/>
            <w:vAlign w:val="center"/>
            <w:hideMark/>
          </w:tcPr>
          <w:p w14:paraId="5D8CFA97"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4762" w:type="dxa"/>
            <w:vAlign w:val="center"/>
            <w:hideMark/>
          </w:tcPr>
          <w:p w14:paraId="04766A4C"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Geophysical survey required prior to commencement</w:t>
            </w:r>
          </w:p>
        </w:tc>
      </w:tr>
    </w:tbl>
    <w:p w14:paraId="06C99173" w14:textId="77777777" w:rsidR="00AF6259" w:rsidRDefault="00AF6259" w:rsidP="00AF6259">
      <w:pPr>
        <w:outlineLvl w:val="2"/>
        <w:rPr>
          <w:rFonts w:eastAsia="Times New Roman" w:cs="Arial"/>
          <w:sz w:val="22"/>
          <w:lang w:eastAsia="en-GB"/>
        </w:rPr>
      </w:pPr>
    </w:p>
    <w:p w14:paraId="7DDD8B2A" w14:textId="77777777" w:rsidR="00AF6259" w:rsidRDefault="00AF6259" w:rsidP="00AF6259">
      <w:pPr>
        <w:outlineLvl w:val="2"/>
        <w:rPr>
          <w:rFonts w:eastAsia="Times New Roman" w:cs="Arial"/>
          <w:b/>
          <w:bCs/>
          <w:color w:val="24292E"/>
          <w:sz w:val="22"/>
          <w:lang w:eastAsia="en-GB"/>
        </w:rPr>
      </w:pPr>
      <w:r w:rsidRPr="00A20B10">
        <w:rPr>
          <w:rFonts w:eastAsia="Times New Roman" w:cs="Arial"/>
          <w:b/>
          <w:bCs/>
          <w:color w:val="24292E"/>
          <w:sz w:val="22"/>
          <w:lang w:eastAsia="en-GB"/>
        </w:rPr>
        <w:t>Positive Features Identified</w:t>
      </w:r>
    </w:p>
    <w:p w14:paraId="3730D8C6" w14:textId="77777777" w:rsidR="00AF6259" w:rsidRPr="00A20B10" w:rsidRDefault="00AF6259" w:rsidP="00AF6259">
      <w:pPr>
        <w:outlineLvl w:val="2"/>
        <w:rPr>
          <w:rFonts w:eastAsia="Times New Roman" w:cs="Arial"/>
          <w:b/>
          <w:bCs/>
          <w:color w:val="24292E"/>
          <w:sz w:val="22"/>
          <w:lang w:eastAsia="en-GB"/>
        </w:rPr>
      </w:pPr>
    </w:p>
    <w:tbl>
      <w:tblPr>
        <w:tblStyle w:val="GridTable1Light-Accent1"/>
        <w:tblW w:w="0" w:type="auto"/>
        <w:tblLook w:val="04A0" w:firstRow="1" w:lastRow="0" w:firstColumn="1" w:lastColumn="0" w:noHBand="0" w:noVBand="1"/>
      </w:tblPr>
      <w:tblGrid>
        <w:gridCol w:w="3114"/>
        <w:gridCol w:w="922"/>
        <w:gridCol w:w="4974"/>
      </w:tblGrid>
      <w:tr w:rsidR="00AF6259" w:rsidRPr="00F95768" w14:paraId="5C5FC283"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noWrap/>
            <w:vAlign w:val="center"/>
            <w:hideMark/>
          </w:tcPr>
          <w:p w14:paraId="67F8E9D6" w14:textId="77777777" w:rsidR="00AF6259" w:rsidRPr="00AF6259" w:rsidRDefault="00AF6259" w:rsidP="00AF6259">
            <w:pPr>
              <w:pStyle w:val="ListNumber"/>
              <w:numPr>
                <w:ilvl w:val="0"/>
                <w:numId w:val="10"/>
              </w:numPr>
              <w:rPr>
                <w:rFonts w:eastAsia="Times New Roman" w:cs="Times New Roman"/>
                <w:color w:val="0C0C14"/>
                <w:spacing w:val="6"/>
                <w:sz w:val="22"/>
                <w:lang w:eastAsia="en-GB"/>
              </w:rPr>
            </w:pPr>
            <w:r w:rsidRPr="00AF6259">
              <w:rPr>
                <w:rFonts w:eastAsia="Times New Roman" w:cs="Times New Roman"/>
                <w:color w:val="0C0C14"/>
                <w:spacing w:val="6"/>
                <w:sz w:val="22"/>
                <w:lang w:eastAsia="en-GB"/>
              </w:rPr>
              <w:t>Feature</w:t>
            </w:r>
          </w:p>
        </w:tc>
        <w:tc>
          <w:tcPr>
            <w:tcW w:w="922" w:type="dxa"/>
            <w:noWrap/>
            <w:vAlign w:val="center"/>
            <w:hideMark/>
          </w:tcPr>
          <w:p w14:paraId="532FA2A3" w14:textId="77777777" w:rsidR="00AF6259" w:rsidRPr="00F95768" w:rsidRDefault="00AF6259" w:rsidP="0064106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Count</w:t>
            </w:r>
          </w:p>
        </w:tc>
        <w:tc>
          <w:tcPr>
            <w:tcW w:w="4974" w:type="dxa"/>
            <w:noWrap/>
            <w:vAlign w:val="center"/>
            <w:hideMark/>
          </w:tcPr>
          <w:p w14:paraId="657F36A2"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Respondent References</w:t>
            </w:r>
          </w:p>
        </w:tc>
      </w:tr>
      <w:tr w:rsidR="00AF6259" w:rsidRPr="00F95768" w14:paraId="28E31C06"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60B5F760"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Support for British farming / local produce</w:t>
            </w:r>
          </w:p>
        </w:tc>
        <w:tc>
          <w:tcPr>
            <w:tcW w:w="922" w:type="dxa"/>
            <w:vAlign w:val="center"/>
            <w:hideMark/>
          </w:tcPr>
          <w:p w14:paraId="3FE00B45"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20</w:t>
            </w:r>
          </w:p>
        </w:tc>
        <w:tc>
          <w:tcPr>
            <w:tcW w:w="4974" w:type="dxa"/>
            <w:vAlign w:val="center"/>
            <w:hideMark/>
          </w:tcPr>
          <w:p w14:paraId="111D3767"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R03, R04, R08, R12, R14, R22, R23, R24, R29, R32, R38, R40, R42, R43, R44, R45, R46, R48, R53</w:t>
            </w:r>
          </w:p>
        </w:tc>
      </w:tr>
      <w:tr w:rsidR="00AF6259" w:rsidRPr="00F95768" w14:paraId="6431D16E"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BB6CF19"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Employment / job opportunities</w:t>
            </w:r>
          </w:p>
        </w:tc>
        <w:tc>
          <w:tcPr>
            <w:tcW w:w="922" w:type="dxa"/>
            <w:vAlign w:val="center"/>
            <w:hideMark/>
          </w:tcPr>
          <w:p w14:paraId="1F33BF69"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14</w:t>
            </w:r>
          </w:p>
        </w:tc>
        <w:tc>
          <w:tcPr>
            <w:tcW w:w="4974" w:type="dxa"/>
            <w:vAlign w:val="center"/>
            <w:hideMark/>
          </w:tcPr>
          <w:p w14:paraId="1F42E402"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R03, R04, R09, R14, R16, R21, R24, R30, R32, R42, R43, R45, R46</w:t>
            </w:r>
          </w:p>
        </w:tc>
      </w:tr>
      <w:tr w:rsidR="00AF6259" w:rsidRPr="00F95768" w14:paraId="04A45881"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663C455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Sympathetic design / blending with landscape</w:t>
            </w:r>
          </w:p>
        </w:tc>
        <w:tc>
          <w:tcPr>
            <w:tcW w:w="922" w:type="dxa"/>
            <w:vAlign w:val="center"/>
            <w:hideMark/>
          </w:tcPr>
          <w:p w14:paraId="313D3FC0"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10</w:t>
            </w:r>
          </w:p>
        </w:tc>
        <w:tc>
          <w:tcPr>
            <w:tcW w:w="4974" w:type="dxa"/>
            <w:vAlign w:val="center"/>
            <w:hideMark/>
          </w:tcPr>
          <w:p w14:paraId="15C3691E"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R11, R13, R17, R18, R20, R21, R22, R23, R24</w:t>
            </w:r>
          </w:p>
        </w:tc>
      </w:tr>
      <w:tr w:rsidR="00AF6259" w:rsidRPr="00F95768" w14:paraId="0913E29D"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2FE3ED9C"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Community social hub / meeting place</w:t>
            </w:r>
          </w:p>
        </w:tc>
        <w:tc>
          <w:tcPr>
            <w:tcW w:w="922" w:type="dxa"/>
            <w:vAlign w:val="center"/>
            <w:hideMark/>
          </w:tcPr>
          <w:p w14:paraId="561F3B9C"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9</w:t>
            </w:r>
          </w:p>
        </w:tc>
        <w:tc>
          <w:tcPr>
            <w:tcW w:w="4974" w:type="dxa"/>
            <w:vAlign w:val="center"/>
            <w:hideMark/>
          </w:tcPr>
          <w:p w14:paraId="073EA38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R08, R09, R13, R16, R22, R24, R26, R46</w:t>
            </w:r>
          </w:p>
        </w:tc>
      </w:tr>
      <w:tr w:rsidR="00AF6259" w:rsidRPr="00F95768" w14:paraId="70F02EC4"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AE9447A"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Reduced travel / local convenience</w:t>
            </w:r>
          </w:p>
        </w:tc>
        <w:tc>
          <w:tcPr>
            <w:tcW w:w="922" w:type="dxa"/>
            <w:vAlign w:val="center"/>
            <w:hideMark/>
          </w:tcPr>
          <w:p w14:paraId="41F4D2F0"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8</w:t>
            </w:r>
          </w:p>
        </w:tc>
        <w:tc>
          <w:tcPr>
            <w:tcW w:w="4974" w:type="dxa"/>
            <w:vAlign w:val="center"/>
            <w:hideMark/>
          </w:tcPr>
          <w:p w14:paraId="684D1A2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R12, R24, R38, R41, R43, R44, R51</w:t>
            </w:r>
          </w:p>
        </w:tc>
      </w:tr>
      <w:tr w:rsidR="00AF6259" w:rsidRPr="00F95768" w14:paraId="3BD46580"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493EF9AF"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Sustainability / environmental / wildlife features</w:t>
            </w:r>
          </w:p>
        </w:tc>
        <w:tc>
          <w:tcPr>
            <w:tcW w:w="922" w:type="dxa"/>
            <w:vAlign w:val="center"/>
            <w:hideMark/>
          </w:tcPr>
          <w:p w14:paraId="0FFD7862"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6</w:t>
            </w:r>
          </w:p>
        </w:tc>
        <w:tc>
          <w:tcPr>
            <w:tcW w:w="4974" w:type="dxa"/>
            <w:vAlign w:val="center"/>
            <w:hideMark/>
          </w:tcPr>
          <w:p w14:paraId="09FFF7DC"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R05, R19, R21, R24, R27</w:t>
            </w:r>
          </w:p>
        </w:tc>
      </w:tr>
      <w:tr w:rsidR="00AF6259" w:rsidRPr="00F95768" w14:paraId="2E24D98B"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E46AA47"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Strategic location / A4 access</w:t>
            </w:r>
          </w:p>
        </w:tc>
        <w:tc>
          <w:tcPr>
            <w:tcW w:w="922" w:type="dxa"/>
            <w:vAlign w:val="center"/>
            <w:hideMark/>
          </w:tcPr>
          <w:p w14:paraId="57FF4A45"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4</w:t>
            </w:r>
          </w:p>
        </w:tc>
        <w:tc>
          <w:tcPr>
            <w:tcW w:w="4974" w:type="dxa"/>
            <w:vAlign w:val="center"/>
            <w:hideMark/>
          </w:tcPr>
          <w:p w14:paraId="77D12928"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R02, R14, R22, R24</w:t>
            </w:r>
          </w:p>
        </w:tc>
      </w:tr>
      <w:tr w:rsidR="00AF6259" w:rsidRPr="00F95768" w14:paraId="176CC534" w14:textId="77777777" w:rsidTr="0064106D">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56BA86A2"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Preferred over housing development</w:t>
            </w:r>
          </w:p>
        </w:tc>
        <w:tc>
          <w:tcPr>
            <w:tcW w:w="922" w:type="dxa"/>
            <w:vAlign w:val="center"/>
            <w:hideMark/>
          </w:tcPr>
          <w:p w14:paraId="4CCBC639"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4974" w:type="dxa"/>
            <w:vAlign w:val="center"/>
            <w:hideMark/>
          </w:tcPr>
          <w:p w14:paraId="40805C96"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R12, R21</w:t>
            </w:r>
          </w:p>
        </w:tc>
      </w:tr>
    </w:tbl>
    <w:p w14:paraId="42D62625" w14:textId="77777777" w:rsidR="00AF6259" w:rsidRDefault="00AF6259" w:rsidP="00AF6259">
      <w:pPr>
        <w:outlineLvl w:val="2"/>
        <w:rPr>
          <w:rFonts w:eastAsia="Times New Roman" w:cs="Arial"/>
          <w:sz w:val="22"/>
          <w:lang w:eastAsia="en-GB"/>
        </w:rPr>
      </w:pPr>
    </w:p>
    <w:p w14:paraId="2C823382" w14:textId="77777777" w:rsidR="00AF6259" w:rsidRDefault="00AF6259" w:rsidP="00AF6259">
      <w:pPr>
        <w:outlineLvl w:val="2"/>
        <w:rPr>
          <w:rFonts w:eastAsia="Times New Roman" w:cs="Arial"/>
          <w:b/>
          <w:bCs/>
          <w:color w:val="24292E"/>
          <w:sz w:val="22"/>
          <w:lang w:eastAsia="en-GB"/>
        </w:rPr>
      </w:pPr>
      <w:r w:rsidRPr="00A20B10">
        <w:rPr>
          <w:rFonts w:eastAsia="Times New Roman" w:cs="Arial"/>
          <w:b/>
          <w:bCs/>
          <w:color w:val="24292E"/>
          <w:sz w:val="22"/>
          <w:lang w:eastAsia="en-GB"/>
        </w:rPr>
        <w:t>Negative Features &amp; Concerns</w:t>
      </w:r>
    </w:p>
    <w:p w14:paraId="19FEC271" w14:textId="77777777" w:rsidR="00AF6259" w:rsidRPr="00A20B10" w:rsidRDefault="00AF6259" w:rsidP="00AF6259">
      <w:pPr>
        <w:outlineLvl w:val="2"/>
        <w:rPr>
          <w:rFonts w:eastAsia="Times New Roman" w:cs="Arial"/>
          <w:b/>
          <w:bCs/>
          <w:color w:val="24292E"/>
          <w:sz w:val="22"/>
          <w:lang w:eastAsia="en-GB"/>
        </w:rPr>
      </w:pPr>
    </w:p>
    <w:tbl>
      <w:tblPr>
        <w:tblStyle w:val="GridTable1Light-Accent1"/>
        <w:tblW w:w="0" w:type="auto"/>
        <w:tblLook w:val="04A0" w:firstRow="1" w:lastRow="0" w:firstColumn="1" w:lastColumn="0" w:noHBand="0" w:noVBand="1"/>
      </w:tblPr>
      <w:tblGrid>
        <w:gridCol w:w="5038"/>
        <w:gridCol w:w="834"/>
        <w:gridCol w:w="3138"/>
      </w:tblGrid>
      <w:tr w:rsidR="00AF6259" w:rsidRPr="00F95768" w14:paraId="2BB11762"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763613" w14:textId="77777777" w:rsidR="00AF6259" w:rsidRPr="00F95768" w:rsidRDefault="00AF6259" w:rsidP="0064106D">
            <w:pPr>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Feature / Concern</w:t>
            </w:r>
          </w:p>
        </w:tc>
        <w:tc>
          <w:tcPr>
            <w:tcW w:w="0" w:type="auto"/>
            <w:noWrap/>
            <w:vAlign w:val="center"/>
            <w:hideMark/>
          </w:tcPr>
          <w:p w14:paraId="1B056C9E" w14:textId="77777777" w:rsidR="00AF6259" w:rsidRPr="00F95768" w:rsidRDefault="00AF6259" w:rsidP="0064106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Count</w:t>
            </w:r>
          </w:p>
        </w:tc>
        <w:tc>
          <w:tcPr>
            <w:tcW w:w="3138" w:type="dxa"/>
            <w:noWrap/>
            <w:vAlign w:val="center"/>
            <w:hideMark/>
          </w:tcPr>
          <w:p w14:paraId="3A24AA96"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Respondent References</w:t>
            </w:r>
          </w:p>
        </w:tc>
      </w:tr>
      <w:tr w:rsidR="00AF6259" w:rsidRPr="00F95768" w14:paraId="55CF8442"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DACABE"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Requirement for geophysical survey (Archaeology)</w:t>
            </w:r>
          </w:p>
        </w:tc>
        <w:tc>
          <w:tcPr>
            <w:tcW w:w="0" w:type="auto"/>
            <w:vAlign w:val="center"/>
            <w:hideMark/>
          </w:tcPr>
          <w:p w14:paraId="3BA0A115"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3138" w:type="dxa"/>
            <w:vAlign w:val="center"/>
            <w:hideMark/>
          </w:tcPr>
          <w:p w14:paraId="1C50761A"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R01</w:t>
            </w:r>
          </w:p>
        </w:tc>
      </w:tr>
      <w:tr w:rsidR="00AF6259" w:rsidRPr="00F95768" w14:paraId="36E3190D"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11B664"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lastRenderedPageBreak/>
              <w:t>Pedestrian safety / lack of safe access paths</w:t>
            </w:r>
          </w:p>
        </w:tc>
        <w:tc>
          <w:tcPr>
            <w:tcW w:w="0" w:type="auto"/>
            <w:vAlign w:val="center"/>
            <w:hideMark/>
          </w:tcPr>
          <w:p w14:paraId="638EC8B5"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4</w:t>
            </w:r>
          </w:p>
        </w:tc>
        <w:tc>
          <w:tcPr>
            <w:tcW w:w="3138" w:type="dxa"/>
            <w:vAlign w:val="center"/>
            <w:hideMark/>
          </w:tcPr>
          <w:p w14:paraId="77B6B24D"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R07, R15, R19, R25</w:t>
            </w:r>
          </w:p>
        </w:tc>
      </w:tr>
      <w:tr w:rsidR="00AF6259" w:rsidRPr="00F95768" w14:paraId="51CBC710"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44E2E9"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Traffic speed (request for limit reduction)</w:t>
            </w:r>
          </w:p>
        </w:tc>
        <w:tc>
          <w:tcPr>
            <w:tcW w:w="0" w:type="auto"/>
            <w:vAlign w:val="center"/>
            <w:hideMark/>
          </w:tcPr>
          <w:p w14:paraId="0AC1E0A9"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3</w:t>
            </w:r>
          </w:p>
        </w:tc>
        <w:tc>
          <w:tcPr>
            <w:tcW w:w="3138" w:type="dxa"/>
            <w:vAlign w:val="center"/>
            <w:hideMark/>
          </w:tcPr>
          <w:p w14:paraId="4AD468F8"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R18, R19, R25</w:t>
            </w:r>
          </w:p>
        </w:tc>
      </w:tr>
      <w:tr w:rsidR="00AF6259" w:rsidRPr="00F95768" w14:paraId="154C46D6"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A089E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Traffic / A4 junction safety</w:t>
            </w:r>
          </w:p>
        </w:tc>
        <w:tc>
          <w:tcPr>
            <w:tcW w:w="0" w:type="auto"/>
            <w:vAlign w:val="center"/>
            <w:hideMark/>
          </w:tcPr>
          <w:p w14:paraId="56D73BA2"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3138" w:type="dxa"/>
            <w:vAlign w:val="center"/>
            <w:hideMark/>
          </w:tcPr>
          <w:p w14:paraId="1A179217"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R25, R27</w:t>
            </w:r>
          </w:p>
        </w:tc>
      </w:tr>
      <w:tr w:rsidR="00AF6259" w:rsidRPr="00F95768" w14:paraId="7AC854DF"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464859"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Car park scale / visual impact on AONB fringe</w:t>
            </w:r>
          </w:p>
        </w:tc>
        <w:tc>
          <w:tcPr>
            <w:tcW w:w="0" w:type="auto"/>
            <w:vAlign w:val="center"/>
            <w:hideMark/>
          </w:tcPr>
          <w:p w14:paraId="6552588B"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3138" w:type="dxa"/>
            <w:vAlign w:val="center"/>
            <w:hideMark/>
          </w:tcPr>
          <w:p w14:paraId="231BC103"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R27, R52</w:t>
            </w:r>
          </w:p>
        </w:tc>
      </w:tr>
      <w:tr w:rsidR="00AF6259" w:rsidRPr="00F95768" w14:paraId="2D0E6F14"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6CE57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Impact on existing businesses (café / pub)</w:t>
            </w:r>
          </w:p>
        </w:tc>
        <w:tc>
          <w:tcPr>
            <w:tcW w:w="0" w:type="auto"/>
            <w:vAlign w:val="center"/>
            <w:hideMark/>
          </w:tcPr>
          <w:p w14:paraId="56AC338A"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2</w:t>
            </w:r>
          </w:p>
        </w:tc>
        <w:tc>
          <w:tcPr>
            <w:tcW w:w="3138" w:type="dxa"/>
            <w:vAlign w:val="center"/>
            <w:hideMark/>
          </w:tcPr>
          <w:p w14:paraId="27421438"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R27, R52</w:t>
            </w:r>
          </w:p>
        </w:tc>
      </w:tr>
      <w:tr w:rsidR="00AF6259" w:rsidRPr="00F95768" w14:paraId="6AB6F8F9"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C817BA"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Noise, light, and smell pollution risk</w:t>
            </w:r>
          </w:p>
        </w:tc>
        <w:tc>
          <w:tcPr>
            <w:tcW w:w="0" w:type="auto"/>
            <w:vAlign w:val="center"/>
            <w:hideMark/>
          </w:tcPr>
          <w:p w14:paraId="2042FCA9"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3138" w:type="dxa"/>
            <w:vAlign w:val="center"/>
            <w:hideMark/>
          </w:tcPr>
          <w:p w14:paraId="44E39AD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R52</w:t>
            </w:r>
          </w:p>
        </w:tc>
      </w:tr>
      <w:tr w:rsidR="00AF6259" w:rsidRPr="00F95768" w14:paraId="30D0658A"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7A5961"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Proximity to residential properties</w:t>
            </w:r>
          </w:p>
        </w:tc>
        <w:tc>
          <w:tcPr>
            <w:tcW w:w="0" w:type="auto"/>
            <w:vAlign w:val="center"/>
            <w:hideMark/>
          </w:tcPr>
          <w:p w14:paraId="58C38773"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3138" w:type="dxa"/>
            <w:vAlign w:val="center"/>
            <w:hideMark/>
          </w:tcPr>
          <w:p w14:paraId="60301CDE"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R52</w:t>
            </w:r>
          </w:p>
        </w:tc>
      </w:tr>
      <w:tr w:rsidR="00AF6259" w:rsidRPr="00F95768" w14:paraId="67491E07"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D4206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Visual impact — tree line blocking views</w:t>
            </w:r>
          </w:p>
        </w:tc>
        <w:tc>
          <w:tcPr>
            <w:tcW w:w="0" w:type="auto"/>
            <w:vAlign w:val="center"/>
            <w:hideMark/>
          </w:tcPr>
          <w:p w14:paraId="75EBA48B"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3138" w:type="dxa"/>
            <w:vAlign w:val="center"/>
            <w:hideMark/>
          </w:tcPr>
          <w:p w14:paraId="6C14713D"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R06</w:t>
            </w:r>
          </w:p>
        </w:tc>
      </w:tr>
      <w:tr w:rsidR="00AF6259" w:rsidRPr="00F95768" w14:paraId="4D4549B3"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11EFE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Validity of transport survey timing</w:t>
            </w:r>
          </w:p>
        </w:tc>
        <w:tc>
          <w:tcPr>
            <w:tcW w:w="0" w:type="auto"/>
            <w:vAlign w:val="center"/>
            <w:hideMark/>
          </w:tcPr>
          <w:p w14:paraId="7A2D1FF8" w14:textId="77777777" w:rsidR="00AF6259" w:rsidRPr="00F95768" w:rsidRDefault="00AF6259" w:rsidP="0064106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1</w:t>
            </w:r>
          </w:p>
        </w:tc>
        <w:tc>
          <w:tcPr>
            <w:tcW w:w="3138" w:type="dxa"/>
            <w:vAlign w:val="center"/>
            <w:hideMark/>
          </w:tcPr>
          <w:p w14:paraId="30306FFF"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R25</w:t>
            </w:r>
          </w:p>
        </w:tc>
      </w:tr>
    </w:tbl>
    <w:p w14:paraId="76293D7A"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i/>
          <w:iCs/>
          <w:color w:val="24292E"/>
          <w:sz w:val="22"/>
          <w:lang w:eastAsia="en-GB"/>
        </w:rPr>
        <w:t>Note: R17 referenced noise, light, and smell pollution as positively addressed by the applicant — counted under positive design features, NOT here as a concern.</w:t>
      </w:r>
    </w:p>
    <w:p w14:paraId="27286F47" w14:textId="77777777" w:rsidR="00AF6259" w:rsidRDefault="00AF6259" w:rsidP="00AF6259">
      <w:pPr>
        <w:rPr>
          <w:rFonts w:eastAsia="Times New Roman" w:cs="Arial"/>
          <w:b/>
          <w:bCs/>
          <w:color w:val="24292E"/>
          <w:sz w:val="22"/>
          <w:lang w:eastAsia="en-GB"/>
        </w:rPr>
      </w:pPr>
      <w:r>
        <w:rPr>
          <w:rFonts w:eastAsia="Times New Roman" w:cs="Arial"/>
          <w:b/>
          <w:bCs/>
          <w:color w:val="24292E"/>
          <w:sz w:val="22"/>
          <w:lang w:eastAsia="en-GB"/>
        </w:rPr>
        <w:br w:type="page"/>
      </w:r>
    </w:p>
    <w:p w14:paraId="5541B74E" w14:textId="77777777" w:rsidR="00AF6259" w:rsidRPr="00A20B10" w:rsidRDefault="00AF6259" w:rsidP="00AF6259">
      <w:pPr>
        <w:outlineLvl w:val="2"/>
        <w:rPr>
          <w:rFonts w:eastAsia="Times New Roman" w:cs="Arial"/>
          <w:b/>
          <w:bCs/>
          <w:color w:val="24292E"/>
          <w:sz w:val="22"/>
          <w:lang w:eastAsia="en-GB"/>
        </w:rPr>
      </w:pPr>
      <w:r w:rsidRPr="00A20B10">
        <w:rPr>
          <w:rFonts w:eastAsia="Times New Roman" w:cs="Arial"/>
          <w:b/>
          <w:bCs/>
          <w:color w:val="24292E"/>
          <w:sz w:val="22"/>
          <w:lang w:eastAsia="en-GB"/>
        </w:rPr>
        <w:lastRenderedPageBreak/>
        <w:t>Key Quotes</w:t>
      </w:r>
    </w:p>
    <w:p w14:paraId="5522143C"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color w:val="24292E"/>
          <w:sz w:val="22"/>
          <w:lang w:eastAsia="en-GB"/>
        </w:rPr>
        <w:t>On Planning &amp; Infrastructure:</w:t>
      </w:r>
    </w:p>
    <w:tbl>
      <w:tblPr>
        <w:tblStyle w:val="GridTable1Light-Accent1"/>
        <w:tblW w:w="0" w:type="auto"/>
        <w:tblLook w:val="04A0" w:firstRow="1" w:lastRow="0" w:firstColumn="1" w:lastColumn="0" w:noHBand="0" w:noVBand="1"/>
      </w:tblPr>
      <w:tblGrid>
        <w:gridCol w:w="345"/>
        <w:gridCol w:w="8045"/>
        <w:gridCol w:w="620"/>
      </w:tblGrid>
      <w:tr w:rsidR="00AF6259" w:rsidRPr="00F95768" w14:paraId="7998BC9A"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76F2707" w14:textId="77777777" w:rsidR="00AF6259" w:rsidRPr="00F95768" w:rsidRDefault="00AF6259" w:rsidP="0064106D">
            <w:pPr>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w:t>
            </w:r>
          </w:p>
        </w:tc>
        <w:tc>
          <w:tcPr>
            <w:tcW w:w="0" w:type="auto"/>
            <w:noWrap/>
            <w:vAlign w:val="center"/>
            <w:hideMark/>
          </w:tcPr>
          <w:p w14:paraId="1E38FA3B"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Quote</w:t>
            </w:r>
          </w:p>
        </w:tc>
        <w:tc>
          <w:tcPr>
            <w:tcW w:w="0" w:type="auto"/>
            <w:noWrap/>
            <w:vAlign w:val="center"/>
            <w:hideMark/>
          </w:tcPr>
          <w:p w14:paraId="0AE4763D"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Ref</w:t>
            </w:r>
          </w:p>
        </w:tc>
      </w:tr>
      <w:tr w:rsidR="00AF6259" w:rsidRPr="00F95768" w14:paraId="7BACB4D9"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8853DB"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1</w:t>
            </w:r>
          </w:p>
        </w:tc>
        <w:tc>
          <w:tcPr>
            <w:tcW w:w="0" w:type="auto"/>
            <w:vAlign w:val="center"/>
            <w:hideMark/>
          </w:tcPr>
          <w:p w14:paraId="5005F8C3"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"This geophysical survey should be undertaken on the entirety of the land under the applicant's control to allow for more intelligible results and for possible re-design should significant archaeological remains be identified."</w:t>
            </w:r>
          </w:p>
        </w:tc>
        <w:tc>
          <w:tcPr>
            <w:tcW w:w="0" w:type="auto"/>
            <w:vAlign w:val="center"/>
            <w:hideMark/>
          </w:tcPr>
          <w:p w14:paraId="10252297"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R01</w:t>
            </w:r>
          </w:p>
        </w:tc>
      </w:tr>
      <w:tr w:rsidR="00AF6259" w:rsidRPr="00F95768" w14:paraId="2E827016"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A2D94D"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2</w:t>
            </w:r>
          </w:p>
        </w:tc>
        <w:tc>
          <w:tcPr>
            <w:tcW w:w="0" w:type="auto"/>
            <w:vAlign w:val="center"/>
            <w:hideMark/>
          </w:tcPr>
          <w:p w14:paraId="21772B2D"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"The footpath [via the A4] is often overgrown and runs adjacent to the NSL A road for ¾ of a mile. It also requires navigating and crossing the junction with the Lower Compton road, compounding the risk to those approaching on foot. If the existing public right of way from Marsh Lane to the A4 can be used as an access point for a permissive path to the new development, it would enable local residents in Cherhill to access and return safely."</w:t>
            </w:r>
          </w:p>
        </w:tc>
        <w:tc>
          <w:tcPr>
            <w:tcW w:w="0" w:type="auto"/>
            <w:vAlign w:val="center"/>
            <w:hideMark/>
          </w:tcPr>
          <w:p w14:paraId="73C02CC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R07</w:t>
            </w:r>
          </w:p>
        </w:tc>
      </w:tr>
      <w:tr w:rsidR="00AF6259" w:rsidRPr="00F95768" w14:paraId="153C48A7"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12D2D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3</w:t>
            </w:r>
          </w:p>
        </w:tc>
        <w:tc>
          <w:tcPr>
            <w:tcW w:w="0" w:type="auto"/>
            <w:vAlign w:val="center"/>
            <w:hideMark/>
          </w:tcPr>
          <w:p w14:paraId="362F233A"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"Please include a pedestrian path from the Lower Compton estate down to the entrance to the proposed Farm Shop. This would prevent Lower Compton residents needing to cross the road onto the existing path and then to cross again to access the development on foot."</w:t>
            </w:r>
          </w:p>
        </w:tc>
        <w:tc>
          <w:tcPr>
            <w:tcW w:w="0" w:type="auto"/>
            <w:vAlign w:val="center"/>
            <w:hideMark/>
          </w:tcPr>
          <w:p w14:paraId="4967267C"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R15</w:t>
            </w:r>
          </w:p>
        </w:tc>
      </w:tr>
      <w:tr w:rsidR="00AF6259" w:rsidRPr="00F95768" w14:paraId="19856E08"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BBEDD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4</w:t>
            </w:r>
          </w:p>
        </w:tc>
        <w:tc>
          <w:tcPr>
            <w:tcW w:w="0" w:type="auto"/>
            <w:vAlign w:val="center"/>
            <w:hideMark/>
          </w:tcPr>
          <w:p w14:paraId="789FE2EF"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"The transport survey was carried out on a Thursday and Saturday — interesting to note that the Lower Compton tip… was not open on Thursday and that on a Saturday Hills lorries would not be trundling up the road at speed. So I would suggest that the transport survey is incorrect and needs to be completed when the tip is open and on a Monday to Wednesday to get a true picture."</w:t>
            </w:r>
          </w:p>
        </w:tc>
        <w:tc>
          <w:tcPr>
            <w:tcW w:w="0" w:type="auto"/>
            <w:vAlign w:val="center"/>
            <w:hideMark/>
          </w:tcPr>
          <w:p w14:paraId="28D1F3DF"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R25</w:t>
            </w:r>
          </w:p>
        </w:tc>
      </w:tr>
      <w:tr w:rsidR="00AF6259" w:rsidRPr="00F95768" w14:paraId="3BD15CD1"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DAEF57"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5</w:t>
            </w:r>
          </w:p>
        </w:tc>
        <w:tc>
          <w:tcPr>
            <w:tcW w:w="0" w:type="auto"/>
            <w:vAlign w:val="center"/>
            <w:hideMark/>
          </w:tcPr>
          <w:p w14:paraId="201CAC8E"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"An extensive area of tarmac/hardstanding on the fringe of an AONB will have a significant visual impact and will severely affect the outlook of the properties on the neighbouring Atcherley Road."</w:t>
            </w:r>
          </w:p>
        </w:tc>
        <w:tc>
          <w:tcPr>
            <w:tcW w:w="0" w:type="auto"/>
            <w:vAlign w:val="center"/>
            <w:hideMark/>
          </w:tcPr>
          <w:p w14:paraId="07149629"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R52</w:t>
            </w:r>
          </w:p>
        </w:tc>
      </w:tr>
      <w:tr w:rsidR="00AF6259" w:rsidRPr="00F95768" w14:paraId="4D6464FD"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E2810F"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6</w:t>
            </w:r>
          </w:p>
        </w:tc>
        <w:tc>
          <w:tcPr>
            <w:tcW w:w="0" w:type="auto"/>
            <w:vAlign w:val="center"/>
            <w:hideMark/>
          </w:tcPr>
          <w:p w14:paraId="317E131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"A nearby independent café (The Dandy Highwayman) has recently invested heavily in extending its premises… any food, drink or café element within the farm shop must be restricted via conditions to remain strictly ancillary (Ancillary A1/E use) to the retail of farm produce."</w:t>
            </w:r>
          </w:p>
        </w:tc>
        <w:tc>
          <w:tcPr>
            <w:tcW w:w="0" w:type="auto"/>
            <w:vAlign w:val="center"/>
            <w:hideMark/>
          </w:tcPr>
          <w:p w14:paraId="4CAE14E5"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R52</w:t>
            </w:r>
          </w:p>
        </w:tc>
      </w:tr>
    </w:tbl>
    <w:p w14:paraId="1F8328E9"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color w:val="24292E"/>
          <w:sz w:val="22"/>
          <w:lang w:eastAsia="en-GB"/>
        </w:rPr>
        <w:t>On Community Benefit:</w:t>
      </w:r>
    </w:p>
    <w:tbl>
      <w:tblPr>
        <w:tblStyle w:val="GridTable1Light-Accent1"/>
        <w:tblW w:w="0" w:type="auto"/>
        <w:tblLook w:val="04A0" w:firstRow="1" w:lastRow="0" w:firstColumn="1" w:lastColumn="0" w:noHBand="0" w:noVBand="1"/>
      </w:tblPr>
      <w:tblGrid>
        <w:gridCol w:w="461"/>
        <w:gridCol w:w="7929"/>
        <w:gridCol w:w="620"/>
      </w:tblGrid>
      <w:tr w:rsidR="00AF6259" w:rsidRPr="00F95768" w14:paraId="5EC99A05"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C534CF" w14:textId="77777777" w:rsidR="00AF6259" w:rsidRPr="00F95768" w:rsidRDefault="00AF6259" w:rsidP="0064106D">
            <w:pPr>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w:t>
            </w:r>
          </w:p>
        </w:tc>
        <w:tc>
          <w:tcPr>
            <w:tcW w:w="0" w:type="auto"/>
            <w:noWrap/>
            <w:vAlign w:val="center"/>
            <w:hideMark/>
          </w:tcPr>
          <w:p w14:paraId="7987AB95"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Quote</w:t>
            </w:r>
          </w:p>
        </w:tc>
        <w:tc>
          <w:tcPr>
            <w:tcW w:w="0" w:type="auto"/>
            <w:noWrap/>
            <w:vAlign w:val="center"/>
            <w:hideMark/>
          </w:tcPr>
          <w:p w14:paraId="64CE70C8"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Ref</w:t>
            </w:r>
          </w:p>
        </w:tc>
      </w:tr>
      <w:tr w:rsidR="00AF6259" w:rsidRPr="00F95768" w14:paraId="2F03FB1E"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26AB32"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7</w:t>
            </w:r>
          </w:p>
        </w:tc>
        <w:tc>
          <w:tcPr>
            <w:tcW w:w="0" w:type="auto"/>
            <w:vAlign w:val="center"/>
            <w:hideMark/>
          </w:tcPr>
          <w:p w14:paraId="2182A742"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"In my view a much more appealing addition to this AONB than more housing."</w:t>
            </w:r>
          </w:p>
        </w:tc>
        <w:tc>
          <w:tcPr>
            <w:tcW w:w="0" w:type="auto"/>
            <w:vAlign w:val="center"/>
            <w:hideMark/>
          </w:tcPr>
          <w:p w14:paraId="2C575FD3"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R12</w:t>
            </w:r>
          </w:p>
        </w:tc>
      </w:tr>
      <w:tr w:rsidR="00AF6259" w:rsidRPr="00F95768" w14:paraId="7A601DB7"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C58318"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8</w:t>
            </w:r>
          </w:p>
        </w:tc>
        <w:tc>
          <w:tcPr>
            <w:tcW w:w="0" w:type="auto"/>
            <w:vAlign w:val="center"/>
            <w:hideMark/>
          </w:tcPr>
          <w:p w14:paraId="2242F75A"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"The consideration for minimising light pollution, noise pollution, smell pollution and preserving the green outlook from our road has put my mind at ease."</w:t>
            </w:r>
          </w:p>
        </w:tc>
        <w:tc>
          <w:tcPr>
            <w:tcW w:w="0" w:type="auto"/>
            <w:vAlign w:val="center"/>
            <w:hideMark/>
          </w:tcPr>
          <w:p w14:paraId="7E18040B"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R17</w:t>
            </w:r>
          </w:p>
        </w:tc>
      </w:tr>
      <w:tr w:rsidR="00AF6259" w:rsidRPr="00F95768" w14:paraId="01022B92"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61021F"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9</w:t>
            </w:r>
          </w:p>
        </w:tc>
        <w:tc>
          <w:tcPr>
            <w:tcW w:w="0" w:type="auto"/>
            <w:vAlign w:val="center"/>
            <w:hideMark/>
          </w:tcPr>
          <w:p w14:paraId="289B36DB"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"As a local beef and lamb farmer it would be brilliant to have a local outlet like this for our produce, as it would allow reduced food miles and local traceability, as well as hopefully helping to improve our margins."</w:t>
            </w:r>
          </w:p>
        </w:tc>
        <w:tc>
          <w:tcPr>
            <w:tcW w:w="0" w:type="auto"/>
            <w:vAlign w:val="center"/>
            <w:hideMark/>
          </w:tcPr>
          <w:p w14:paraId="65942FFF"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R29</w:t>
            </w:r>
          </w:p>
        </w:tc>
      </w:tr>
      <w:tr w:rsidR="00AF6259" w:rsidRPr="00F95768" w14:paraId="392C035D"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4E4306"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10</w:t>
            </w:r>
          </w:p>
        </w:tc>
        <w:tc>
          <w:tcPr>
            <w:tcW w:w="0" w:type="auto"/>
            <w:vAlign w:val="center"/>
            <w:hideMark/>
          </w:tcPr>
          <w:p w14:paraId="146E25DC"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"At a time when farming businesses face increasing economic pressures, opportunities to sell locally and retain more of the value of their produce are incredibly important."</w:t>
            </w:r>
          </w:p>
        </w:tc>
        <w:tc>
          <w:tcPr>
            <w:tcW w:w="0" w:type="auto"/>
            <w:vAlign w:val="center"/>
            <w:hideMark/>
          </w:tcPr>
          <w:p w14:paraId="60AF1E58"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R43</w:t>
            </w:r>
          </w:p>
        </w:tc>
      </w:tr>
    </w:tbl>
    <w:p w14:paraId="6889E81D" w14:textId="77777777" w:rsidR="00AF6259" w:rsidRPr="00F95768" w:rsidRDefault="00AF6259" w:rsidP="00AF6259">
      <w:pPr>
        <w:spacing w:before="100" w:beforeAutospacing="1" w:after="100" w:afterAutospacing="1"/>
        <w:rPr>
          <w:rFonts w:eastAsia="Times New Roman" w:cs="Arial"/>
          <w:color w:val="24292E"/>
          <w:sz w:val="22"/>
          <w:lang w:eastAsia="en-GB"/>
        </w:rPr>
      </w:pPr>
      <w:r w:rsidRPr="00F95768">
        <w:rPr>
          <w:rFonts w:eastAsia="Times New Roman" w:cs="Arial"/>
          <w:color w:val="24292E"/>
          <w:sz w:val="22"/>
          <w:lang w:eastAsia="en-GB"/>
        </w:rPr>
        <w:lastRenderedPageBreak/>
        <w:t>On Conditions Sought:</w:t>
      </w:r>
    </w:p>
    <w:tbl>
      <w:tblPr>
        <w:tblStyle w:val="GridTable1Light-Accent1"/>
        <w:tblW w:w="0" w:type="auto"/>
        <w:tblLook w:val="04A0" w:firstRow="1" w:lastRow="0" w:firstColumn="1" w:lastColumn="0" w:noHBand="0" w:noVBand="1"/>
      </w:tblPr>
      <w:tblGrid>
        <w:gridCol w:w="461"/>
        <w:gridCol w:w="7929"/>
        <w:gridCol w:w="620"/>
      </w:tblGrid>
      <w:tr w:rsidR="00AF6259" w:rsidRPr="00F95768" w14:paraId="6D193238" w14:textId="77777777" w:rsidTr="00641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9A9EDE" w14:textId="77777777" w:rsidR="00AF6259" w:rsidRPr="00F95768" w:rsidRDefault="00AF6259" w:rsidP="0064106D">
            <w:pPr>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w:t>
            </w:r>
          </w:p>
        </w:tc>
        <w:tc>
          <w:tcPr>
            <w:tcW w:w="0" w:type="auto"/>
            <w:noWrap/>
            <w:vAlign w:val="center"/>
            <w:hideMark/>
          </w:tcPr>
          <w:p w14:paraId="7FCD6790"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Quote</w:t>
            </w:r>
          </w:p>
        </w:tc>
        <w:tc>
          <w:tcPr>
            <w:tcW w:w="0" w:type="auto"/>
            <w:noWrap/>
            <w:vAlign w:val="center"/>
            <w:hideMark/>
          </w:tcPr>
          <w:p w14:paraId="060AF301" w14:textId="77777777" w:rsidR="00AF6259" w:rsidRPr="00F95768" w:rsidRDefault="00AF6259" w:rsidP="0064106D">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C0C14"/>
                <w:spacing w:val="6"/>
                <w:kern w:val="0"/>
                <w:sz w:val="22"/>
                <w:szCs w:val="22"/>
                <w:lang w:eastAsia="en-GB"/>
                <w14:ligatures w14:val="none"/>
              </w:rPr>
            </w:pPr>
            <w:r w:rsidRPr="00F95768">
              <w:rPr>
                <w:rFonts w:eastAsia="Times New Roman" w:cs="Times New Roman"/>
                <w:b w:val="0"/>
                <w:bCs w:val="0"/>
                <w:color w:val="0C0C14"/>
                <w:spacing w:val="6"/>
                <w:kern w:val="0"/>
                <w:sz w:val="22"/>
                <w:szCs w:val="22"/>
                <w:lang w:eastAsia="en-GB"/>
                <w14:ligatures w14:val="none"/>
              </w:rPr>
              <w:t>Ref</w:t>
            </w:r>
          </w:p>
        </w:tc>
      </w:tr>
      <w:tr w:rsidR="00AF6259" w:rsidRPr="00F95768" w14:paraId="7E34ACB3"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A88BC5"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11</w:t>
            </w:r>
          </w:p>
        </w:tc>
        <w:tc>
          <w:tcPr>
            <w:tcW w:w="0" w:type="auto"/>
            <w:vAlign w:val="center"/>
            <w:hideMark/>
          </w:tcPr>
          <w:p w14:paraId="2F070751"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"I would suggest the speed limit along Lower Compton Road should be reduced from 40 to 30 miles per hour."</w:t>
            </w:r>
          </w:p>
        </w:tc>
        <w:tc>
          <w:tcPr>
            <w:tcW w:w="0" w:type="auto"/>
            <w:vAlign w:val="center"/>
            <w:hideMark/>
          </w:tcPr>
          <w:p w14:paraId="3BB086EB"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R18</w:t>
            </w:r>
          </w:p>
        </w:tc>
      </w:tr>
      <w:tr w:rsidR="00AF6259" w:rsidRPr="00F95768" w14:paraId="7D29C187"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D24C3C"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12</w:t>
            </w:r>
          </w:p>
        </w:tc>
        <w:tc>
          <w:tcPr>
            <w:tcW w:w="0" w:type="auto"/>
            <w:vAlign w:val="center"/>
            <w:hideMark/>
          </w:tcPr>
          <w:p w14:paraId="2FC3615B"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"I would, however, like to see the speed limit for the road reduced to 20 mph with provision for safe pedestrian access."</w:t>
            </w:r>
          </w:p>
        </w:tc>
        <w:tc>
          <w:tcPr>
            <w:tcW w:w="0" w:type="auto"/>
            <w:vAlign w:val="center"/>
            <w:hideMark/>
          </w:tcPr>
          <w:p w14:paraId="757AA57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R19</w:t>
            </w:r>
          </w:p>
        </w:tc>
      </w:tr>
      <w:tr w:rsidR="00AF6259" w:rsidRPr="00F95768" w14:paraId="3D585792" w14:textId="77777777" w:rsidTr="0064106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F26462" w14:textId="77777777" w:rsidR="00AF6259" w:rsidRPr="00F95768" w:rsidRDefault="00AF6259" w:rsidP="0064106D">
            <w:pPr>
              <w:rPr>
                <w:rFonts w:eastAsia="Times New Roman" w:cs="Times New Roman"/>
                <w:b w:val="0"/>
                <w:bCs w:val="0"/>
                <w:color w:val="0C0C14"/>
                <w:kern w:val="0"/>
                <w:sz w:val="22"/>
                <w:szCs w:val="22"/>
                <w:lang w:eastAsia="en-GB"/>
                <w14:ligatures w14:val="none"/>
              </w:rPr>
            </w:pPr>
            <w:r w:rsidRPr="00F95768">
              <w:rPr>
                <w:rFonts w:eastAsia="Times New Roman" w:cs="Times New Roman"/>
                <w:b w:val="0"/>
                <w:bCs w:val="0"/>
                <w:color w:val="0C0C14"/>
                <w:kern w:val="0"/>
                <w:sz w:val="22"/>
                <w:szCs w:val="22"/>
                <w:lang w:eastAsia="en-GB"/>
                <w14:ligatures w14:val="none"/>
              </w:rPr>
              <w:t>13</w:t>
            </w:r>
          </w:p>
        </w:tc>
        <w:tc>
          <w:tcPr>
            <w:tcW w:w="0" w:type="auto"/>
            <w:vAlign w:val="center"/>
            <w:hideMark/>
          </w:tcPr>
          <w:p w14:paraId="7F01E5AE"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"I would appreciate the line of trees not blocking my view of Morgans Hill. The proposed tree line appears to extend level with my property."</w:t>
            </w:r>
          </w:p>
        </w:tc>
        <w:tc>
          <w:tcPr>
            <w:tcW w:w="0" w:type="auto"/>
            <w:vAlign w:val="center"/>
            <w:hideMark/>
          </w:tcPr>
          <w:p w14:paraId="06D53B80" w14:textId="77777777" w:rsidR="00AF6259" w:rsidRPr="00F95768" w:rsidRDefault="00AF6259" w:rsidP="0064106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C0C14"/>
                <w:kern w:val="0"/>
                <w:sz w:val="22"/>
                <w:szCs w:val="22"/>
                <w:lang w:eastAsia="en-GB"/>
                <w14:ligatures w14:val="none"/>
              </w:rPr>
            </w:pPr>
            <w:r w:rsidRPr="00F95768">
              <w:rPr>
                <w:rFonts w:eastAsia="Times New Roman" w:cs="Times New Roman"/>
                <w:color w:val="0C0C14"/>
                <w:kern w:val="0"/>
                <w:sz w:val="22"/>
                <w:szCs w:val="22"/>
                <w:lang w:eastAsia="en-GB"/>
                <w14:ligatures w14:val="none"/>
              </w:rPr>
              <w:t>R06</w:t>
            </w:r>
          </w:p>
        </w:tc>
      </w:tr>
    </w:tbl>
    <w:p w14:paraId="02E27ADF" w14:textId="240E76E2" w:rsidR="00AF6259" w:rsidRPr="00AF6259" w:rsidRDefault="00AF6259" w:rsidP="00F75D87">
      <w:pPr>
        <w:rPr>
          <w:sz w:val="20"/>
          <w:szCs w:val="20"/>
        </w:rPr>
      </w:pPr>
      <w:r>
        <w:rPr>
          <w:rFonts w:eastAsia="Times New Roman" w:cs="Arial"/>
          <w:color w:val="24292E"/>
          <w:sz w:val="22"/>
          <w:lang w:eastAsia="en-GB"/>
        </w:rPr>
        <w:br w:type="page"/>
      </w:r>
    </w:p>
    <w:sectPr w:rsidR="00AF6259" w:rsidRPr="00AF6259" w:rsidSect="00E91A5B">
      <w:headerReference w:type="default" r:id="rId8"/>
      <w:footerReference w:type="default" r:id="rId9"/>
      <w:pgSz w:w="11900" w:h="16820"/>
      <w:pgMar w:top="1440" w:right="1440" w:bottom="1440"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ABA46" w14:textId="77777777" w:rsidR="008D730C" w:rsidRDefault="008D730C">
      <w:pPr>
        <w:spacing w:after="0" w:line="240" w:lineRule="auto"/>
      </w:pPr>
      <w:r>
        <w:separator/>
      </w:r>
    </w:p>
  </w:endnote>
  <w:endnote w:type="continuationSeparator" w:id="0">
    <w:p w14:paraId="5946BE1B" w14:textId="77777777" w:rsidR="008D730C" w:rsidRDefault="008D7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8F33" w14:textId="77777777" w:rsidR="008C0581" w:rsidRDefault="008D730C">
    <w:pPr>
      <w:pStyle w:val="Footer"/>
      <w:jc w:val="center"/>
    </w:pPr>
    <w:r>
      <w:rPr>
        <w:color w:val="666666"/>
        <w:sz w:val="16"/>
      </w:rPr>
      <w:t xml:space="preserve">PL/2026/03392  •  Draft for council review  •  Page </w:t>
    </w:r>
    <w:r>
      <w:rPr>
        <w:color w:val="666666"/>
        <w:sz w:val="16"/>
      </w:rPr>
      <w:fldChar w:fldCharType="begin"/>
    </w:r>
    <w:r>
      <w:rPr>
        <w:color w:val="666666"/>
        <w:sz w:val="16"/>
      </w:rPr>
      <w:instrText>PAGE</w:instrText>
    </w:r>
    <w:r>
      <w:rPr>
        <w:color w:val="666666"/>
        <w:sz w:val="16"/>
      </w:rPr>
      <w:fldChar w:fldCharType="separate"/>
    </w:r>
    <w:r w:rsidR="00E91A5B">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645BD" w14:textId="77777777" w:rsidR="008D730C" w:rsidRDefault="008D730C">
      <w:pPr>
        <w:spacing w:after="0" w:line="240" w:lineRule="auto"/>
      </w:pPr>
      <w:r>
        <w:separator/>
      </w:r>
    </w:p>
  </w:footnote>
  <w:footnote w:type="continuationSeparator" w:id="0">
    <w:p w14:paraId="54E77910" w14:textId="77777777" w:rsidR="008D730C" w:rsidRDefault="008D7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FBB1" w14:textId="6E4F76EA" w:rsidR="008C0581" w:rsidRDefault="008D730C">
    <w:pPr>
      <w:pStyle w:val="Header"/>
      <w:jc w:val="right"/>
    </w:pPr>
    <w:r>
      <w:rPr>
        <w:b/>
        <w:color w:val="666666"/>
        <w:sz w:val="16"/>
      </w:rPr>
      <w:t xml:space="preserve">CHERHILL PARISH </w:t>
    </w:r>
    <w:r w:rsidR="005B7209">
      <w:rPr>
        <w:b/>
        <w:color w:val="666666"/>
        <w:sz w:val="16"/>
      </w:rPr>
      <w:t>COUNCIL | DRAFT</w:t>
    </w:r>
    <w:r>
      <w:rPr>
        <w:b/>
        <w:color w:val="666666"/>
        <w:sz w:val="16"/>
      </w:rPr>
      <w:t xml:space="preserve"> CONSULTATION RESPONSE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0760873">
    <w:abstractNumId w:val="8"/>
  </w:num>
  <w:num w:numId="2" w16cid:durableId="121580435">
    <w:abstractNumId w:val="6"/>
  </w:num>
  <w:num w:numId="3" w16cid:durableId="4286881">
    <w:abstractNumId w:val="5"/>
  </w:num>
  <w:num w:numId="4" w16cid:durableId="137845054">
    <w:abstractNumId w:val="4"/>
  </w:num>
  <w:num w:numId="5" w16cid:durableId="1945577613">
    <w:abstractNumId w:val="7"/>
  </w:num>
  <w:num w:numId="6" w16cid:durableId="483081342">
    <w:abstractNumId w:val="3"/>
  </w:num>
  <w:num w:numId="7" w16cid:durableId="2005471012">
    <w:abstractNumId w:val="2"/>
  </w:num>
  <w:num w:numId="8" w16cid:durableId="639581995">
    <w:abstractNumId w:val="1"/>
  </w:num>
  <w:num w:numId="9" w16cid:durableId="139882656">
    <w:abstractNumId w:val="0"/>
  </w:num>
  <w:num w:numId="10" w16cid:durableId="214114602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6A"/>
    <w:rsid w:val="00034616"/>
    <w:rsid w:val="00036AD9"/>
    <w:rsid w:val="0006063C"/>
    <w:rsid w:val="001306EA"/>
    <w:rsid w:val="00134FAB"/>
    <w:rsid w:val="0015074B"/>
    <w:rsid w:val="00281277"/>
    <w:rsid w:val="0029639D"/>
    <w:rsid w:val="002D0523"/>
    <w:rsid w:val="002E3E33"/>
    <w:rsid w:val="002F64FE"/>
    <w:rsid w:val="003026F6"/>
    <w:rsid w:val="00305E50"/>
    <w:rsid w:val="00326F90"/>
    <w:rsid w:val="004B2614"/>
    <w:rsid w:val="004B4228"/>
    <w:rsid w:val="004F62CE"/>
    <w:rsid w:val="005B7209"/>
    <w:rsid w:val="0068087E"/>
    <w:rsid w:val="006964DD"/>
    <w:rsid w:val="006E23AA"/>
    <w:rsid w:val="007125FF"/>
    <w:rsid w:val="00734345"/>
    <w:rsid w:val="00742042"/>
    <w:rsid w:val="007652DA"/>
    <w:rsid w:val="00783709"/>
    <w:rsid w:val="00786417"/>
    <w:rsid w:val="00802844"/>
    <w:rsid w:val="008402B6"/>
    <w:rsid w:val="008C0581"/>
    <w:rsid w:val="008D730C"/>
    <w:rsid w:val="00930A59"/>
    <w:rsid w:val="00985531"/>
    <w:rsid w:val="009C0D05"/>
    <w:rsid w:val="009E6A07"/>
    <w:rsid w:val="00A561F6"/>
    <w:rsid w:val="00A86DD4"/>
    <w:rsid w:val="00A92030"/>
    <w:rsid w:val="00AA1D8D"/>
    <w:rsid w:val="00AB7947"/>
    <w:rsid w:val="00AD3841"/>
    <w:rsid w:val="00AF6259"/>
    <w:rsid w:val="00B42EA7"/>
    <w:rsid w:val="00B47730"/>
    <w:rsid w:val="00BB1677"/>
    <w:rsid w:val="00BC0DC8"/>
    <w:rsid w:val="00BD4EED"/>
    <w:rsid w:val="00BD5C11"/>
    <w:rsid w:val="00C00460"/>
    <w:rsid w:val="00C250C5"/>
    <w:rsid w:val="00CA023E"/>
    <w:rsid w:val="00CB0664"/>
    <w:rsid w:val="00E82564"/>
    <w:rsid w:val="00E91A5B"/>
    <w:rsid w:val="00F75D87"/>
    <w:rsid w:val="00F850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29093"/>
  <w14:defaultImageDpi w14:val="300"/>
  <w15:docId w15:val="{6AA118F9-A314-6245-977D-A07B09E6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648" w:hanging="288"/>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648" w:hanging="288"/>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Note">
    <w:name w:val="Draft Note"/>
    <w:pPr>
      <w:spacing w:before="80" w:after="140"/>
    </w:pPr>
    <w:rPr>
      <w:rFonts w:ascii="Arial" w:hAnsi="Arial"/>
      <w:i/>
      <w:color w:val="8A6500"/>
      <w:sz w:val="19"/>
    </w:rPr>
  </w:style>
  <w:style w:type="table" w:styleId="GridTable1Light-Accent1">
    <w:name w:val="Grid Table 1 Light Accent 1"/>
    <w:basedOn w:val="TableNormal"/>
    <w:uiPriority w:val="46"/>
    <w:rsid w:val="00AF6259"/>
    <w:pPr>
      <w:spacing w:after="0" w:line="240" w:lineRule="auto"/>
    </w:pPr>
    <w:rPr>
      <w:rFonts w:eastAsiaTheme="minorHAnsi"/>
      <w:kern w:val="2"/>
      <w:sz w:val="24"/>
      <w:szCs w:val="24"/>
      <w:lang w:val="en-GB"/>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4240</Words>
  <Characters>24171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Cherhill Parish Council Consultation Response – PL/2026/03392</vt:lpstr>
    </vt:vector>
  </TitlesOfParts>
  <Manager/>
  <Company/>
  <LinksUpToDate>false</LinksUpToDate>
  <CharactersWithSpaces>28355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Cherhill Parish Council Consultation Response – PL/2026/03392</dc:title>
  <dc:subject>Draft consultation response for council review</dc:subject>
  <dc:creator>Cherhill Parish Council</dc:creator>
  <cp:keywords/>
  <dc:description/>
  <cp:lastModifiedBy>Parish Clerk</cp:lastModifiedBy>
  <cp:revision>2</cp:revision>
  <dcterms:created xsi:type="dcterms:W3CDTF">2026-07-26T09:37:00Z</dcterms:created>
  <dcterms:modified xsi:type="dcterms:W3CDTF">2026-07-26T09:37:00Z</dcterms:modified>
  <cp:category/>
</cp:coreProperties>
</file>