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1715D8" w14:textId="677CA505" w:rsidR="00821E88" w:rsidRPr="001776C2" w:rsidRDefault="00821E88" w:rsidP="001776C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jc w:val="both"/>
        <w:rPr>
          <w:rFonts w:cs="Helvetica"/>
          <w:color w:val="1B1B1B"/>
          <w:kern w:val="0"/>
          <w:sz w:val="28"/>
          <w:szCs w:val="28"/>
          <w:u w:val="single"/>
        </w:rPr>
      </w:pPr>
      <w:r w:rsidRPr="001776C2">
        <w:rPr>
          <w:rFonts w:cs="Helvetica Neue"/>
          <w:b/>
          <w:bCs/>
          <w:color w:val="1B1B1B"/>
          <w:kern w:val="0"/>
          <w:sz w:val="28"/>
          <w:szCs w:val="28"/>
          <w:u w:val="single"/>
        </w:rPr>
        <w:t>Section 73 Application – Variation of Condition</w:t>
      </w:r>
      <w:r w:rsidRPr="001776C2">
        <w:rPr>
          <w:rFonts w:cs="Helvetica Neue"/>
          <w:color w:val="1B1B1B"/>
          <w:kern w:val="0"/>
          <w:sz w:val="28"/>
          <w:szCs w:val="28"/>
          <w:u w:val="single"/>
        </w:rPr>
        <w:t xml:space="preserve"> </w:t>
      </w:r>
      <w:r w:rsidRPr="001776C2">
        <w:rPr>
          <w:rFonts w:cs="Helvetica Neue"/>
          <w:b/>
          <w:bCs/>
          <w:color w:val="1B1B1B"/>
          <w:kern w:val="0"/>
          <w:sz w:val="28"/>
          <w:szCs w:val="28"/>
          <w:u w:val="single"/>
        </w:rPr>
        <w:t>Multi-Use Games Area (MUGA),</w:t>
      </w:r>
      <w:r w:rsidR="001776C2" w:rsidRPr="001776C2">
        <w:rPr>
          <w:rFonts w:cs="Helvetica Neue"/>
          <w:b/>
          <w:bCs/>
          <w:color w:val="1B1B1B"/>
          <w:kern w:val="0"/>
          <w:sz w:val="28"/>
          <w:szCs w:val="28"/>
          <w:u w:val="single"/>
        </w:rPr>
        <w:t xml:space="preserve"> </w:t>
      </w:r>
      <w:proofErr w:type="spellStart"/>
      <w:r w:rsidR="001776C2" w:rsidRPr="001776C2">
        <w:rPr>
          <w:rFonts w:cs="Helvetica Neue"/>
          <w:b/>
          <w:bCs/>
          <w:color w:val="1B1B1B"/>
          <w:kern w:val="0"/>
          <w:sz w:val="28"/>
          <w:szCs w:val="28"/>
          <w:u w:val="single"/>
        </w:rPr>
        <w:t>Showfield</w:t>
      </w:r>
      <w:proofErr w:type="spellEnd"/>
      <w:r w:rsidR="001776C2" w:rsidRPr="001776C2">
        <w:rPr>
          <w:rFonts w:cs="Helvetica Neue"/>
          <w:b/>
          <w:bCs/>
          <w:color w:val="1B1B1B"/>
          <w:kern w:val="0"/>
          <w:sz w:val="28"/>
          <w:szCs w:val="28"/>
          <w:u w:val="single"/>
        </w:rPr>
        <w:t>,</w:t>
      </w:r>
      <w:r w:rsidRPr="001776C2">
        <w:rPr>
          <w:rFonts w:cs="Helvetica Neue"/>
          <w:b/>
          <w:bCs/>
          <w:color w:val="1B1B1B"/>
          <w:kern w:val="0"/>
          <w:sz w:val="28"/>
          <w:szCs w:val="28"/>
          <w:u w:val="single"/>
        </w:rPr>
        <w:t xml:space="preserve"> Royal Wootton Bassett</w:t>
      </w:r>
    </w:p>
    <w:p w14:paraId="55ADB93D" w14:textId="77777777" w:rsidR="00821E88" w:rsidRPr="001776C2" w:rsidRDefault="00821E88" w:rsidP="001776C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jc w:val="both"/>
        <w:rPr>
          <w:rFonts w:cs="Helvetica"/>
          <w:color w:val="1B1B1B"/>
          <w:kern w:val="0"/>
          <w:sz w:val="28"/>
          <w:szCs w:val="28"/>
        </w:rPr>
      </w:pPr>
      <w:r w:rsidRPr="001776C2">
        <w:rPr>
          <w:rFonts w:cs="Helvetica Neue"/>
          <w:b/>
          <w:bCs/>
          <w:color w:val="1B1B1B"/>
          <w:kern w:val="0"/>
          <w:sz w:val="28"/>
          <w:szCs w:val="28"/>
        </w:rPr>
        <w:t>1. Introduction</w:t>
      </w:r>
    </w:p>
    <w:p w14:paraId="04A834BA" w14:textId="49A22938" w:rsidR="00821E88" w:rsidRPr="001776C2" w:rsidRDefault="00821E88" w:rsidP="001776C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jc w:val="both"/>
        <w:rPr>
          <w:rFonts w:cs="Helvetica"/>
          <w:color w:val="1B1B1B"/>
          <w:kern w:val="0"/>
          <w:sz w:val="28"/>
          <w:szCs w:val="28"/>
        </w:rPr>
      </w:pPr>
      <w:r w:rsidRPr="001776C2">
        <w:rPr>
          <w:rFonts w:cs="Helvetica Neue"/>
          <w:color w:val="1B1B1B"/>
          <w:kern w:val="0"/>
          <w:sz w:val="28"/>
          <w:szCs w:val="28"/>
        </w:rPr>
        <w:t>This Planning Statement has been prepared in support of an application submitted under Section 73 of the Town and Country Planning Act 1990 to vary the approved plans condition attached to the original planning permission for the Multi-Use Games Area (MUGA)</w:t>
      </w:r>
      <w:r w:rsidR="001776C2">
        <w:rPr>
          <w:rFonts w:cs="Helvetica Neue"/>
          <w:color w:val="1B1B1B"/>
          <w:kern w:val="0"/>
          <w:sz w:val="28"/>
          <w:szCs w:val="28"/>
        </w:rPr>
        <w:t>, ref PL/2025/06628</w:t>
      </w:r>
      <w:r w:rsidRPr="001776C2">
        <w:rPr>
          <w:rFonts w:cs="Helvetica Neue"/>
          <w:color w:val="1B1B1B"/>
          <w:kern w:val="0"/>
          <w:sz w:val="28"/>
          <w:szCs w:val="28"/>
        </w:rPr>
        <w:t>.</w:t>
      </w:r>
    </w:p>
    <w:p w14:paraId="43FB75B3" w14:textId="77777777" w:rsidR="00821E88" w:rsidRPr="001776C2" w:rsidRDefault="00821E88" w:rsidP="001776C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jc w:val="both"/>
        <w:rPr>
          <w:rFonts w:cs="Helvetica"/>
          <w:color w:val="1B1B1B"/>
          <w:kern w:val="0"/>
          <w:sz w:val="28"/>
          <w:szCs w:val="28"/>
        </w:rPr>
      </w:pPr>
      <w:r w:rsidRPr="001776C2">
        <w:rPr>
          <w:rFonts w:cs="Helvetica Neue"/>
          <w:color w:val="1B1B1B"/>
          <w:kern w:val="0"/>
          <w:sz w:val="28"/>
          <w:szCs w:val="28"/>
        </w:rPr>
        <w:t>The purpose of this application is to regularise a minor amendment to the approved access arrangements by substituting revised drawings showing an amended entrance location and associated access pathways.</w:t>
      </w:r>
    </w:p>
    <w:p w14:paraId="20DF1B5C" w14:textId="77777777" w:rsidR="00821E88" w:rsidRPr="001776C2" w:rsidRDefault="00821E88" w:rsidP="001776C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jc w:val="both"/>
        <w:rPr>
          <w:rFonts w:cs="Helvetica"/>
          <w:color w:val="1B1B1B"/>
          <w:kern w:val="0"/>
          <w:sz w:val="28"/>
          <w:szCs w:val="28"/>
        </w:rPr>
      </w:pPr>
      <w:r w:rsidRPr="001776C2">
        <w:rPr>
          <w:rFonts w:cs="Helvetica Neue"/>
          <w:b/>
          <w:bCs/>
          <w:color w:val="1B1B1B"/>
          <w:kern w:val="0"/>
          <w:sz w:val="28"/>
          <w:szCs w:val="28"/>
        </w:rPr>
        <w:t>2. Background</w:t>
      </w:r>
    </w:p>
    <w:p w14:paraId="2A296F44" w14:textId="0D166925" w:rsidR="00821E88" w:rsidRPr="001776C2" w:rsidRDefault="00821E88" w:rsidP="001776C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jc w:val="both"/>
        <w:rPr>
          <w:rFonts w:cs="Helvetica"/>
          <w:color w:val="1B1B1B"/>
          <w:kern w:val="0"/>
          <w:sz w:val="28"/>
          <w:szCs w:val="28"/>
        </w:rPr>
      </w:pPr>
      <w:r w:rsidRPr="001776C2">
        <w:rPr>
          <w:rFonts w:cs="Helvetica Neue"/>
          <w:color w:val="1B1B1B"/>
          <w:kern w:val="0"/>
          <w:sz w:val="28"/>
          <w:szCs w:val="28"/>
        </w:rPr>
        <w:t>Planning permission has previously been granted for the development of the MUGA</w:t>
      </w:r>
      <w:r w:rsidR="001776C2">
        <w:rPr>
          <w:rFonts w:cs="Helvetica Neue"/>
          <w:color w:val="1B1B1B"/>
          <w:kern w:val="0"/>
          <w:sz w:val="28"/>
          <w:szCs w:val="28"/>
        </w:rPr>
        <w:t xml:space="preserve"> (PL/2025/06628)</w:t>
      </w:r>
      <w:r w:rsidRPr="001776C2">
        <w:rPr>
          <w:rFonts w:cs="Helvetica Neue"/>
          <w:color w:val="1B1B1B"/>
          <w:kern w:val="0"/>
          <w:sz w:val="28"/>
          <w:szCs w:val="28"/>
        </w:rPr>
        <w:t>. During the construction planning process, it became evident that a revised entrance arrangement would provide a more practical and effective means of accessing the facility.</w:t>
      </w:r>
    </w:p>
    <w:p w14:paraId="129E4B30" w14:textId="6E591B95" w:rsidR="00821E88" w:rsidRPr="001776C2" w:rsidRDefault="00821E88" w:rsidP="001776C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jc w:val="both"/>
        <w:rPr>
          <w:rFonts w:cs="Helvetica"/>
          <w:color w:val="1B1B1B"/>
          <w:kern w:val="0"/>
          <w:sz w:val="28"/>
          <w:szCs w:val="28"/>
        </w:rPr>
      </w:pPr>
      <w:r w:rsidRPr="001776C2">
        <w:rPr>
          <w:rFonts w:cs="Helvetica Neue"/>
          <w:color w:val="1B1B1B"/>
          <w:kern w:val="0"/>
          <w:sz w:val="28"/>
          <w:szCs w:val="28"/>
        </w:rPr>
        <w:t xml:space="preserve">Following discussions regarding the </w:t>
      </w:r>
      <w:r w:rsidR="001776C2">
        <w:rPr>
          <w:rFonts w:cs="Helvetica Neue"/>
          <w:color w:val="1B1B1B"/>
          <w:kern w:val="0"/>
          <w:sz w:val="28"/>
          <w:szCs w:val="28"/>
        </w:rPr>
        <w:t>construction</w:t>
      </w:r>
      <w:r w:rsidRPr="001776C2">
        <w:rPr>
          <w:rFonts w:cs="Helvetica Neue"/>
          <w:color w:val="1B1B1B"/>
          <w:kern w:val="0"/>
          <w:sz w:val="28"/>
          <w:szCs w:val="28"/>
        </w:rPr>
        <w:t xml:space="preserve"> of the project, revised drawings were prepared to show the amended access arrangement. These revisions include the provision of new access pathways serving the MUGA, comprising approximately 122 square metres of surfacing together with associated timber edging.</w:t>
      </w:r>
    </w:p>
    <w:p w14:paraId="5DB72EDA" w14:textId="77777777" w:rsidR="00821E88" w:rsidRPr="001776C2" w:rsidRDefault="00821E88" w:rsidP="001776C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jc w:val="both"/>
        <w:rPr>
          <w:rFonts w:cs="Helvetica"/>
          <w:color w:val="1B1B1B"/>
          <w:kern w:val="0"/>
          <w:sz w:val="28"/>
          <w:szCs w:val="28"/>
        </w:rPr>
      </w:pPr>
      <w:r w:rsidRPr="001776C2">
        <w:rPr>
          <w:rFonts w:cs="Helvetica Neue"/>
          <w:color w:val="1B1B1B"/>
          <w:kern w:val="0"/>
          <w:sz w:val="28"/>
          <w:szCs w:val="28"/>
        </w:rPr>
        <w:t>The proposed amendment does not alter the overall purpose, scale, use or operation of the approved MUGA. The development remains entirely consistent with the objectives of the original permission.</w:t>
      </w:r>
    </w:p>
    <w:p w14:paraId="578D46CC" w14:textId="77777777" w:rsidR="00821E88" w:rsidRPr="001776C2" w:rsidRDefault="00821E88" w:rsidP="001776C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jc w:val="both"/>
        <w:rPr>
          <w:rFonts w:cs="Helvetica"/>
          <w:color w:val="1B1B1B"/>
          <w:kern w:val="0"/>
          <w:sz w:val="28"/>
          <w:szCs w:val="28"/>
        </w:rPr>
      </w:pPr>
      <w:r w:rsidRPr="001776C2">
        <w:rPr>
          <w:rFonts w:cs="Helvetica Neue"/>
          <w:b/>
          <w:bCs/>
          <w:color w:val="1B1B1B"/>
          <w:kern w:val="0"/>
          <w:sz w:val="28"/>
          <w:szCs w:val="28"/>
        </w:rPr>
        <w:lastRenderedPageBreak/>
        <w:t>3. Proposed Variation</w:t>
      </w:r>
    </w:p>
    <w:p w14:paraId="7A6A0CA4" w14:textId="77777777" w:rsidR="001776C2" w:rsidRPr="001776C2" w:rsidRDefault="00821E88" w:rsidP="001776C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jc w:val="both"/>
        <w:rPr>
          <w:rFonts w:cs="Helvetica"/>
          <w:color w:val="1B1B1B"/>
          <w:kern w:val="0"/>
          <w:sz w:val="28"/>
          <w:szCs w:val="28"/>
        </w:rPr>
      </w:pPr>
      <w:r w:rsidRPr="001776C2">
        <w:rPr>
          <w:rFonts w:cs="Helvetica Neue"/>
          <w:color w:val="1B1B1B"/>
          <w:kern w:val="0"/>
          <w:sz w:val="28"/>
          <w:szCs w:val="28"/>
        </w:rPr>
        <w:t xml:space="preserve">The application seeks </w:t>
      </w:r>
      <w:r w:rsidR="001776C2" w:rsidRPr="001776C2">
        <w:rPr>
          <w:rFonts w:cs="Helvetica Neue"/>
          <w:color w:val="1B1B1B"/>
          <w:kern w:val="0"/>
          <w:sz w:val="28"/>
          <w:szCs w:val="28"/>
        </w:rPr>
        <w:t>approval for revised plans showing:</w:t>
      </w:r>
    </w:p>
    <w:p w14:paraId="5173F433" w14:textId="36AFB44D" w:rsidR="001776C2" w:rsidRPr="001776C2" w:rsidRDefault="001776C2" w:rsidP="001776C2">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jc w:val="both"/>
        <w:rPr>
          <w:rFonts w:cs="Helvetica"/>
          <w:color w:val="1B1B1B"/>
          <w:kern w:val="0"/>
          <w:sz w:val="28"/>
          <w:szCs w:val="28"/>
        </w:rPr>
      </w:pPr>
      <w:r w:rsidRPr="001776C2">
        <w:rPr>
          <w:rFonts w:cs="Helvetica Neue"/>
          <w:color w:val="1B1B1B"/>
          <w:kern w:val="0"/>
          <w:sz w:val="28"/>
          <w:szCs w:val="28"/>
        </w:rPr>
        <w:t>The relocation of the MUGA access gates;</w:t>
      </w:r>
    </w:p>
    <w:p w14:paraId="686C35B2" w14:textId="1E8009FE" w:rsidR="001776C2" w:rsidRPr="001776C2" w:rsidRDefault="001776C2" w:rsidP="001776C2">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jc w:val="both"/>
        <w:rPr>
          <w:rFonts w:cs="Helvetica"/>
          <w:color w:val="1B1B1B"/>
          <w:kern w:val="0"/>
          <w:sz w:val="28"/>
          <w:szCs w:val="28"/>
        </w:rPr>
      </w:pPr>
      <w:r w:rsidRPr="001776C2">
        <w:rPr>
          <w:rFonts w:cs="Helvetica Neue"/>
          <w:color w:val="1B1B1B"/>
          <w:kern w:val="0"/>
          <w:sz w:val="28"/>
          <w:szCs w:val="28"/>
        </w:rPr>
        <w:t>Amended pedestrian access pathways serving the facility;</w:t>
      </w:r>
    </w:p>
    <w:p w14:paraId="1A54E075" w14:textId="06326EAF" w:rsidR="001776C2" w:rsidRPr="001776C2" w:rsidRDefault="001776C2" w:rsidP="001776C2">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ind w:left="567" w:hanging="207"/>
        <w:jc w:val="both"/>
        <w:rPr>
          <w:rFonts w:cs="Helvetica"/>
          <w:color w:val="1B1B1B"/>
          <w:kern w:val="0"/>
          <w:sz w:val="28"/>
          <w:szCs w:val="28"/>
        </w:rPr>
      </w:pPr>
      <w:r w:rsidRPr="001776C2">
        <w:rPr>
          <w:rFonts w:cs="Helvetica Neue"/>
          <w:color w:val="1B1B1B"/>
          <w:kern w:val="0"/>
          <w:sz w:val="28"/>
          <w:szCs w:val="28"/>
        </w:rPr>
        <w:t>Associated pathway and edging works required to facilitate the revised</w:t>
      </w:r>
      <w:r>
        <w:rPr>
          <w:rFonts w:cs="Helvetica Neue"/>
          <w:color w:val="1B1B1B"/>
          <w:kern w:val="0"/>
          <w:sz w:val="28"/>
          <w:szCs w:val="28"/>
        </w:rPr>
        <w:t xml:space="preserve"> </w:t>
      </w:r>
      <w:r w:rsidRPr="001776C2">
        <w:rPr>
          <w:rFonts w:cs="Helvetica Neue"/>
          <w:color w:val="1B1B1B"/>
          <w:kern w:val="0"/>
          <w:sz w:val="28"/>
          <w:szCs w:val="28"/>
        </w:rPr>
        <w:t>access arrangement</w:t>
      </w:r>
    </w:p>
    <w:p w14:paraId="4533A678" w14:textId="77777777" w:rsidR="001776C2" w:rsidRPr="001776C2" w:rsidRDefault="001776C2" w:rsidP="001776C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jc w:val="both"/>
        <w:rPr>
          <w:rFonts w:cs="Helvetica"/>
          <w:color w:val="1B1B1B"/>
          <w:kern w:val="0"/>
          <w:sz w:val="28"/>
          <w:szCs w:val="28"/>
        </w:rPr>
      </w:pPr>
      <w:r w:rsidRPr="001776C2">
        <w:rPr>
          <w:rFonts w:cs="Helvetica Neue"/>
          <w:color w:val="1B1B1B"/>
          <w:kern w:val="0"/>
          <w:sz w:val="28"/>
          <w:szCs w:val="28"/>
        </w:rPr>
        <w:t xml:space="preserve">The proposed changes are limited to the access arrangements and do not alter the size, siting, appearance or intended use of the approved MUGA. The development remains wholly consistent with the principles and objectives of the original planning permission. </w:t>
      </w:r>
    </w:p>
    <w:p w14:paraId="69862BBF" w14:textId="77777777" w:rsidR="001776C2" w:rsidRPr="001776C2" w:rsidRDefault="001776C2" w:rsidP="001776C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jc w:val="both"/>
        <w:rPr>
          <w:rFonts w:cs="Helvetica"/>
          <w:b/>
          <w:bCs/>
          <w:color w:val="1B1B1B"/>
          <w:kern w:val="0"/>
          <w:sz w:val="28"/>
          <w:szCs w:val="28"/>
        </w:rPr>
      </w:pPr>
      <w:r w:rsidRPr="001776C2">
        <w:rPr>
          <w:rFonts w:cs="Helvetica Neue"/>
          <w:b/>
          <w:bCs/>
          <w:color w:val="1B1B1B"/>
          <w:kern w:val="0"/>
          <w:sz w:val="28"/>
          <w:szCs w:val="28"/>
        </w:rPr>
        <w:t>4. Planning Considerations</w:t>
      </w:r>
    </w:p>
    <w:p w14:paraId="5B493CA4" w14:textId="77777777" w:rsidR="001776C2" w:rsidRPr="001776C2" w:rsidRDefault="001776C2" w:rsidP="001776C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jc w:val="both"/>
        <w:rPr>
          <w:rFonts w:cs="Helvetica"/>
          <w:color w:val="1B1B1B"/>
          <w:kern w:val="0"/>
          <w:sz w:val="28"/>
          <w:szCs w:val="28"/>
        </w:rPr>
      </w:pPr>
      <w:r w:rsidRPr="001776C2">
        <w:rPr>
          <w:rFonts w:cs="Helvetica Neue"/>
          <w:color w:val="1B1B1B"/>
          <w:kern w:val="0"/>
          <w:sz w:val="28"/>
          <w:szCs w:val="28"/>
        </w:rPr>
        <w:t xml:space="preserve">During the construction phase, it became apparent that the existing site levels would result in the finished MUGA surface being approximately 200mm above the surrounding ground level at the originally approved gate locations. Retaining the approved gate positions would therefore have created a step at each entrance, reducing accessibility and resulting in a less practical access arrangement for users. </w:t>
      </w:r>
    </w:p>
    <w:p w14:paraId="23A83BE4" w14:textId="77777777" w:rsidR="001776C2" w:rsidRPr="001776C2" w:rsidRDefault="001776C2" w:rsidP="001776C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jc w:val="both"/>
        <w:rPr>
          <w:rFonts w:cs="Helvetica"/>
          <w:color w:val="1B1B1B"/>
          <w:kern w:val="0"/>
          <w:sz w:val="28"/>
          <w:szCs w:val="28"/>
        </w:rPr>
      </w:pPr>
      <w:r w:rsidRPr="001776C2">
        <w:rPr>
          <w:rFonts w:cs="Helvetica Neue"/>
          <w:color w:val="1B1B1B"/>
          <w:kern w:val="0"/>
          <w:sz w:val="28"/>
          <w:szCs w:val="28"/>
        </w:rPr>
        <w:t xml:space="preserve">Following discussions on site, it was agreed that relocating the access gates and revising the pathway layout would provide a safer, more practical and more accessible solution. The revised arrangement allows the pathways to follow the site's natural levels, reducing the need for abrupt level changes and improving access into the facility for all users. </w:t>
      </w:r>
    </w:p>
    <w:p w14:paraId="080E6B47" w14:textId="77777777" w:rsidR="001776C2" w:rsidRPr="001776C2" w:rsidRDefault="001776C2" w:rsidP="001776C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jc w:val="both"/>
        <w:rPr>
          <w:rFonts w:cs="Helvetica"/>
          <w:color w:val="1B1B1B"/>
          <w:kern w:val="0"/>
          <w:sz w:val="28"/>
          <w:szCs w:val="28"/>
        </w:rPr>
      </w:pPr>
      <w:r w:rsidRPr="001776C2">
        <w:rPr>
          <w:rFonts w:cs="Helvetica Neue"/>
          <w:color w:val="1B1B1B"/>
          <w:kern w:val="0"/>
          <w:sz w:val="28"/>
          <w:szCs w:val="28"/>
        </w:rPr>
        <w:lastRenderedPageBreak/>
        <w:t>The proposed variation would not give rise to any additional adverse impacts on neighbouring properties, visual amenity, highway safety, drainage, ecology or any other material planning considerations when compared with the approved scheme. Furthermore, the revised access arrangements direct users towards the MUGA from a location further away from the nearest residential properties. As a result, activity associated with entering and leaving the facility will occur at a greater distance from neighbouring dwellings, thereby reducing the potential for disturbance and providing a modest improvement to residential amenity when compared with the originally approved layout.</w:t>
      </w:r>
    </w:p>
    <w:p w14:paraId="2C364747" w14:textId="77777777" w:rsidR="001776C2" w:rsidRPr="001776C2" w:rsidRDefault="001776C2" w:rsidP="001776C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jc w:val="both"/>
        <w:rPr>
          <w:rFonts w:cs="Helvetica"/>
          <w:color w:val="1B1B1B"/>
          <w:kern w:val="0"/>
          <w:sz w:val="28"/>
          <w:szCs w:val="28"/>
        </w:rPr>
      </w:pPr>
      <w:r w:rsidRPr="001776C2">
        <w:rPr>
          <w:rFonts w:cs="Helvetica Neue"/>
          <w:color w:val="1B1B1B"/>
          <w:kern w:val="0"/>
          <w:sz w:val="28"/>
          <w:szCs w:val="28"/>
        </w:rPr>
        <w:t xml:space="preserve">Importantly, the amendment does not alter the size, position or intended use of the MUGA itself. The proposed changes relate solely to the location of the access gates and associated pathways and are intended to improve functionality, accessibility and the overall user experience while maintaining the purpose and benefits of the approved development. </w:t>
      </w:r>
    </w:p>
    <w:p w14:paraId="39594962" w14:textId="77777777" w:rsidR="001776C2" w:rsidRPr="001776C2" w:rsidRDefault="001776C2" w:rsidP="001776C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jc w:val="both"/>
        <w:rPr>
          <w:rFonts w:cs="Helvetica"/>
          <w:b/>
          <w:bCs/>
          <w:color w:val="1B1B1B"/>
          <w:kern w:val="0"/>
          <w:sz w:val="28"/>
          <w:szCs w:val="28"/>
        </w:rPr>
      </w:pPr>
      <w:r w:rsidRPr="001776C2">
        <w:rPr>
          <w:rFonts w:cs="Helvetica Neue"/>
          <w:b/>
          <w:bCs/>
          <w:color w:val="1B1B1B"/>
          <w:kern w:val="0"/>
          <w:sz w:val="28"/>
          <w:szCs w:val="28"/>
        </w:rPr>
        <w:t>5. Conclusion</w:t>
      </w:r>
    </w:p>
    <w:p w14:paraId="3160FF3B" w14:textId="77777777" w:rsidR="001776C2" w:rsidRPr="001776C2" w:rsidRDefault="001776C2" w:rsidP="001776C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jc w:val="both"/>
        <w:rPr>
          <w:rFonts w:cs="Helvetica"/>
          <w:color w:val="1B1B1B"/>
          <w:kern w:val="0"/>
          <w:sz w:val="28"/>
          <w:szCs w:val="28"/>
        </w:rPr>
      </w:pPr>
      <w:r w:rsidRPr="001776C2">
        <w:rPr>
          <w:rFonts w:cs="Helvetica Neue"/>
          <w:color w:val="1B1B1B"/>
          <w:kern w:val="0"/>
          <w:sz w:val="28"/>
          <w:szCs w:val="28"/>
        </w:rPr>
        <w:t>The proposed amendment has arisen as a consequence of site levels identified during the construction process and seeks to provide a safer, more practical and more accessible means of accessing the approved MUGA. The changes are minor in nature, do not alter the form or use of the development, and are considered to offer a small benefit in terms of residential amenity by directing users away from nearby properties.</w:t>
      </w:r>
    </w:p>
    <w:p w14:paraId="3135F9B7" w14:textId="712C50F9" w:rsidR="00C825EC" w:rsidRPr="001776C2" w:rsidRDefault="001776C2" w:rsidP="001776C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jc w:val="both"/>
        <w:rPr>
          <w:sz w:val="28"/>
          <w:szCs w:val="28"/>
        </w:rPr>
      </w:pPr>
      <w:r w:rsidRPr="001776C2">
        <w:rPr>
          <w:rFonts w:cs="Helvetica Neue"/>
          <w:color w:val="1B1B1B"/>
          <w:kern w:val="0"/>
          <w:sz w:val="28"/>
          <w:szCs w:val="28"/>
        </w:rPr>
        <w:t>It is therefore respectfully requested that planning permission be granted under Section 73 of the Town and Country Planning Act 1990 to vary the approved plans condition and allow the revised access arrangement as shown on the submitted drawings.</w:t>
      </w:r>
    </w:p>
    <w:sectPr w:rsidR="00C825EC" w:rsidRPr="001776C2" w:rsidSect="00821E88">
      <w:headerReference w:type="default" r:id="rId7"/>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B1AFDC" w14:textId="77777777" w:rsidR="003E04B6" w:rsidRDefault="003E04B6" w:rsidP="001776C2">
      <w:r>
        <w:separator/>
      </w:r>
    </w:p>
  </w:endnote>
  <w:endnote w:type="continuationSeparator" w:id="0">
    <w:p w14:paraId="4F5E9269" w14:textId="77777777" w:rsidR="003E04B6" w:rsidRDefault="003E04B6" w:rsidP="001776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22FA42" w14:textId="77777777" w:rsidR="003E04B6" w:rsidRDefault="003E04B6" w:rsidP="001776C2">
      <w:r>
        <w:separator/>
      </w:r>
    </w:p>
  </w:footnote>
  <w:footnote w:type="continuationSeparator" w:id="0">
    <w:p w14:paraId="3A3FEE31" w14:textId="77777777" w:rsidR="003E04B6" w:rsidRDefault="003E04B6" w:rsidP="001776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1A9D68" w14:textId="1D781D20" w:rsidR="001776C2" w:rsidRDefault="001776C2" w:rsidP="001776C2">
    <w:pPr>
      <w:pStyle w:val="Header"/>
      <w:jc w:val="center"/>
    </w:pPr>
    <w:r>
      <w:rPr>
        <w:noProof/>
      </w:rPr>
      <w:drawing>
        <wp:inline distT="0" distB="0" distL="0" distR="0" wp14:anchorId="24020DA6" wp14:editId="214EC119">
          <wp:extent cx="1322363" cy="1487658"/>
          <wp:effectExtent l="0" t="0" r="0" b="0"/>
          <wp:docPr id="667354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35443" name="Picture 66735443"/>
                  <pic:cNvPicPr/>
                </pic:nvPicPr>
                <pic:blipFill>
                  <a:blip r:embed="rId1">
                    <a:extLst>
                      <a:ext uri="{28A0092B-C50C-407E-A947-70E740481C1C}">
                        <a14:useLocalDpi xmlns:a14="http://schemas.microsoft.com/office/drawing/2010/main" val="0"/>
                      </a:ext>
                    </a:extLst>
                  </a:blip>
                  <a:stretch>
                    <a:fillRect/>
                  </a:stretch>
                </pic:blipFill>
                <pic:spPr>
                  <a:xfrm>
                    <a:off x="0" y="0"/>
                    <a:ext cx="1333953" cy="150069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3A18D4"/>
    <w:multiLevelType w:val="hybridMultilevel"/>
    <w:tmpl w:val="578E7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165032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E88"/>
    <w:rsid w:val="00045048"/>
    <w:rsid w:val="001264B8"/>
    <w:rsid w:val="001776C2"/>
    <w:rsid w:val="00331D29"/>
    <w:rsid w:val="00353996"/>
    <w:rsid w:val="003E04B6"/>
    <w:rsid w:val="005A7FFA"/>
    <w:rsid w:val="00613E4A"/>
    <w:rsid w:val="006D0F34"/>
    <w:rsid w:val="007C7829"/>
    <w:rsid w:val="00821E88"/>
    <w:rsid w:val="00857EA0"/>
    <w:rsid w:val="0097166B"/>
    <w:rsid w:val="00C825EC"/>
    <w:rsid w:val="00C977E8"/>
    <w:rsid w:val="00CC4F18"/>
    <w:rsid w:val="00CD53D4"/>
    <w:rsid w:val="00E172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663E9F5"/>
  <w15:chartTrackingRefBased/>
  <w15:docId w15:val="{31DE0985-0EA3-E643-A816-1B6E15811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21E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1E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1E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1E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1E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1E8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1E8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1E8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1E8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1E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1E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1E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1E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1E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1E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1E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1E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1E88"/>
    <w:rPr>
      <w:rFonts w:eastAsiaTheme="majorEastAsia" w:cstheme="majorBidi"/>
      <w:color w:val="272727" w:themeColor="text1" w:themeTint="D8"/>
    </w:rPr>
  </w:style>
  <w:style w:type="paragraph" w:styleId="Title">
    <w:name w:val="Title"/>
    <w:basedOn w:val="Normal"/>
    <w:next w:val="Normal"/>
    <w:link w:val="TitleChar"/>
    <w:uiPriority w:val="10"/>
    <w:qFormat/>
    <w:rsid w:val="00821E8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1E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1E8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1E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1E8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21E88"/>
    <w:rPr>
      <w:i/>
      <w:iCs/>
      <w:color w:val="404040" w:themeColor="text1" w:themeTint="BF"/>
    </w:rPr>
  </w:style>
  <w:style w:type="paragraph" w:styleId="ListParagraph">
    <w:name w:val="List Paragraph"/>
    <w:basedOn w:val="Normal"/>
    <w:uiPriority w:val="34"/>
    <w:qFormat/>
    <w:rsid w:val="00821E88"/>
    <w:pPr>
      <w:ind w:left="720"/>
      <w:contextualSpacing/>
    </w:pPr>
  </w:style>
  <w:style w:type="character" w:styleId="IntenseEmphasis">
    <w:name w:val="Intense Emphasis"/>
    <w:basedOn w:val="DefaultParagraphFont"/>
    <w:uiPriority w:val="21"/>
    <w:qFormat/>
    <w:rsid w:val="00821E88"/>
    <w:rPr>
      <w:i/>
      <w:iCs/>
      <w:color w:val="0F4761" w:themeColor="accent1" w:themeShade="BF"/>
    </w:rPr>
  </w:style>
  <w:style w:type="paragraph" w:styleId="IntenseQuote">
    <w:name w:val="Intense Quote"/>
    <w:basedOn w:val="Normal"/>
    <w:next w:val="Normal"/>
    <w:link w:val="IntenseQuoteChar"/>
    <w:uiPriority w:val="30"/>
    <w:qFormat/>
    <w:rsid w:val="00821E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1E88"/>
    <w:rPr>
      <w:i/>
      <w:iCs/>
      <w:color w:val="0F4761" w:themeColor="accent1" w:themeShade="BF"/>
    </w:rPr>
  </w:style>
  <w:style w:type="character" w:styleId="IntenseReference">
    <w:name w:val="Intense Reference"/>
    <w:basedOn w:val="DefaultParagraphFont"/>
    <w:uiPriority w:val="32"/>
    <w:qFormat/>
    <w:rsid w:val="00821E88"/>
    <w:rPr>
      <w:b/>
      <w:bCs/>
      <w:smallCaps/>
      <w:color w:val="0F4761" w:themeColor="accent1" w:themeShade="BF"/>
      <w:spacing w:val="5"/>
    </w:rPr>
  </w:style>
  <w:style w:type="paragraph" w:styleId="Header">
    <w:name w:val="header"/>
    <w:basedOn w:val="Normal"/>
    <w:link w:val="HeaderChar"/>
    <w:uiPriority w:val="99"/>
    <w:unhideWhenUsed/>
    <w:rsid w:val="001776C2"/>
    <w:pPr>
      <w:tabs>
        <w:tab w:val="center" w:pos="4680"/>
        <w:tab w:val="right" w:pos="9360"/>
      </w:tabs>
    </w:pPr>
  </w:style>
  <w:style w:type="character" w:customStyle="1" w:styleId="HeaderChar">
    <w:name w:val="Header Char"/>
    <w:basedOn w:val="DefaultParagraphFont"/>
    <w:link w:val="Header"/>
    <w:uiPriority w:val="99"/>
    <w:rsid w:val="001776C2"/>
  </w:style>
  <w:style w:type="paragraph" w:styleId="Footer">
    <w:name w:val="footer"/>
    <w:basedOn w:val="Normal"/>
    <w:link w:val="FooterChar"/>
    <w:uiPriority w:val="99"/>
    <w:unhideWhenUsed/>
    <w:rsid w:val="001776C2"/>
    <w:pPr>
      <w:tabs>
        <w:tab w:val="center" w:pos="4680"/>
        <w:tab w:val="right" w:pos="9360"/>
      </w:tabs>
    </w:pPr>
  </w:style>
  <w:style w:type="character" w:customStyle="1" w:styleId="FooterChar">
    <w:name w:val="Footer Char"/>
    <w:basedOn w:val="DefaultParagraphFont"/>
    <w:link w:val="Footer"/>
    <w:uiPriority w:val="99"/>
    <w:rsid w:val="001776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7B70AAF752D0419BCC08A64B944779" ma:contentTypeVersion="15" ma:contentTypeDescription="Create a new document." ma:contentTypeScope="" ma:versionID="25534d022d03abd8b987a62fc9e50d0c">
  <xsd:schema xmlns:xsd="http://www.w3.org/2001/XMLSchema" xmlns:xs="http://www.w3.org/2001/XMLSchema" xmlns:p="http://schemas.microsoft.com/office/2006/metadata/properties" xmlns:ns2="7ac5d7eb-7d3d-413b-8457-476ae1a6c55b" xmlns:ns3="aa4066a1-6061-413e-b82e-4c112278484f" targetNamespace="http://schemas.microsoft.com/office/2006/metadata/properties" ma:root="true" ma:fieldsID="b3da2a2cb00cf817643754d7a4fcaff0" ns2:_="" ns3:_="">
    <xsd:import namespace="7ac5d7eb-7d3d-413b-8457-476ae1a6c55b"/>
    <xsd:import namespace="aa4066a1-6061-413e-b82e-4c112278484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c5d7eb-7d3d-413b-8457-476ae1a6c5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5a67cd6-2ccd-4e0e-aa28-d35913ef702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4066a1-6061-413e-b82e-4c112278484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43d6766-b1af-4dd8-992e-35e0519d9c72}" ma:internalName="TaxCatchAll" ma:showField="CatchAllData" ma:web="aa4066a1-6061-413e-b82e-4c11227848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ac5d7eb-7d3d-413b-8457-476ae1a6c55b">
      <Terms xmlns="http://schemas.microsoft.com/office/infopath/2007/PartnerControls"/>
    </lcf76f155ced4ddcb4097134ff3c332f>
    <TaxCatchAll xmlns="aa4066a1-6061-413e-b82e-4c112278484f" xsi:nil="true"/>
  </documentManagement>
</p:properties>
</file>

<file path=customXml/itemProps1.xml><?xml version="1.0" encoding="utf-8"?>
<ds:datastoreItem xmlns:ds="http://schemas.openxmlformats.org/officeDocument/2006/customXml" ds:itemID="{10F5DAAE-2D85-48F1-9A88-0ECF79D9810C}"/>
</file>

<file path=customXml/itemProps2.xml><?xml version="1.0" encoding="utf-8"?>
<ds:datastoreItem xmlns:ds="http://schemas.openxmlformats.org/officeDocument/2006/customXml" ds:itemID="{D740A043-4E07-4FB1-9D29-63DCEE73F8DB}"/>
</file>

<file path=customXml/itemProps3.xml><?xml version="1.0" encoding="utf-8"?>
<ds:datastoreItem xmlns:ds="http://schemas.openxmlformats.org/officeDocument/2006/customXml" ds:itemID="{5033403F-AD44-4F61-8BE9-0E260AF9246A}"/>
</file>

<file path=docProps/app.xml><?xml version="1.0" encoding="utf-8"?>
<Properties xmlns="http://schemas.openxmlformats.org/officeDocument/2006/extended-properties" xmlns:vt="http://schemas.openxmlformats.org/officeDocument/2006/docPropsVTypes">
  <Template>Normal.dotm</Template>
  <TotalTime>36</TotalTime>
  <Pages>3</Pages>
  <Words>661</Words>
  <Characters>3768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2026-07-21T10:34:00Z</dcterms:created>
  <dcterms:modified xsi:type="dcterms:W3CDTF">2026-07-21T13:17:00Z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0x010100AB7B70AAF752D0419BCC08A64B944779</vt:lpwstr>
  </property>
</Properties>
</file>