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9CAB4"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4B72250B"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75040609"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85751B" w14:paraId="6129A908" w14:textId="77777777" w:rsidTr="00E474A3">
        <w:tc>
          <w:tcPr>
            <w:tcW w:w="3681" w:type="dxa"/>
          </w:tcPr>
          <w:p w14:paraId="36688ED1"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43BB207" w14:textId="77777777" w:rsidR="0085751B" w:rsidRPr="002F7C6B"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PL/2026/03238</w:t>
            </w:r>
          </w:p>
        </w:tc>
      </w:tr>
      <w:tr w:rsidR="0085751B" w14:paraId="0AA2B03A" w14:textId="77777777" w:rsidTr="00E474A3">
        <w:tc>
          <w:tcPr>
            <w:tcW w:w="3681" w:type="dxa"/>
          </w:tcPr>
          <w:p w14:paraId="164686BA"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AAB59D9"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85751B" w14:paraId="36C6B4A2" w14:textId="77777777" w:rsidTr="00E474A3">
        <w:tc>
          <w:tcPr>
            <w:tcW w:w="3681" w:type="dxa"/>
          </w:tcPr>
          <w:p w14:paraId="1E4F651C"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6E693F3"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4, The Parade, Marlborough, SN8 1NE</w:t>
            </w:r>
          </w:p>
        </w:tc>
      </w:tr>
      <w:tr w:rsidR="0085751B" w14:paraId="3253CCF1" w14:textId="77777777" w:rsidTr="00E474A3">
        <w:tc>
          <w:tcPr>
            <w:tcW w:w="3681" w:type="dxa"/>
          </w:tcPr>
          <w:p w14:paraId="000C7F26"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 OF WORKS</w:t>
            </w:r>
            <w:r w:rsidRPr="00F7609E">
              <w:rPr>
                <w:rFonts w:ascii="Arial" w:eastAsia="Times New Roman" w:hAnsi="Arial" w:cs="Arial"/>
                <w:b/>
                <w:bCs/>
                <w:kern w:val="0"/>
                <w:sz w:val="22"/>
                <w:szCs w:val="22"/>
                <w:lang w:eastAsia="en-GB"/>
                <w14:ligatures w14:val="none"/>
              </w:rPr>
              <w:t>:</w:t>
            </w:r>
          </w:p>
        </w:tc>
        <w:tc>
          <w:tcPr>
            <w:tcW w:w="5335" w:type="dxa"/>
          </w:tcPr>
          <w:p w14:paraId="7A76958A"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Proposed replacement advertising signage to existing restaurant, with associated external alterations.</w:t>
            </w:r>
          </w:p>
        </w:tc>
      </w:tr>
      <w:tr w:rsidR="0085751B" w14:paraId="227923C9" w14:textId="77777777" w:rsidTr="00E474A3">
        <w:tc>
          <w:tcPr>
            <w:tcW w:w="3681" w:type="dxa"/>
          </w:tcPr>
          <w:p w14:paraId="53E9F9C3"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21FA13B" w14:textId="77777777" w:rsidR="0085751B" w:rsidRPr="009F2ED4" w:rsidRDefault="0085751B" w:rsidP="00E474A3">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1C5E9736"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3DBA724"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4CA7F694"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602B9F91" w14:textId="750C1774" w:rsidR="00AB1C3F" w:rsidRPr="00AB1C3F" w:rsidRDefault="00AB1C3F" w:rsidP="00AB1C3F">
      <w:pPr>
        <w:spacing w:after="0" w:line="276" w:lineRule="auto"/>
        <w:jc w:val="both"/>
        <w:rPr>
          <w:rFonts w:ascii="Arial" w:eastAsia="Times New Roman" w:hAnsi="Arial" w:cs="Arial"/>
          <w:kern w:val="0"/>
          <w:sz w:val="22"/>
          <w:szCs w:val="22"/>
          <w:lang w:eastAsia="en-GB"/>
          <w14:ligatures w14:val="none"/>
        </w:rPr>
      </w:pPr>
      <w:r w:rsidRPr="00AB1C3F">
        <w:rPr>
          <w:rFonts w:ascii="Arial" w:eastAsia="Times New Roman" w:hAnsi="Arial" w:cs="Arial"/>
          <w:kern w:val="0"/>
          <w:sz w:val="22"/>
          <w:szCs w:val="22"/>
          <w:lang w:eastAsia="en-GB"/>
          <w14:ligatures w14:val="none"/>
        </w:rPr>
        <w:t xml:space="preserve">The application site comprises a ground floor restaurant with residential accommodation above at 4 The Parade, Marlborough. The building forms part of a historic terrace fronting The Parade within the commercial centre of Marlborough and is designated as a Grade II listed building as part of the listing for Nos. 3 and 4 The Parade. The site is also located within the Marlborough Conservation Area. </w:t>
      </w:r>
    </w:p>
    <w:p w14:paraId="72EF58E2" w14:textId="77777777" w:rsidR="00AB1C3F" w:rsidRPr="00AB1C3F" w:rsidRDefault="00AB1C3F" w:rsidP="00AB1C3F">
      <w:pPr>
        <w:spacing w:after="0" w:line="276" w:lineRule="auto"/>
        <w:jc w:val="both"/>
        <w:rPr>
          <w:rFonts w:ascii="Arial" w:eastAsia="Times New Roman" w:hAnsi="Arial" w:cs="Arial"/>
          <w:kern w:val="0"/>
          <w:sz w:val="22"/>
          <w:szCs w:val="22"/>
          <w:lang w:eastAsia="en-GB"/>
          <w14:ligatures w14:val="none"/>
        </w:rPr>
      </w:pPr>
    </w:p>
    <w:p w14:paraId="049554AC" w14:textId="6331D8B3" w:rsidR="00AB1C3F" w:rsidRPr="00AB1C3F" w:rsidRDefault="00AB1C3F" w:rsidP="00AB1C3F">
      <w:pPr>
        <w:spacing w:after="0" w:line="276" w:lineRule="auto"/>
        <w:jc w:val="both"/>
        <w:rPr>
          <w:rFonts w:ascii="Arial" w:eastAsia="Times New Roman" w:hAnsi="Arial" w:cs="Arial"/>
          <w:kern w:val="0"/>
          <w:sz w:val="22"/>
          <w:szCs w:val="22"/>
          <w:lang w:eastAsia="en-GB"/>
          <w14:ligatures w14:val="none"/>
        </w:rPr>
      </w:pPr>
      <w:r w:rsidRPr="00AB1C3F">
        <w:rPr>
          <w:rFonts w:ascii="Arial" w:eastAsia="Times New Roman" w:hAnsi="Arial" w:cs="Arial"/>
          <w:kern w:val="0"/>
          <w:sz w:val="22"/>
          <w:szCs w:val="22"/>
          <w:lang w:eastAsia="en-GB"/>
          <w14:ligatures w14:val="none"/>
        </w:rPr>
        <w:t>The building is of timber-framed construction with C16/C17 origins and later C18/early C19 alterations, comprising painted brick elevations beneath a pitched slate roof. The principal elevation incorporates a traditional commercial frontage at ground floor level with historic fabric and detailing contributing to the building's special architectural and historic interest.</w:t>
      </w:r>
    </w:p>
    <w:p w14:paraId="362F827D" w14:textId="77777777" w:rsidR="00AB1C3F" w:rsidRPr="00AB1C3F" w:rsidRDefault="00AB1C3F" w:rsidP="00AB1C3F">
      <w:pPr>
        <w:spacing w:after="0" w:line="276" w:lineRule="auto"/>
        <w:jc w:val="both"/>
        <w:rPr>
          <w:rFonts w:ascii="Arial" w:eastAsia="Times New Roman" w:hAnsi="Arial" w:cs="Arial"/>
          <w:kern w:val="0"/>
          <w:sz w:val="22"/>
          <w:szCs w:val="22"/>
          <w:lang w:eastAsia="en-GB"/>
          <w14:ligatures w14:val="none"/>
        </w:rPr>
      </w:pPr>
    </w:p>
    <w:p w14:paraId="4164E263" w14:textId="77777777" w:rsidR="00AB1C3F" w:rsidRPr="00AB1C3F" w:rsidRDefault="00AB1C3F" w:rsidP="00AB1C3F">
      <w:pPr>
        <w:spacing w:after="0" w:line="276" w:lineRule="auto"/>
        <w:jc w:val="both"/>
        <w:rPr>
          <w:rFonts w:ascii="Arial" w:eastAsia="Times New Roman" w:hAnsi="Arial" w:cs="Arial"/>
          <w:kern w:val="0"/>
          <w:sz w:val="22"/>
          <w:szCs w:val="22"/>
          <w:lang w:eastAsia="en-GB"/>
          <w14:ligatures w14:val="none"/>
        </w:rPr>
      </w:pPr>
      <w:r w:rsidRPr="00AB1C3F">
        <w:rPr>
          <w:rFonts w:ascii="Arial" w:eastAsia="Times New Roman" w:hAnsi="Arial" w:cs="Arial"/>
          <w:kern w:val="0"/>
          <w:sz w:val="22"/>
          <w:szCs w:val="22"/>
          <w:lang w:eastAsia="en-GB"/>
          <w14:ligatures w14:val="none"/>
        </w:rPr>
        <w:t>The site occupies a prominent position within a terrace of similarly historic buildings, many of which are also listed, and therefore derives significance not only from its individual architectural and historic interest but also from its contribution to the wider historic townscape and group value of The Parade.</w:t>
      </w:r>
    </w:p>
    <w:p w14:paraId="03549DB7" w14:textId="77777777" w:rsidR="00AB1C3F" w:rsidRPr="00AB1C3F" w:rsidRDefault="00AB1C3F" w:rsidP="00AB1C3F">
      <w:pPr>
        <w:spacing w:after="0" w:line="276" w:lineRule="auto"/>
        <w:jc w:val="both"/>
        <w:rPr>
          <w:rFonts w:ascii="Arial" w:eastAsia="Times New Roman" w:hAnsi="Arial" w:cs="Arial"/>
          <w:kern w:val="0"/>
          <w:sz w:val="22"/>
          <w:szCs w:val="22"/>
          <w:lang w:eastAsia="en-GB"/>
          <w14:ligatures w14:val="none"/>
        </w:rPr>
      </w:pPr>
    </w:p>
    <w:p w14:paraId="3FF63F04" w14:textId="564DD797" w:rsidR="00970F6B" w:rsidRPr="00AB1C3F" w:rsidRDefault="00970F6B" w:rsidP="00AB1C3F">
      <w:pPr>
        <w:spacing w:after="0" w:line="276" w:lineRule="auto"/>
        <w:jc w:val="both"/>
        <w:rPr>
          <w:rFonts w:ascii="Arial" w:eastAsia="Times New Roman" w:hAnsi="Arial" w:cs="Arial"/>
          <w:kern w:val="0"/>
          <w:sz w:val="22"/>
          <w:szCs w:val="22"/>
          <w:lang w:eastAsia="en-GB"/>
          <w14:ligatures w14:val="none"/>
        </w:rPr>
      </w:pPr>
      <w:r w:rsidRPr="00AB1C3F">
        <w:rPr>
          <w:rFonts w:ascii="Arial" w:eastAsia="Times New Roman" w:hAnsi="Arial" w:cs="Arial"/>
          <w:kern w:val="0"/>
          <w:sz w:val="22"/>
          <w:szCs w:val="22"/>
          <w:lang w:eastAsia="en-GB"/>
          <w14:ligatures w14:val="none"/>
        </w:rPr>
        <w:t xml:space="preserve">The list entry, for </w:t>
      </w:r>
      <w:r w:rsidR="00283A5E" w:rsidRPr="00AB1C3F">
        <w:rPr>
          <w:rFonts w:ascii="Arial" w:eastAsia="Times New Roman" w:hAnsi="Arial" w:cs="Arial"/>
          <w:kern w:val="0"/>
          <w:sz w:val="22"/>
          <w:szCs w:val="22"/>
          <w:lang w:eastAsia="en-GB"/>
          <w14:ligatures w14:val="none"/>
        </w:rPr>
        <w:t xml:space="preserve">means of </w:t>
      </w:r>
      <w:r w:rsidRPr="00AB1C3F">
        <w:rPr>
          <w:rFonts w:ascii="Arial" w:eastAsia="Times New Roman" w:hAnsi="Arial" w:cs="Arial"/>
          <w:kern w:val="0"/>
          <w:sz w:val="22"/>
          <w:szCs w:val="22"/>
          <w:lang w:eastAsia="en-GB"/>
          <w14:ligatures w14:val="none"/>
        </w:rPr>
        <w:t>identification purposes only, provides the following description</w:t>
      </w:r>
      <w:r w:rsidR="00A6406E" w:rsidRPr="00AB1C3F">
        <w:rPr>
          <w:rFonts w:ascii="Arial" w:eastAsia="Times New Roman" w:hAnsi="Arial" w:cs="Arial"/>
          <w:kern w:val="0"/>
          <w:sz w:val="22"/>
          <w:szCs w:val="22"/>
          <w:lang w:eastAsia="en-GB"/>
          <w14:ligatures w14:val="none"/>
        </w:rPr>
        <w:t>:</w:t>
      </w:r>
    </w:p>
    <w:p w14:paraId="64DC55B1" w14:textId="77777777" w:rsidR="00630588" w:rsidRPr="00AB1C3F" w:rsidRDefault="00630588" w:rsidP="00970F6B">
      <w:pPr>
        <w:spacing w:after="0" w:line="276" w:lineRule="auto"/>
        <w:jc w:val="both"/>
        <w:rPr>
          <w:rFonts w:ascii="Arial" w:eastAsia="Times New Roman" w:hAnsi="Arial" w:cs="Arial"/>
          <w:i/>
          <w:iCs/>
          <w:kern w:val="0"/>
          <w:sz w:val="22"/>
          <w:szCs w:val="22"/>
          <w:lang w:eastAsia="en-GB"/>
          <w14:ligatures w14:val="none"/>
        </w:rPr>
      </w:pPr>
    </w:p>
    <w:p w14:paraId="194B5DA3" w14:textId="449AC177" w:rsidR="00630588" w:rsidRPr="00AB1C3F" w:rsidRDefault="00AB1C3F" w:rsidP="00970F6B">
      <w:pPr>
        <w:spacing w:after="0" w:line="276" w:lineRule="auto"/>
        <w:jc w:val="both"/>
        <w:rPr>
          <w:rFonts w:ascii="Arial" w:eastAsia="Times New Roman" w:hAnsi="Arial" w:cs="Arial"/>
          <w:i/>
          <w:iCs/>
          <w:kern w:val="0"/>
          <w:sz w:val="22"/>
          <w:szCs w:val="22"/>
          <w:lang w:eastAsia="en-GB"/>
          <w14:ligatures w14:val="none"/>
        </w:rPr>
      </w:pPr>
      <w:r w:rsidRPr="00AB1C3F">
        <w:rPr>
          <w:rFonts w:ascii="Arial" w:eastAsia="Times New Roman" w:hAnsi="Arial" w:cs="Arial"/>
          <w:i/>
          <w:iCs/>
          <w:kern w:val="0"/>
          <w:sz w:val="22"/>
          <w:szCs w:val="22"/>
          <w:lang w:eastAsia="en-GB"/>
          <w14:ligatures w14:val="none"/>
        </w:rPr>
        <w:t>"C16/C17, with C18/early C19 fronts. Timber-framed. Whitewashed brick fronts. Pitched slate roofs. Gable end of No 4 hung with fish-scale tiles. 2 storeys. Probably jettied formerly. 5 sashes with glazing bars in moulded frames on 1st floor. 1 to ground floor of No 4. No 4 has 1 double door with fielded panels, and 1 modern door, both flanked by reeded pilasters and topped by blind fanlights. Modern shop fronts to rest of ground floor."</w:t>
      </w:r>
    </w:p>
    <w:p w14:paraId="22022B22" w14:textId="77777777" w:rsidR="00AB1C3F" w:rsidRPr="00970F6B" w:rsidRDefault="00AB1C3F" w:rsidP="00970F6B">
      <w:pPr>
        <w:spacing w:after="0" w:line="276" w:lineRule="auto"/>
        <w:jc w:val="both"/>
        <w:rPr>
          <w:rFonts w:ascii="Arial" w:eastAsia="Times New Roman" w:hAnsi="Arial" w:cs="Arial"/>
          <w:color w:val="FF0000"/>
          <w:kern w:val="0"/>
          <w:sz w:val="22"/>
          <w:szCs w:val="22"/>
          <w:lang w:eastAsia="en-GB"/>
          <w14:ligatures w14:val="none"/>
        </w:rPr>
      </w:pPr>
    </w:p>
    <w:p w14:paraId="7B540184"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60CB13D8" w14:textId="77777777" w:rsidR="00683C17" w:rsidRPr="00AB1C3F" w:rsidRDefault="00683C17" w:rsidP="00683C17">
      <w:pPr>
        <w:spacing w:after="0" w:line="276" w:lineRule="auto"/>
        <w:jc w:val="both"/>
        <w:rPr>
          <w:rFonts w:ascii="Arial" w:eastAsia="Times New Roman" w:hAnsi="Arial" w:cs="Arial"/>
          <w:kern w:val="0"/>
          <w:sz w:val="22"/>
          <w:szCs w:val="22"/>
          <w:lang w:eastAsia="en-GB"/>
          <w14:ligatures w14:val="none"/>
        </w:rPr>
      </w:pPr>
    </w:p>
    <w:p w14:paraId="7E7B53C9" w14:textId="427113C6" w:rsidR="00AB1C3F" w:rsidRDefault="00AB1C3F" w:rsidP="00AB1C3F">
      <w:pPr>
        <w:spacing w:after="0" w:line="276" w:lineRule="auto"/>
        <w:jc w:val="both"/>
        <w:outlineLvl w:val="2"/>
        <w:rPr>
          <w:rFonts w:ascii="Arial" w:eastAsia="Times New Roman" w:hAnsi="Arial" w:cs="Arial"/>
          <w:kern w:val="0"/>
          <w:sz w:val="22"/>
          <w:szCs w:val="22"/>
          <w:lang w:eastAsia="en-GB"/>
          <w14:ligatures w14:val="none"/>
        </w:rPr>
      </w:pPr>
      <w:r w:rsidRPr="00AB1C3F">
        <w:rPr>
          <w:rFonts w:ascii="Arial" w:eastAsia="Times New Roman" w:hAnsi="Arial" w:cs="Arial"/>
          <w:kern w:val="0"/>
          <w:sz w:val="22"/>
          <w:szCs w:val="22"/>
          <w:lang w:eastAsia="en-GB"/>
          <w14:ligatures w14:val="none"/>
        </w:rPr>
        <w:t xml:space="preserve">Listed Building Consent is sought for external alterations to the frontage of 4 The Parade, Marlborough, comprising the replacement of the existing fascia signage together with associated repair and redecoration works to the building exterior. </w:t>
      </w:r>
    </w:p>
    <w:p w14:paraId="1E7C9878" w14:textId="77777777" w:rsidR="00AB1C3F" w:rsidRPr="00AB1C3F" w:rsidRDefault="00AB1C3F" w:rsidP="00AB1C3F">
      <w:pPr>
        <w:spacing w:after="0" w:line="276" w:lineRule="auto"/>
        <w:jc w:val="both"/>
        <w:outlineLvl w:val="2"/>
        <w:rPr>
          <w:rFonts w:ascii="Arial" w:eastAsia="Times New Roman" w:hAnsi="Arial" w:cs="Arial"/>
          <w:kern w:val="0"/>
          <w:sz w:val="22"/>
          <w:szCs w:val="22"/>
          <w:lang w:eastAsia="en-GB"/>
          <w14:ligatures w14:val="none"/>
        </w:rPr>
      </w:pPr>
    </w:p>
    <w:p w14:paraId="5C4A48EB" w14:textId="2CF203EB" w:rsidR="00AB1C3F" w:rsidRDefault="00AB1C3F" w:rsidP="00AB1C3F">
      <w:pPr>
        <w:spacing w:after="0" w:line="276" w:lineRule="auto"/>
        <w:jc w:val="both"/>
        <w:outlineLvl w:val="2"/>
        <w:rPr>
          <w:rFonts w:ascii="Arial" w:eastAsia="Times New Roman" w:hAnsi="Arial" w:cs="Arial"/>
          <w:kern w:val="0"/>
          <w:sz w:val="22"/>
          <w:szCs w:val="22"/>
          <w:lang w:eastAsia="en-GB"/>
          <w14:ligatures w14:val="none"/>
        </w:rPr>
      </w:pPr>
      <w:r w:rsidRPr="00AB1C3F">
        <w:rPr>
          <w:rFonts w:ascii="Arial" w:eastAsia="Times New Roman" w:hAnsi="Arial" w:cs="Arial"/>
          <w:kern w:val="0"/>
          <w:sz w:val="22"/>
          <w:szCs w:val="22"/>
          <w:lang w:eastAsia="en-GB"/>
          <w14:ligatures w14:val="none"/>
        </w:rPr>
        <w:t xml:space="preserve">The proposals include the removal of the existing timber fascia sign and its replacement with a new timber fascia sign of the same overall size and position, featuring painted lettering reflecting the current restaurant branding. The sign would be externally illuminated by lighting fixed above the fascia. </w:t>
      </w:r>
    </w:p>
    <w:p w14:paraId="4FAE83E9" w14:textId="77777777" w:rsidR="00AB1C3F" w:rsidRPr="00AB1C3F" w:rsidRDefault="00AB1C3F" w:rsidP="00AB1C3F">
      <w:pPr>
        <w:spacing w:after="0" w:line="276" w:lineRule="auto"/>
        <w:jc w:val="both"/>
        <w:outlineLvl w:val="2"/>
        <w:rPr>
          <w:rFonts w:ascii="Arial" w:eastAsia="Times New Roman" w:hAnsi="Arial" w:cs="Arial"/>
          <w:kern w:val="0"/>
          <w:sz w:val="22"/>
          <w:szCs w:val="22"/>
          <w:lang w:eastAsia="en-GB"/>
          <w14:ligatures w14:val="none"/>
        </w:rPr>
      </w:pPr>
    </w:p>
    <w:p w14:paraId="28DC45CD" w14:textId="38EE1775" w:rsidR="00AB1C3F" w:rsidRDefault="00AB1C3F" w:rsidP="00AB1C3F">
      <w:pPr>
        <w:spacing w:after="0" w:line="276" w:lineRule="auto"/>
        <w:jc w:val="both"/>
        <w:outlineLvl w:val="2"/>
        <w:rPr>
          <w:rFonts w:ascii="Arial" w:eastAsia="Times New Roman" w:hAnsi="Arial" w:cs="Arial"/>
          <w:kern w:val="0"/>
          <w:sz w:val="22"/>
          <w:szCs w:val="22"/>
          <w:lang w:eastAsia="en-GB"/>
          <w14:ligatures w14:val="none"/>
        </w:rPr>
      </w:pPr>
      <w:r w:rsidRPr="00AB1C3F">
        <w:rPr>
          <w:rFonts w:ascii="Arial" w:eastAsia="Times New Roman" w:hAnsi="Arial" w:cs="Arial"/>
          <w:kern w:val="0"/>
          <w:sz w:val="22"/>
          <w:szCs w:val="22"/>
          <w:lang w:eastAsia="en-GB"/>
          <w14:ligatures w14:val="none"/>
        </w:rPr>
        <w:t xml:space="preserve">In addition, the application proposes the repair and repainting of the existing timber windows and doors to the principal elevation. Localised repairs would be undertaken where necessary, with the existing loose paint removed and the joinery redecorated. The existing red-painted joinery would be repainted black. </w:t>
      </w:r>
    </w:p>
    <w:p w14:paraId="19C03479" w14:textId="77777777" w:rsidR="00AB1C3F" w:rsidRPr="00AB1C3F" w:rsidRDefault="00AB1C3F" w:rsidP="00AB1C3F">
      <w:pPr>
        <w:spacing w:after="0" w:line="276" w:lineRule="auto"/>
        <w:jc w:val="both"/>
        <w:outlineLvl w:val="2"/>
        <w:rPr>
          <w:rFonts w:ascii="Arial" w:eastAsia="Times New Roman" w:hAnsi="Arial" w:cs="Arial"/>
          <w:kern w:val="0"/>
          <w:sz w:val="22"/>
          <w:szCs w:val="22"/>
          <w:lang w:eastAsia="en-GB"/>
          <w14:ligatures w14:val="none"/>
        </w:rPr>
      </w:pPr>
    </w:p>
    <w:p w14:paraId="4F11B489" w14:textId="7DA9BF46" w:rsidR="00683C17" w:rsidRDefault="00AB1C3F" w:rsidP="00AB1C3F">
      <w:pPr>
        <w:spacing w:after="0" w:line="276" w:lineRule="auto"/>
        <w:jc w:val="both"/>
        <w:outlineLvl w:val="2"/>
        <w:rPr>
          <w:rFonts w:ascii="Arial" w:eastAsia="Times New Roman" w:hAnsi="Arial" w:cs="Arial"/>
          <w:kern w:val="0"/>
          <w:sz w:val="22"/>
          <w:szCs w:val="22"/>
          <w:lang w:eastAsia="en-GB"/>
          <w14:ligatures w14:val="none"/>
        </w:rPr>
      </w:pPr>
      <w:r w:rsidRPr="00AB1C3F">
        <w:rPr>
          <w:rFonts w:ascii="Arial" w:eastAsia="Times New Roman" w:hAnsi="Arial" w:cs="Arial"/>
          <w:kern w:val="0"/>
          <w:sz w:val="22"/>
          <w:szCs w:val="22"/>
          <w:lang w:eastAsia="en-GB"/>
          <w14:ligatures w14:val="none"/>
        </w:rPr>
        <w:t xml:space="preserve">The application also includes the removal of the existing painted finish from the front brick elevation and its replacement with a breathable paint system. The submitted information states that the existing paint would be carefully removed by hand before the application of a breathable primer and masonry paint intended to improve the breathability of the building fabric. </w:t>
      </w:r>
    </w:p>
    <w:p w14:paraId="6C435B7F" w14:textId="77777777" w:rsidR="00AB1C3F" w:rsidRPr="00AB1C3F" w:rsidRDefault="00AB1C3F" w:rsidP="00AB1C3F">
      <w:pPr>
        <w:spacing w:after="0" w:line="276" w:lineRule="auto"/>
        <w:jc w:val="both"/>
        <w:outlineLvl w:val="2"/>
        <w:rPr>
          <w:rFonts w:ascii="Arial" w:eastAsia="Times New Roman" w:hAnsi="Arial" w:cs="Arial"/>
          <w:kern w:val="0"/>
          <w:sz w:val="22"/>
          <w:szCs w:val="22"/>
          <w:lang w:eastAsia="en-GB"/>
          <w14:ligatures w14:val="none"/>
        </w:rPr>
      </w:pPr>
    </w:p>
    <w:p w14:paraId="7547D68A"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5FFE661D"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7C8AD239" w14:textId="1B501955" w:rsidR="002941BD" w:rsidRPr="00AB1C3F" w:rsidRDefault="00AB1C3F" w:rsidP="00683C17">
      <w:pPr>
        <w:spacing w:after="0" w:line="276" w:lineRule="auto"/>
        <w:jc w:val="both"/>
        <w:rPr>
          <w:rFonts w:ascii="Arial" w:eastAsia="Times New Roman" w:hAnsi="Arial" w:cs="Arial"/>
          <w:kern w:val="0"/>
          <w:sz w:val="22"/>
          <w:szCs w:val="22"/>
          <w:lang w:eastAsia="en-GB"/>
          <w14:ligatures w14:val="none"/>
        </w:rPr>
      </w:pPr>
      <w:r w:rsidRPr="00AB1C3F">
        <w:rPr>
          <w:rFonts w:ascii="Arial" w:eastAsia="Times New Roman" w:hAnsi="Arial" w:cs="Arial"/>
          <w:kern w:val="0"/>
          <w:sz w:val="22"/>
          <w:szCs w:val="22"/>
          <w:lang w:eastAsia="en-GB"/>
          <w14:ligatures w14:val="none"/>
        </w:rPr>
        <w:t>There are a number of applications within the planning history relating to alterations and refurbishment works at the premises. However, none are considered of particular relevance to the assessment of the current advertisement consent application.</w:t>
      </w:r>
    </w:p>
    <w:p w14:paraId="74AFCE9D"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7964B42" w14:textId="78D75D1E"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7BD1DDF1"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3D3C64E1"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50F6EF2B"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2C421FE3"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7FCE0414"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1D7F7173"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0" w:name="_Hlk192696406"/>
      <w:r w:rsidRPr="00496BFD">
        <w:rPr>
          <w:rFonts w:ascii="Arial" w:hAnsi="Arial" w:cs="Arial"/>
          <w:sz w:val="22"/>
          <w:szCs w:val="22"/>
          <w:u w:val="single"/>
          <w:lang w:eastAsia="en-GB"/>
        </w:rPr>
        <w:t>National Policy and Guidance</w:t>
      </w:r>
    </w:p>
    <w:bookmarkEnd w:id="0"/>
    <w:p w14:paraId="3D2FF7C2"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7440A30B" w14:textId="77777777" w:rsidR="00507FCF" w:rsidRPr="00507FCF" w:rsidRDefault="00507FCF" w:rsidP="00507FCF">
      <w:pPr>
        <w:autoSpaceDE w:val="0"/>
        <w:autoSpaceDN w:val="0"/>
        <w:spacing w:after="0" w:line="276" w:lineRule="auto"/>
        <w:jc w:val="both"/>
        <w:rPr>
          <w:rFonts w:ascii="Arial" w:hAnsi="Arial" w:cs="Arial"/>
          <w:sz w:val="22"/>
          <w:szCs w:val="22"/>
        </w:rPr>
      </w:pPr>
    </w:p>
    <w:p w14:paraId="6EBBC777"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34E024C8" w14:textId="77777777" w:rsidR="00507FCF" w:rsidRPr="00507FCF" w:rsidRDefault="00507FCF" w:rsidP="00507FCF">
      <w:pPr>
        <w:autoSpaceDE w:val="0"/>
        <w:autoSpaceDN w:val="0"/>
        <w:spacing w:after="0" w:line="276" w:lineRule="auto"/>
        <w:jc w:val="both"/>
        <w:rPr>
          <w:rFonts w:ascii="Arial" w:hAnsi="Arial" w:cs="Arial"/>
          <w:sz w:val="22"/>
          <w:szCs w:val="22"/>
        </w:rPr>
      </w:pPr>
    </w:p>
    <w:p w14:paraId="15EFCC93"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68D52EF3" w14:textId="77777777" w:rsidR="00507FCF" w:rsidRPr="00507FCF" w:rsidRDefault="00507FCF" w:rsidP="00507FCF">
      <w:pPr>
        <w:autoSpaceDE w:val="0"/>
        <w:autoSpaceDN w:val="0"/>
        <w:spacing w:after="0" w:line="276" w:lineRule="auto"/>
        <w:jc w:val="both"/>
        <w:rPr>
          <w:rFonts w:ascii="Arial" w:hAnsi="Arial" w:cs="Arial"/>
          <w:sz w:val="22"/>
          <w:szCs w:val="22"/>
        </w:rPr>
      </w:pPr>
    </w:p>
    <w:p w14:paraId="55770534"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520F8F6E" w14:textId="77777777" w:rsidR="00507FCF" w:rsidRPr="00507FCF" w:rsidRDefault="00507FCF" w:rsidP="00507FCF">
      <w:pPr>
        <w:spacing w:after="0" w:line="276" w:lineRule="auto"/>
        <w:jc w:val="both"/>
        <w:rPr>
          <w:rFonts w:ascii="Arial" w:hAnsi="Arial" w:cs="Arial"/>
          <w:sz w:val="22"/>
          <w:szCs w:val="22"/>
          <w:lang w:eastAsia="en-GB"/>
        </w:rPr>
      </w:pPr>
    </w:p>
    <w:p w14:paraId="39FE4C3F"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6BBFEC31" w14:textId="77777777" w:rsidR="00507FCF" w:rsidRPr="00507FCF" w:rsidRDefault="00507FCF" w:rsidP="00507FCF">
      <w:pPr>
        <w:spacing w:after="0" w:line="276" w:lineRule="auto"/>
        <w:jc w:val="both"/>
        <w:rPr>
          <w:rFonts w:ascii="Arial" w:hAnsi="Arial" w:cs="Arial"/>
          <w:sz w:val="22"/>
          <w:szCs w:val="22"/>
          <w:lang w:eastAsia="en-GB"/>
        </w:rPr>
      </w:pPr>
    </w:p>
    <w:p w14:paraId="27CD34AE" w14:textId="7451D971" w:rsidR="00AB1C3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lastRenderedPageBreak/>
        <w:t xml:space="preserve">Historic England’s publication ‘Traditional Windows – Their Care, Repair and Upgrading (2017)’ </w:t>
      </w:r>
      <w:r w:rsidRPr="00507FCF">
        <w:rPr>
          <w:rFonts w:ascii="Arial" w:hAnsi="Arial" w:cs="Arial"/>
          <w:sz w:val="22"/>
          <w:szCs w:val="22"/>
          <w:lang w:eastAsia="en-GB"/>
        </w:rPr>
        <w:t xml:space="preserve">encourages the retention of windows that contribute to the significance of listed buildings but sets </w:t>
      </w:r>
      <w:r w:rsidR="00AB1C3F">
        <w:rPr>
          <w:rFonts w:ascii="Arial" w:hAnsi="Arial" w:cs="Arial"/>
          <w:sz w:val="22"/>
          <w:szCs w:val="22"/>
          <w:lang w:eastAsia="en-GB"/>
        </w:rPr>
        <w:t xml:space="preserve"> </w:t>
      </w:r>
      <w:r w:rsidRPr="00507FCF">
        <w:rPr>
          <w:rFonts w:ascii="Arial" w:hAnsi="Arial" w:cs="Arial"/>
          <w:sz w:val="22"/>
          <w:szCs w:val="22"/>
          <w:lang w:eastAsia="en-GB"/>
        </w:rPr>
        <w:t xml:space="preserve"> out their approach to the alteration/replacement of windows where this is acceptable in principle</w:t>
      </w:r>
      <w:r w:rsidR="00AB1C3F">
        <w:rPr>
          <w:rFonts w:ascii="Arial" w:hAnsi="Arial" w:cs="Arial"/>
          <w:sz w:val="22"/>
          <w:szCs w:val="22"/>
          <w:lang w:eastAsia="en-GB"/>
        </w:rPr>
        <w:t xml:space="preserve">. </w:t>
      </w:r>
    </w:p>
    <w:p w14:paraId="70CCC25E" w14:textId="030FBCD7" w:rsidR="00683C17" w:rsidRPr="00AB1C3F" w:rsidRDefault="00507FCF" w:rsidP="00683C17">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7A4996DE"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742DB343"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184311D8" w14:textId="77777777" w:rsidR="00384CE5" w:rsidRPr="00C84F43" w:rsidRDefault="00384CE5" w:rsidP="00465B83">
      <w:pPr>
        <w:spacing w:after="0" w:line="276" w:lineRule="auto"/>
        <w:jc w:val="both"/>
        <w:rPr>
          <w:rFonts w:ascii="Arial" w:hAnsi="Arial" w:cs="Arial"/>
          <w:iCs/>
          <w:sz w:val="22"/>
          <w:szCs w:val="22"/>
        </w:rPr>
      </w:pPr>
    </w:p>
    <w:p w14:paraId="601052B9"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 xml:space="preserve">Core </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6D427971" w14:textId="77777777" w:rsidR="00465B83" w:rsidRPr="00465B83" w:rsidRDefault="00465B83" w:rsidP="00FC44D1">
      <w:pPr>
        <w:spacing w:after="0" w:line="276" w:lineRule="auto"/>
        <w:jc w:val="both"/>
        <w:rPr>
          <w:rFonts w:ascii="Arial" w:hAnsi="Arial" w:cs="Arial"/>
          <w:iCs/>
          <w:sz w:val="22"/>
          <w:szCs w:val="22"/>
        </w:rPr>
      </w:pPr>
    </w:p>
    <w:p w14:paraId="2A39D605"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07D43BF0"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740C098D"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0CD75C3D" w14:textId="77777777" w:rsidR="0062089F" w:rsidRDefault="0062089F" w:rsidP="00CD3444">
      <w:pPr>
        <w:spacing w:after="0" w:line="276" w:lineRule="auto"/>
        <w:jc w:val="both"/>
        <w:rPr>
          <w:rFonts w:ascii="Arial" w:hAnsi="Arial" w:cs="Arial"/>
          <w:bCs/>
          <w:color w:val="000000"/>
        </w:rPr>
      </w:pPr>
    </w:p>
    <w:p w14:paraId="3CFA46EF"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68801032"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3FA320C"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005EAEB6"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D5DADBC" w14:textId="77777777" w:rsidR="00AB1C3F" w:rsidRPr="0032037D" w:rsidRDefault="00AB1C3F" w:rsidP="00AB1C3F">
      <w:pPr>
        <w:spacing w:line="276" w:lineRule="auto"/>
        <w:jc w:val="both"/>
        <w:rPr>
          <w:rFonts w:ascii="Arial" w:hAnsi="Arial" w:cs="Arial"/>
          <w:sz w:val="22"/>
          <w:szCs w:val="22"/>
          <w:u w:val="single"/>
        </w:rPr>
      </w:pPr>
      <w:r w:rsidRPr="002B01E4">
        <w:rPr>
          <w:rFonts w:ascii="Arial" w:hAnsi="Arial" w:cs="Arial"/>
          <w:sz w:val="22"/>
          <w:szCs w:val="22"/>
          <w:u w:val="single"/>
        </w:rPr>
        <w:t xml:space="preserve">Marlborough Town </w:t>
      </w:r>
      <w:r w:rsidRPr="0032037D">
        <w:rPr>
          <w:rFonts w:ascii="Arial" w:hAnsi="Arial" w:cs="Arial"/>
          <w:sz w:val="22"/>
          <w:szCs w:val="22"/>
          <w:u w:val="single"/>
        </w:rPr>
        <w:t>Council:</w:t>
      </w:r>
      <w:r w:rsidRPr="004E6138">
        <w:rPr>
          <w:rFonts w:ascii="Arial" w:hAnsi="Arial" w:cs="Arial"/>
          <w:sz w:val="22"/>
          <w:szCs w:val="22"/>
        </w:rPr>
        <w:t xml:space="preserve"> No objection. </w:t>
      </w:r>
    </w:p>
    <w:p w14:paraId="6815C6C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2BBBEB41" w14:textId="35415D0E" w:rsidR="00F760B5" w:rsidRPr="00F760B5" w:rsidRDefault="00F760B5" w:rsidP="00F760B5">
      <w:pPr>
        <w:spacing w:after="0" w:line="276" w:lineRule="auto"/>
        <w:jc w:val="both"/>
        <w:rPr>
          <w:rFonts w:ascii="Arial" w:eastAsia="Times New Roman" w:hAnsi="Arial" w:cs="Arial"/>
          <w:kern w:val="0"/>
          <w:sz w:val="22"/>
          <w:szCs w:val="22"/>
          <w:lang w:eastAsia="en-GB"/>
          <w14:ligatures w14:val="none"/>
        </w:rPr>
      </w:pPr>
      <w:r w:rsidRPr="00F760B5">
        <w:rPr>
          <w:rFonts w:ascii="Arial" w:eastAsia="Times New Roman" w:hAnsi="Arial" w:cs="Arial"/>
          <w:kern w:val="0"/>
          <w:sz w:val="22"/>
          <w:szCs w:val="22"/>
          <w:u w:val="single"/>
          <w:lang w:eastAsia="en-GB"/>
          <w14:ligatures w14:val="none"/>
        </w:rPr>
        <w:t>Wiltshire Council’s Conservation Officer:</w:t>
      </w:r>
      <w:r w:rsidRPr="00F760B5">
        <w:rPr>
          <w:rFonts w:ascii="Arial" w:eastAsia="Times New Roman" w:hAnsi="Arial" w:cs="Arial"/>
          <w:kern w:val="0"/>
          <w:sz w:val="22"/>
          <w:szCs w:val="22"/>
          <w:lang w:eastAsia="en-GB"/>
          <w14:ligatures w14:val="none"/>
        </w:rPr>
        <w:t xml:space="preserve"> </w:t>
      </w:r>
      <w:r w:rsidRPr="00F760B5">
        <w:rPr>
          <w:rFonts w:ascii="Arial" w:eastAsia="Times New Roman" w:hAnsi="Arial" w:cs="Arial"/>
          <w:kern w:val="0"/>
          <w:sz w:val="22"/>
          <w:szCs w:val="22"/>
          <w:lang w:eastAsia="en-GB"/>
          <w14:ligatures w14:val="none"/>
        </w:rPr>
        <w:t>The Conservation Officer advises that the application site is a Grade II listed building within the Marlborough Conservation Area and forms part of an important historic terrace along The Parade. No objection is raised to the principle of the proposed replacement fascia signage, repair and repainting of the existing joinery, or the removal of existing paint from the brickwork and its replacement with a breathable paint system.</w:t>
      </w:r>
    </w:p>
    <w:p w14:paraId="1C9C43BD" w14:textId="77777777" w:rsidR="00F760B5" w:rsidRPr="00F760B5" w:rsidRDefault="00F760B5" w:rsidP="00F760B5">
      <w:pPr>
        <w:spacing w:after="0" w:line="276" w:lineRule="auto"/>
        <w:jc w:val="both"/>
        <w:rPr>
          <w:rFonts w:ascii="Arial" w:eastAsia="Times New Roman" w:hAnsi="Arial" w:cs="Arial"/>
          <w:kern w:val="0"/>
          <w:sz w:val="22"/>
          <w:szCs w:val="22"/>
          <w:lang w:eastAsia="en-GB"/>
          <w14:ligatures w14:val="none"/>
        </w:rPr>
      </w:pPr>
    </w:p>
    <w:p w14:paraId="633CF673" w14:textId="77777777" w:rsidR="00F760B5" w:rsidRPr="00F760B5" w:rsidRDefault="00F760B5" w:rsidP="00F760B5">
      <w:pPr>
        <w:spacing w:after="0" w:line="276" w:lineRule="auto"/>
        <w:jc w:val="both"/>
        <w:rPr>
          <w:rFonts w:ascii="Arial" w:eastAsia="Times New Roman" w:hAnsi="Arial" w:cs="Arial"/>
          <w:kern w:val="0"/>
          <w:sz w:val="22"/>
          <w:szCs w:val="22"/>
          <w:lang w:eastAsia="en-GB"/>
          <w14:ligatures w14:val="none"/>
        </w:rPr>
      </w:pPr>
      <w:r w:rsidRPr="00F760B5">
        <w:rPr>
          <w:rFonts w:ascii="Arial" w:eastAsia="Times New Roman" w:hAnsi="Arial" w:cs="Arial"/>
          <w:kern w:val="0"/>
          <w:sz w:val="22"/>
          <w:szCs w:val="22"/>
          <w:lang w:eastAsia="en-GB"/>
          <w14:ligatures w14:val="none"/>
        </w:rPr>
        <w:t>Concerns are raised regarding inconsistencies within the submitted lighting details, with the plans indicating a trough light whilst the submitted visualisation shows two individual downlights. The Conservation Officer advises that a trough light would be an inappropriate form of illumination on a traditional listed building frontage, whereas individual downlights may be acceptable.</w:t>
      </w:r>
    </w:p>
    <w:p w14:paraId="61C290D9" w14:textId="77777777" w:rsidR="00F760B5" w:rsidRPr="00F760B5" w:rsidRDefault="00F760B5" w:rsidP="00F760B5">
      <w:pPr>
        <w:spacing w:after="0" w:line="276" w:lineRule="auto"/>
        <w:jc w:val="both"/>
        <w:rPr>
          <w:rFonts w:ascii="Arial" w:eastAsia="Times New Roman" w:hAnsi="Arial" w:cs="Arial"/>
          <w:kern w:val="0"/>
          <w:sz w:val="22"/>
          <w:szCs w:val="22"/>
          <w:lang w:eastAsia="en-GB"/>
          <w14:ligatures w14:val="none"/>
        </w:rPr>
      </w:pPr>
    </w:p>
    <w:p w14:paraId="34C791D0" w14:textId="77777777" w:rsidR="00F760B5" w:rsidRPr="00F760B5" w:rsidRDefault="00F760B5" w:rsidP="00F760B5">
      <w:pPr>
        <w:spacing w:after="0" w:line="276" w:lineRule="auto"/>
        <w:jc w:val="both"/>
        <w:rPr>
          <w:rFonts w:ascii="Arial" w:eastAsia="Times New Roman" w:hAnsi="Arial" w:cs="Arial"/>
          <w:kern w:val="0"/>
          <w:sz w:val="22"/>
          <w:szCs w:val="22"/>
          <w:lang w:eastAsia="en-GB"/>
          <w14:ligatures w14:val="none"/>
        </w:rPr>
      </w:pPr>
      <w:r w:rsidRPr="00F760B5">
        <w:rPr>
          <w:rFonts w:ascii="Arial" w:eastAsia="Times New Roman" w:hAnsi="Arial" w:cs="Arial"/>
          <w:kern w:val="0"/>
          <w:sz w:val="22"/>
          <w:szCs w:val="22"/>
          <w:lang w:eastAsia="en-GB"/>
          <w14:ligatures w14:val="none"/>
        </w:rPr>
        <w:t>In respect of the proposed paint removal, whilst the principle is supported, it is considered that insufficient information has been submitted regarding the methodology and potential impacts on the historic fabric. The Conservation Officer recommends that a detailed method statement and sample panel of paint removal be secured by condition.</w:t>
      </w:r>
    </w:p>
    <w:p w14:paraId="11D312AB" w14:textId="77777777" w:rsidR="00F760B5" w:rsidRPr="00F760B5" w:rsidRDefault="00F760B5" w:rsidP="00F760B5">
      <w:pPr>
        <w:spacing w:after="0" w:line="276" w:lineRule="auto"/>
        <w:jc w:val="both"/>
        <w:rPr>
          <w:rFonts w:ascii="Arial" w:eastAsia="Times New Roman" w:hAnsi="Arial" w:cs="Arial"/>
          <w:kern w:val="0"/>
          <w:sz w:val="22"/>
          <w:szCs w:val="22"/>
          <w:lang w:eastAsia="en-GB"/>
          <w14:ligatures w14:val="none"/>
        </w:rPr>
      </w:pPr>
    </w:p>
    <w:p w14:paraId="07C8F270" w14:textId="6731B1F3" w:rsidR="00AB1C3F" w:rsidRPr="00F760B5" w:rsidRDefault="00F760B5" w:rsidP="00F760B5">
      <w:pPr>
        <w:spacing w:after="0" w:line="276" w:lineRule="auto"/>
        <w:jc w:val="both"/>
        <w:rPr>
          <w:rFonts w:ascii="Arial" w:eastAsia="Times New Roman" w:hAnsi="Arial" w:cs="Arial"/>
          <w:kern w:val="0"/>
          <w:sz w:val="22"/>
          <w:szCs w:val="22"/>
          <w:lang w:eastAsia="en-GB"/>
          <w14:ligatures w14:val="none"/>
        </w:rPr>
      </w:pPr>
      <w:r w:rsidRPr="00F760B5">
        <w:rPr>
          <w:rFonts w:ascii="Arial" w:eastAsia="Times New Roman" w:hAnsi="Arial" w:cs="Arial"/>
          <w:kern w:val="0"/>
          <w:sz w:val="22"/>
          <w:szCs w:val="22"/>
          <w:lang w:eastAsia="en-GB"/>
          <w14:ligatures w14:val="none"/>
        </w:rPr>
        <w:t>Subject to these matters being addressed by condition, there is general support for the proposals.</w:t>
      </w:r>
    </w:p>
    <w:p w14:paraId="6CB23099" w14:textId="77777777" w:rsidR="00F760B5" w:rsidRDefault="00F760B5" w:rsidP="00F760B5">
      <w:pPr>
        <w:spacing w:after="0" w:line="276" w:lineRule="auto"/>
        <w:jc w:val="both"/>
        <w:rPr>
          <w:rFonts w:ascii="Arial" w:eastAsia="Times New Roman" w:hAnsi="Arial" w:cs="Arial"/>
          <w:b/>
          <w:bCs/>
          <w:color w:val="FF0000"/>
          <w:kern w:val="0"/>
          <w:sz w:val="22"/>
          <w:szCs w:val="22"/>
          <w:lang w:eastAsia="en-GB"/>
          <w14:ligatures w14:val="none"/>
        </w:rPr>
      </w:pPr>
    </w:p>
    <w:p w14:paraId="26782859" w14:textId="4F7A2436"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r w:rsidR="0052282C" w:rsidRPr="0052282C">
        <w:rPr>
          <w:rFonts w:ascii="Arial" w:eastAsia="Times New Roman" w:hAnsi="Arial" w:cs="Arial"/>
          <w:color w:val="FF0000"/>
          <w:kern w:val="0"/>
          <w:sz w:val="22"/>
          <w:szCs w:val="22"/>
          <w:lang w:eastAsia="en-GB"/>
          <w14:ligatures w14:val="none"/>
        </w:rPr>
        <w:t xml:space="preserve"> </w:t>
      </w:r>
    </w:p>
    <w:p w14:paraId="4E3F5ABA" w14:textId="77777777" w:rsidR="00B030C6" w:rsidRPr="00475AA8" w:rsidRDefault="00B030C6" w:rsidP="00E03DF5">
      <w:pPr>
        <w:spacing w:after="0" w:line="276" w:lineRule="auto"/>
        <w:jc w:val="both"/>
        <w:rPr>
          <w:rFonts w:ascii="Arial" w:eastAsia="Arial" w:hAnsi="Arial" w:cs="Arial"/>
          <w:color w:val="ED0000"/>
          <w:sz w:val="22"/>
          <w:szCs w:val="22"/>
        </w:rPr>
      </w:pPr>
    </w:p>
    <w:p w14:paraId="6F886051"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lastRenderedPageBreak/>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5DE3FFF5" w14:textId="77777777" w:rsidR="00E03DF5" w:rsidRPr="00E03DF5" w:rsidRDefault="00E03DF5" w:rsidP="00E03DF5">
      <w:pPr>
        <w:spacing w:after="0" w:line="276" w:lineRule="auto"/>
        <w:jc w:val="both"/>
        <w:rPr>
          <w:rFonts w:ascii="Arial" w:eastAsia="Arial" w:hAnsi="Arial" w:cs="Arial"/>
          <w:sz w:val="22"/>
          <w:szCs w:val="22"/>
        </w:rPr>
      </w:pPr>
    </w:p>
    <w:p w14:paraId="0EDF2FA6"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2333BE63"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131B8F98" w14:textId="77777777" w:rsidR="00E03DF5" w:rsidRDefault="00E03DF5" w:rsidP="00E03DF5">
      <w:pPr>
        <w:spacing w:after="0" w:line="276" w:lineRule="auto"/>
        <w:jc w:val="both"/>
        <w:rPr>
          <w:rFonts w:ascii="Arial" w:eastAsia="Arial" w:hAnsi="Arial" w:cs="Arial"/>
          <w:sz w:val="22"/>
          <w:szCs w:val="22"/>
        </w:rPr>
      </w:pPr>
    </w:p>
    <w:p w14:paraId="23607377"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463A6D61" w14:textId="77777777" w:rsidR="00D902FA" w:rsidRDefault="00D902FA" w:rsidP="77C81A16">
      <w:pPr>
        <w:spacing w:after="0" w:line="276" w:lineRule="auto"/>
        <w:jc w:val="both"/>
      </w:pPr>
    </w:p>
    <w:p w14:paraId="4A82F136" w14:textId="0D15276B" w:rsidR="00475AA8" w:rsidRDefault="00F760B5" w:rsidP="00D902FA">
      <w:pPr>
        <w:spacing w:after="0" w:line="276" w:lineRule="auto"/>
        <w:jc w:val="both"/>
        <w:rPr>
          <w:rFonts w:ascii="Arial" w:eastAsia="Arial" w:hAnsi="Arial" w:cs="Arial"/>
          <w:sz w:val="22"/>
          <w:szCs w:val="22"/>
        </w:rPr>
      </w:pPr>
      <w:r>
        <w:rPr>
          <w:rFonts w:ascii="Arial" w:eastAsia="Arial" w:hAnsi="Arial" w:cs="Arial"/>
          <w:sz w:val="22"/>
          <w:szCs w:val="22"/>
        </w:rPr>
        <w:t xml:space="preserve">No comments were received. </w:t>
      </w:r>
    </w:p>
    <w:p w14:paraId="1C6C8FB1"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0BD1426F"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75EE5A96"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54162A85"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taken into account. These policies require that any harm to the significance of a designated heritage asset must be clearly justified and weighed against the public benefits of the proposal.</w:t>
      </w:r>
    </w:p>
    <w:p w14:paraId="716A1E3C"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0F16CF8C"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r w:rsidRPr="00A96182">
        <w:rPr>
          <w:rFonts w:ascii="Arial" w:eastAsia="Times New Roman" w:hAnsi="Arial" w:cs="Arial"/>
          <w:color w:val="000000"/>
          <w:kern w:val="0"/>
          <w:sz w:val="22"/>
          <w:szCs w:val="22"/>
          <w:lang w:eastAsia="en-GB"/>
          <w14:ligatures w14:val="none"/>
        </w:rPr>
        <w:t>In order to be acceptable, the application needs to be assessed against the following criteria:</w:t>
      </w:r>
    </w:p>
    <w:p w14:paraId="7924E920"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18106478"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47EAFC2D"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1CD9271D"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75567AF0" w14:textId="3BB5FF0C" w:rsidR="00F760B5" w:rsidRPr="00F760B5" w:rsidRDefault="00F760B5" w:rsidP="00F760B5">
      <w:pPr>
        <w:spacing w:after="0" w:line="276" w:lineRule="auto"/>
        <w:ind w:right="-23"/>
        <w:jc w:val="both"/>
        <w:rPr>
          <w:rFonts w:ascii="Arial" w:eastAsia="Times New Roman" w:hAnsi="Arial" w:cs="Arial"/>
          <w:kern w:val="0"/>
          <w:sz w:val="22"/>
          <w:szCs w:val="22"/>
          <w:lang w:eastAsia="en-GB"/>
          <w14:ligatures w14:val="none"/>
        </w:rPr>
      </w:pPr>
      <w:r w:rsidRPr="00F760B5">
        <w:rPr>
          <w:rFonts w:ascii="Arial" w:eastAsia="Times New Roman" w:hAnsi="Arial" w:cs="Arial"/>
          <w:kern w:val="0"/>
          <w:sz w:val="22"/>
          <w:szCs w:val="22"/>
          <w:lang w:eastAsia="en-GB"/>
          <w14:ligatures w14:val="none"/>
        </w:rPr>
        <w:t xml:space="preserve">The application is supported by a Design and Access Statement and Heritage Statement, together with existing and proposed elevation drawings and signage details. The submitted information identifies the significance of the Grade II listed building and describes the proposed replacement signage, repairs to existing external joinery and the removal and replacement of the existing painted finish to the principal elevation. </w:t>
      </w:r>
    </w:p>
    <w:p w14:paraId="1A6FAF82" w14:textId="77777777" w:rsidR="00F760B5" w:rsidRPr="00F760B5" w:rsidRDefault="00F760B5" w:rsidP="00F760B5">
      <w:pPr>
        <w:spacing w:after="0" w:line="276" w:lineRule="auto"/>
        <w:ind w:right="-23"/>
        <w:jc w:val="both"/>
        <w:rPr>
          <w:rFonts w:ascii="Arial" w:eastAsia="Times New Roman" w:hAnsi="Arial" w:cs="Arial"/>
          <w:kern w:val="0"/>
          <w:sz w:val="22"/>
          <w:szCs w:val="22"/>
          <w:lang w:eastAsia="en-GB"/>
          <w14:ligatures w14:val="none"/>
        </w:rPr>
      </w:pPr>
    </w:p>
    <w:p w14:paraId="2BAAF947" w14:textId="11B72FEB" w:rsidR="00E25A94" w:rsidRPr="00F760B5" w:rsidRDefault="00F760B5" w:rsidP="00F760B5">
      <w:pPr>
        <w:spacing w:after="0" w:line="276" w:lineRule="auto"/>
        <w:ind w:right="-23"/>
        <w:jc w:val="both"/>
        <w:rPr>
          <w:rFonts w:ascii="Arial" w:eastAsia="Times New Roman" w:hAnsi="Arial" w:cs="Arial"/>
          <w:b/>
          <w:bCs/>
          <w:kern w:val="0"/>
          <w:sz w:val="22"/>
          <w:szCs w:val="22"/>
          <w:lang w:eastAsia="en-GB"/>
          <w14:ligatures w14:val="none"/>
        </w:rPr>
      </w:pPr>
      <w:r w:rsidRPr="00F760B5">
        <w:rPr>
          <w:rFonts w:ascii="Arial" w:eastAsia="Times New Roman" w:hAnsi="Arial" w:cs="Arial"/>
          <w:kern w:val="0"/>
          <w:sz w:val="22"/>
          <w:szCs w:val="22"/>
          <w:lang w:eastAsia="en-GB"/>
          <w14:ligatures w14:val="none"/>
        </w:rPr>
        <w:t>Whilst the submitted information is sufficient to enable an assessment of the overall impact of the proposals on the significance of the listed building and its setting, the details relating to the proposed paint removal methodology and external illumination are limited. However, it is considered that these matters can be satisfactorily addressed by appropriately worded conditions requiring a detailed method statement and sample panel for paint removal, together with controls over the form of external lighting. Accordingly, sufficient information has been provided to enable the application to be determined.</w:t>
      </w:r>
    </w:p>
    <w:p w14:paraId="5929E6CB"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3787D6F5"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714E4D57"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63FA08BA"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0A2DA6CF"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lastRenderedPageBreak/>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14650182"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1F79572"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122CF941"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6262E6FD"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0744677B"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66429EEA"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24D770EB"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7813AF26"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6752AE1E" w14:textId="0288CB27" w:rsidR="00F760B5" w:rsidRDefault="00F760B5" w:rsidP="00F760B5">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r w:rsidRPr="00F760B5">
        <w:rPr>
          <w:rFonts w:ascii="Arial" w:eastAsia="Times New Roman" w:hAnsi="Arial" w:cs="Arial"/>
          <w:color w:val="000000" w:themeColor="text1"/>
          <w:kern w:val="0"/>
          <w:sz w:val="22"/>
          <w:szCs w:val="22"/>
          <w:lang w:eastAsia="en-GB"/>
          <w14:ligatures w14:val="none"/>
        </w:rPr>
        <w:t xml:space="preserve">According to the National Heritage List for England, the application property forms part of Nos. 3 and 4 The Parade, a Grade II listed building of C16/C17 origins with C18 and early C19 alterations. The building is of timber-framed construction with whitewashed brick elevations and a pitched slate roof, and retains a number of architectural features which contribute to its special architectural and historic interest. The building also forms part of a cohesive historic terrace which contributes positively to the character and appearance of the wider Marlborough Conservation Area. </w:t>
      </w:r>
    </w:p>
    <w:p w14:paraId="2109E1C8" w14:textId="77777777" w:rsidR="00F760B5" w:rsidRPr="00F760B5" w:rsidRDefault="00F760B5" w:rsidP="00F760B5">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p>
    <w:p w14:paraId="69EE97BA" w14:textId="69CB1117" w:rsidR="00F760B5" w:rsidRDefault="00F760B5" w:rsidP="00F760B5">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r w:rsidRPr="00F760B5">
        <w:rPr>
          <w:rFonts w:ascii="Arial" w:eastAsia="Times New Roman" w:hAnsi="Arial" w:cs="Arial"/>
          <w:color w:val="000000" w:themeColor="text1"/>
          <w:kern w:val="0"/>
          <w:sz w:val="22"/>
          <w:szCs w:val="22"/>
          <w:lang w:eastAsia="en-GB"/>
          <w14:ligatures w14:val="none"/>
        </w:rPr>
        <w:t xml:space="preserve">The significance of the listed building is derived principally from its evidential, historic and aesthetic value. Its evidential and historic value arises from the survival of historic fabric and its evolution over several centuries, whilst its aesthetic value is derived from its traditional form, materials, architectural detailing and contribution to the historic streetscape of The Parade. The building also possesses group value through its relationship with adjoining listed buildings and its contribution to the historic town centre. </w:t>
      </w:r>
    </w:p>
    <w:p w14:paraId="0A55D606" w14:textId="77777777" w:rsidR="00F760B5" w:rsidRPr="00F760B5" w:rsidRDefault="00F760B5" w:rsidP="00F760B5">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E60B445" w14:textId="013FAAD1" w:rsidR="00B57A45" w:rsidRDefault="00F760B5" w:rsidP="00F760B5">
      <w:pPr>
        <w:tabs>
          <w:tab w:val="left" w:pos="1035"/>
        </w:tabs>
        <w:spacing w:after="0" w:line="276" w:lineRule="auto"/>
        <w:ind w:right="-23"/>
        <w:jc w:val="both"/>
        <w:rPr>
          <w:rFonts w:ascii="Arial" w:eastAsia="Times New Roman" w:hAnsi="Arial" w:cs="Arial"/>
          <w:color w:val="000000" w:themeColor="text1"/>
          <w:kern w:val="0"/>
          <w:sz w:val="22"/>
          <w:szCs w:val="22"/>
          <w:lang w:eastAsia="en-GB"/>
          <w14:ligatures w14:val="none"/>
        </w:rPr>
      </w:pPr>
      <w:r w:rsidRPr="00F760B5">
        <w:rPr>
          <w:rFonts w:ascii="Arial" w:eastAsia="Times New Roman" w:hAnsi="Arial" w:cs="Arial"/>
          <w:color w:val="000000" w:themeColor="text1"/>
          <w:kern w:val="0"/>
          <w:sz w:val="22"/>
          <w:szCs w:val="22"/>
          <w:lang w:eastAsia="en-GB"/>
          <w14:ligatures w14:val="none"/>
        </w:rPr>
        <w:t>In the context of this application, the significance of the building is most relevant to the principal elevation and shopfront, including the historic brickwork and timber joinery which contribute to the character and appearance of the listed building. The existing fascia signage forms part of the commercial frontage of the building and contributes to the manner in which the building is experienced within its historic town centre setting. The significance of these elements is therefore a key consideration in assessing the impact of the proposed works.</w:t>
      </w:r>
    </w:p>
    <w:p w14:paraId="1AC512FB" w14:textId="77777777" w:rsidR="00F760B5" w:rsidRDefault="00F760B5" w:rsidP="00F760B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7EF070B6"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6920F86A"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30E6F5EA"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2774F211"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The significance of a heritage asset is not static; it is shaped by its architectural, historic, and communal values, and by how these are experienced in context. Therefore, any intervention must be considered in light of the asset’s identified significance, with attention given to both potential harm and benefits. Benefits may include repairs that support the long-term conservation of the building, improved energy performance, or enhanced public access and understanding.</w:t>
      </w:r>
    </w:p>
    <w:p w14:paraId="4C774AC5"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177C442E"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w:t>
      </w:r>
      <w:r w:rsidRPr="008A78F9">
        <w:rPr>
          <w:rFonts w:ascii="Arial" w:eastAsia="Times New Roman" w:hAnsi="Arial" w:cs="Arial"/>
          <w:color w:val="000000" w:themeColor="text1"/>
          <w:kern w:val="0"/>
          <w:sz w:val="22"/>
          <w:szCs w:val="22"/>
          <w:lang w:eastAsia="en-GB"/>
          <w14:ligatures w14:val="none"/>
        </w:rPr>
        <w:lastRenderedPageBreak/>
        <w:t xml:space="preserve">national policy, particularly paragraphs </w:t>
      </w:r>
      <w:r w:rsidR="009949D3">
        <w:rPr>
          <w:rFonts w:ascii="Arial" w:eastAsia="Times New Roman" w:hAnsi="Arial" w:cs="Arial"/>
          <w:color w:val="000000" w:themeColor="text1"/>
          <w:kern w:val="0"/>
          <w:sz w:val="22"/>
          <w:szCs w:val="22"/>
          <w:lang w:eastAsia="en-GB"/>
          <w14:ligatures w14:val="none"/>
        </w:rPr>
        <w:t>212-221</w:t>
      </w:r>
      <w:r w:rsidRPr="008A78F9">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4EB8EBA6" w14:textId="77777777" w:rsidR="00F760B5" w:rsidRPr="000B5BFA" w:rsidRDefault="00F760B5"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4BDAE43F" w14:textId="3ABF15DD" w:rsidR="00F760B5" w:rsidRDefault="00F760B5" w:rsidP="00F760B5">
      <w:pPr>
        <w:spacing w:after="0" w:line="276" w:lineRule="auto"/>
        <w:jc w:val="both"/>
        <w:rPr>
          <w:rFonts w:ascii="Arial" w:eastAsia="Times New Roman" w:hAnsi="Arial" w:cs="Arial"/>
          <w:color w:val="000000" w:themeColor="text1"/>
          <w:kern w:val="0"/>
          <w:sz w:val="22"/>
          <w:szCs w:val="22"/>
          <w:lang w:eastAsia="en-GB"/>
          <w14:ligatures w14:val="none"/>
        </w:rPr>
      </w:pPr>
      <w:r w:rsidRPr="00F760B5">
        <w:rPr>
          <w:rFonts w:ascii="Arial" w:eastAsia="Times New Roman" w:hAnsi="Arial" w:cs="Arial"/>
          <w:color w:val="000000" w:themeColor="text1"/>
          <w:kern w:val="0"/>
          <w:sz w:val="22"/>
          <w:szCs w:val="22"/>
          <w:lang w:eastAsia="en-GB"/>
          <w14:ligatures w14:val="none"/>
        </w:rPr>
        <w:t>The proposals comprise the replacement of the existing fascia signage, repair and repainting of the existing timber joinery, and the removal and replacement of the existing paint finish to the principal elevation. The works do not involve the loss of significant historic fabric or alterations to the building's plan form.</w:t>
      </w:r>
    </w:p>
    <w:p w14:paraId="2BB58B72" w14:textId="77777777" w:rsidR="00F760B5" w:rsidRPr="00F760B5" w:rsidRDefault="00F760B5" w:rsidP="00F760B5">
      <w:pPr>
        <w:spacing w:after="0" w:line="276" w:lineRule="auto"/>
        <w:jc w:val="both"/>
        <w:rPr>
          <w:rFonts w:ascii="Arial" w:eastAsia="Times New Roman" w:hAnsi="Arial" w:cs="Arial"/>
          <w:color w:val="000000" w:themeColor="text1"/>
          <w:kern w:val="0"/>
          <w:sz w:val="22"/>
          <w:szCs w:val="22"/>
          <w:lang w:eastAsia="en-GB"/>
          <w14:ligatures w14:val="none"/>
        </w:rPr>
      </w:pPr>
    </w:p>
    <w:p w14:paraId="277314FD" w14:textId="6EB35334" w:rsidR="00F760B5" w:rsidRDefault="00F760B5" w:rsidP="00F760B5">
      <w:pPr>
        <w:spacing w:after="0" w:line="276" w:lineRule="auto"/>
        <w:jc w:val="both"/>
        <w:rPr>
          <w:rFonts w:ascii="Arial" w:eastAsia="Times New Roman" w:hAnsi="Arial" w:cs="Arial"/>
          <w:color w:val="000000" w:themeColor="text1"/>
          <w:kern w:val="0"/>
          <w:sz w:val="22"/>
          <w:szCs w:val="22"/>
          <w:lang w:eastAsia="en-GB"/>
          <w14:ligatures w14:val="none"/>
        </w:rPr>
      </w:pPr>
      <w:r w:rsidRPr="00F760B5">
        <w:rPr>
          <w:rFonts w:ascii="Arial" w:eastAsia="Times New Roman" w:hAnsi="Arial" w:cs="Arial"/>
          <w:color w:val="000000" w:themeColor="text1"/>
          <w:kern w:val="0"/>
          <w:sz w:val="22"/>
          <w:szCs w:val="22"/>
          <w:lang w:eastAsia="en-GB"/>
          <w14:ligatures w14:val="none"/>
        </w:rPr>
        <w:t xml:space="preserve">The replacement fascia sign would occupy the existing position and would be of a comparable scale to the existing signage. The use of a painted timber fascia is considered appropriate to the character of the listed building and the historic commercial streetscape of Marlborough. Similarly, the repair and redecoration of the existing timber joinery constitutes a programme of maintenance which would assist in preserving the building's appearance and condition. </w:t>
      </w:r>
    </w:p>
    <w:p w14:paraId="3F4FC874" w14:textId="77777777" w:rsidR="00F760B5" w:rsidRPr="00F760B5" w:rsidRDefault="00F760B5" w:rsidP="00F760B5">
      <w:pPr>
        <w:spacing w:after="0" w:line="276" w:lineRule="auto"/>
        <w:jc w:val="both"/>
        <w:rPr>
          <w:rFonts w:ascii="Arial" w:eastAsia="Times New Roman" w:hAnsi="Arial" w:cs="Arial"/>
          <w:color w:val="000000" w:themeColor="text1"/>
          <w:kern w:val="0"/>
          <w:sz w:val="22"/>
          <w:szCs w:val="22"/>
          <w:lang w:eastAsia="en-GB"/>
          <w14:ligatures w14:val="none"/>
        </w:rPr>
      </w:pPr>
    </w:p>
    <w:p w14:paraId="7F079F19" w14:textId="77777777" w:rsidR="00F760B5" w:rsidRDefault="00F760B5" w:rsidP="00F760B5">
      <w:pPr>
        <w:spacing w:after="0" w:line="276" w:lineRule="auto"/>
        <w:jc w:val="both"/>
        <w:rPr>
          <w:rFonts w:ascii="Arial" w:eastAsia="Times New Roman" w:hAnsi="Arial" w:cs="Arial"/>
          <w:color w:val="000000" w:themeColor="text1"/>
          <w:kern w:val="0"/>
          <w:sz w:val="22"/>
          <w:szCs w:val="22"/>
          <w:lang w:eastAsia="en-GB"/>
          <w14:ligatures w14:val="none"/>
        </w:rPr>
      </w:pPr>
      <w:r w:rsidRPr="00F760B5">
        <w:rPr>
          <w:rFonts w:ascii="Arial" w:eastAsia="Times New Roman" w:hAnsi="Arial" w:cs="Arial"/>
          <w:color w:val="000000" w:themeColor="text1"/>
          <w:kern w:val="0"/>
          <w:sz w:val="22"/>
          <w:szCs w:val="22"/>
          <w:lang w:eastAsia="en-GB"/>
          <w14:ligatures w14:val="none"/>
        </w:rPr>
        <w:t xml:space="preserve">The removal of the existing paint finish and replacement with a breathable paint system is also supported in principle, with the Conservation Officer advising that this has the potential to improve the performance of the historic fabric. However, in the absence of detailed methodology, a condition requiring a method statement and sample panel is necessary to ensure that the works do not adversely affect the underlying brickwork. </w:t>
      </w:r>
      <w:hyperlink r:id="rId9" w:history="1"/>
    </w:p>
    <w:p w14:paraId="04F8E80F" w14:textId="00600760" w:rsidR="00F760B5" w:rsidRPr="00F760B5" w:rsidRDefault="00F760B5" w:rsidP="00F760B5">
      <w:pPr>
        <w:spacing w:after="0" w:line="276" w:lineRule="auto"/>
        <w:jc w:val="both"/>
        <w:rPr>
          <w:rFonts w:ascii="Arial" w:eastAsia="Times New Roman" w:hAnsi="Arial" w:cs="Arial"/>
          <w:color w:val="000000" w:themeColor="text1"/>
          <w:kern w:val="0"/>
          <w:sz w:val="22"/>
          <w:szCs w:val="22"/>
          <w:lang w:eastAsia="en-GB"/>
          <w14:ligatures w14:val="none"/>
        </w:rPr>
      </w:pPr>
      <w:r w:rsidRPr="00F760B5">
        <w:rPr>
          <w:rFonts w:ascii="Arial" w:eastAsia="Times New Roman" w:hAnsi="Arial" w:cs="Arial"/>
          <w:color w:val="000000" w:themeColor="text1"/>
          <w:kern w:val="0"/>
          <w:sz w:val="22"/>
          <w:szCs w:val="22"/>
          <w:lang w:eastAsia="en-GB"/>
          <w14:ligatures w14:val="none"/>
        </w:rPr>
        <w:t xml:space="preserve"> </w:t>
      </w:r>
    </w:p>
    <w:p w14:paraId="6301D15D" w14:textId="77777777" w:rsidR="00F760B5" w:rsidRDefault="00F760B5" w:rsidP="00F760B5">
      <w:pPr>
        <w:spacing w:after="0" w:line="276" w:lineRule="auto"/>
        <w:jc w:val="both"/>
        <w:rPr>
          <w:rFonts w:ascii="Arial" w:eastAsia="Times New Roman" w:hAnsi="Arial" w:cs="Arial"/>
          <w:color w:val="000000" w:themeColor="text1"/>
          <w:kern w:val="0"/>
          <w:sz w:val="22"/>
          <w:szCs w:val="22"/>
          <w:lang w:eastAsia="en-GB"/>
          <w14:ligatures w14:val="none"/>
        </w:rPr>
      </w:pPr>
      <w:r w:rsidRPr="00F760B5">
        <w:rPr>
          <w:rFonts w:ascii="Arial" w:eastAsia="Times New Roman" w:hAnsi="Arial" w:cs="Arial"/>
          <w:color w:val="000000" w:themeColor="text1"/>
          <w:kern w:val="0"/>
          <w:sz w:val="22"/>
          <w:szCs w:val="22"/>
          <w:lang w:eastAsia="en-GB"/>
          <w14:ligatures w14:val="none"/>
        </w:rPr>
        <w:t xml:space="preserve">The Conservation Officer has also raised concerns regarding the potential use of trough lighting above the fascia sign. However, this matter can be satisfactorily addressed through a condition requiring the installation of two discrete downlights and preventing alternative lighting arrangements without further approval. </w:t>
      </w:r>
      <w:hyperlink r:id="rId10" w:history="1"/>
    </w:p>
    <w:p w14:paraId="5BEB3920" w14:textId="0DD94391" w:rsidR="00F760B5" w:rsidRPr="00F760B5" w:rsidRDefault="00F760B5" w:rsidP="00F760B5">
      <w:pPr>
        <w:spacing w:after="0" w:line="276" w:lineRule="auto"/>
        <w:jc w:val="both"/>
        <w:rPr>
          <w:rFonts w:ascii="Arial" w:eastAsia="Times New Roman" w:hAnsi="Arial" w:cs="Arial"/>
          <w:color w:val="000000" w:themeColor="text1"/>
          <w:kern w:val="0"/>
          <w:sz w:val="22"/>
          <w:szCs w:val="22"/>
          <w:lang w:eastAsia="en-GB"/>
          <w14:ligatures w14:val="none"/>
        </w:rPr>
      </w:pPr>
      <w:r w:rsidRPr="00F760B5">
        <w:rPr>
          <w:rFonts w:ascii="Arial" w:eastAsia="Times New Roman" w:hAnsi="Arial" w:cs="Arial"/>
          <w:color w:val="000000" w:themeColor="text1"/>
          <w:kern w:val="0"/>
          <w:sz w:val="22"/>
          <w:szCs w:val="22"/>
          <w:lang w:eastAsia="en-GB"/>
          <w14:ligatures w14:val="none"/>
        </w:rPr>
        <w:t xml:space="preserve"> </w:t>
      </w:r>
    </w:p>
    <w:p w14:paraId="69FB6ADF" w14:textId="77777777" w:rsidR="00F760B5" w:rsidRPr="00F760B5" w:rsidRDefault="00F760B5" w:rsidP="00F760B5">
      <w:pPr>
        <w:spacing w:after="0" w:line="276" w:lineRule="auto"/>
        <w:jc w:val="both"/>
        <w:rPr>
          <w:rFonts w:ascii="Arial" w:eastAsia="Times New Roman" w:hAnsi="Arial" w:cs="Arial"/>
          <w:color w:val="000000" w:themeColor="text1"/>
          <w:kern w:val="0"/>
          <w:sz w:val="22"/>
          <w:szCs w:val="22"/>
          <w:lang w:eastAsia="en-GB"/>
          <w14:ligatures w14:val="none"/>
        </w:rPr>
      </w:pPr>
      <w:r w:rsidRPr="00F760B5">
        <w:rPr>
          <w:rFonts w:ascii="Arial" w:eastAsia="Times New Roman" w:hAnsi="Arial" w:cs="Arial"/>
          <w:color w:val="000000" w:themeColor="text1"/>
          <w:kern w:val="0"/>
          <w:sz w:val="22"/>
          <w:szCs w:val="22"/>
          <w:lang w:eastAsia="en-GB"/>
          <w14:ligatures w14:val="none"/>
        </w:rPr>
        <w:t>Subject to these conditions, it is considered that the proposals would preserve the special architectural and historic interest of the Grade II listed building, preserve its setting, and preserve the character and appearance of the Marlborough Conservation Area. Accordingly, the proposals accord with Sections 16 and 72 of the Planning (Listed Buildings and Conservation Areas) Act 1990, Section 16 of the NPPF and the objectives of Core Policy 58 of the Wiltshire Core Strategy.</w:t>
      </w:r>
    </w:p>
    <w:p w14:paraId="4772FD7C" w14:textId="08B3F209" w:rsidR="008A78F9" w:rsidRDefault="008A78F9" w:rsidP="00F760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E055E5F"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2F026E2E"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0B49A45E"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policy, and must be taken into account where relevant.</w:t>
      </w:r>
    </w:p>
    <w:p w14:paraId="233372D5"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5FBD33BF" w14:textId="77777777" w:rsidTr="004036FE">
        <w:trPr>
          <w:trHeight w:hRule="exact" w:val="20"/>
        </w:trPr>
        <w:tc>
          <w:tcPr>
            <w:tcW w:w="704" w:type="dxa"/>
            <w:tcBorders>
              <w:top w:val="nil"/>
              <w:left w:val="nil"/>
              <w:bottom w:val="nil"/>
              <w:right w:val="nil"/>
            </w:tcBorders>
          </w:tcPr>
          <w:p w14:paraId="07C91034" w14:textId="77777777" w:rsidR="008914EE" w:rsidRPr="008914EE" w:rsidRDefault="008914EE">
            <w:pPr>
              <w:rPr>
                <w:color w:val="000000" w:themeColor="text1"/>
                <w:sz w:val="2"/>
              </w:rPr>
            </w:pPr>
            <w:bookmarkStart w:id="1" w:name="_eca03b1d_d44b_4219_86b2_4f942b1775ec"/>
            <w:bookmarkStart w:id="2" w:name="_3da55a7a_6ec5_447d_ba42_52c23e1884e6"/>
            <w:bookmarkEnd w:id="1"/>
            <w:r w:rsidRPr="008914EE">
              <w:rPr>
                <w:sz w:val="2"/>
              </w:rPr>
              <w:t>Does the site or proposed development possess/impact on any of the features where</w:t>
            </w:r>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477F3E8E" w14:textId="77777777" w:rsidR="008914EE" w:rsidRDefault="008914EE">
            <w:pPr>
              <w:rPr>
                <w:sz w:val="2"/>
              </w:rPr>
            </w:pPr>
          </w:p>
        </w:tc>
        <w:tc>
          <w:tcPr>
            <w:tcW w:w="1139" w:type="dxa"/>
            <w:tcBorders>
              <w:top w:val="nil"/>
              <w:left w:val="nil"/>
              <w:bottom w:val="nil"/>
              <w:right w:val="nil"/>
            </w:tcBorders>
          </w:tcPr>
          <w:p w14:paraId="778FB91B" w14:textId="77777777" w:rsidR="008914EE" w:rsidRDefault="008914EE">
            <w:pPr>
              <w:rPr>
                <w:sz w:val="2"/>
              </w:rPr>
            </w:pPr>
          </w:p>
        </w:tc>
      </w:tr>
      <w:tr w:rsidR="00FC0D4D" w14:paraId="5DEC38B3" w14:textId="77777777" w:rsidTr="00FC0D4D">
        <w:tc>
          <w:tcPr>
            <w:tcW w:w="8217" w:type="dxa"/>
            <w:gridSpan w:val="2"/>
            <w:shd w:val="clear" w:color="auto" w:fill="D9D9D9" w:themeFill="background1" w:themeFillShade="D9"/>
          </w:tcPr>
          <w:p w14:paraId="787718CD"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0BFF5854"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359B0F4F" w14:textId="77777777" w:rsidTr="004036FE">
        <w:tc>
          <w:tcPr>
            <w:tcW w:w="704" w:type="dxa"/>
          </w:tcPr>
          <w:p w14:paraId="4A480EFB"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497398DC"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Does the site or proposed development possess/impact on any of the features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72BC1C6A" w14:textId="4BE37A67" w:rsidR="008914EE" w:rsidRPr="00210121" w:rsidRDefault="001E2E56"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40E99670" w14:textId="77777777" w:rsidTr="004036FE">
        <w:tc>
          <w:tcPr>
            <w:tcW w:w="704" w:type="dxa"/>
          </w:tcPr>
          <w:p w14:paraId="18A72CD5"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606FA6C4"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365DA0AB" w14:textId="2DEE0D3A" w:rsidR="008914EE" w:rsidRPr="00210121" w:rsidRDefault="001E2E56"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r>
              <w:rPr>
                <w:color w:val="000000" w:themeColor="text1"/>
              </w:rPr>
              <w:t>/A</w:t>
            </w:r>
          </w:p>
        </w:tc>
      </w:tr>
      <w:tr w:rsidR="008914EE" w14:paraId="2E357031" w14:textId="77777777" w:rsidTr="004036FE">
        <w:tc>
          <w:tcPr>
            <w:tcW w:w="704" w:type="dxa"/>
          </w:tcPr>
          <w:p w14:paraId="5C3D2A1E"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31859C2A"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 xml:space="preserve">mitigation and the creation, restoration and enhancement </w:t>
            </w:r>
            <w:r w:rsidRPr="00A92438">
              <w:rPr>
                <w:rFonts w:ascii="Arial" w:eastAsia="Times New Roman" w:hAnsi="Arial" w:cs="Arial"/>
                <w:color w:val="000000" w:themeColor="text1"/>
                <w:kern w:val="0"/>
                <w:sz w:val="22"/>
                <w:szCs w:val="22"/>
                <w:lang w:eastAsia="en-GB"/>
                <w14:ligatures w14:val="none"/>
              </w:rPr>
              <w:lastRenderedPageBreak/>
              <w:t>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6DC4B3DF" w14:textId="6ADB834A" w:rsidR="008914EE" w:rsidRPr="00210121" w:rsidRDefault="001E2E56"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N</w:t>
            </w:r>
            <w:r>
              <w:rPr>
                <w:color w:val="000000" w:themeColor="text1"/>
              </w:rPr>
              <w:t>/A</w:t>
            </w:r>
          </w:p>
        </w:tc>
      </w:tr>
      <w:bookmarkEnd w:id="2"/>
    </w:tbl>
    <w:p w14:paraId="3BB9AA03" w14:textId="024897E9" w:rsidR="00202DE0" w:rsidRPr="00A92438" w:rsidRDefault="00202DE0" w:rsidP="00F1263F">
      <w:pPr>
        <w:spacing w:after="0" w:line="276" w:lineRule="auto"/>
        <w:jc w:val="both"/>
        <w:rPr>
          <w:rFonts w:ascii="Arial" w:eastAsia="Times New Roman" w:hAnsi="Arial" w:cs="Arial"/>
          <w:color w:val="000000" w:themeColor="text1"/>
          <w:kern w:val="0"/>
          <w:sz w:val="22"/>
          <w:szCs w:val="22"/>
          <w:lang w:eastAsia="en-GB"/>
          <w14:ligatures w14:val="none"/>
        </w:rPr>
      </w:pPr>
    </w:p>
    <w:p w14:paraId="5CBBF933"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3253F7A3"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5A500773"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4B3A9B72" w14:textId="77777777" w:rsidR="00F1263F" w:rsidRDefault="00F1263F" w:rsidP="00F1263F">
      <w:pPr>
        <w:spacing w:after="0" w:line="276" w:lineRule="auto"/>
        <w:jc w:val="both"/>
        <w:rPr>
          <w:rFonts w:ascii="Arial" w:eastAsia="Times New Roman" w:hAnsi="Arial" w:cs="Arial"/>
          <w:i/>
          <w:iCs/>
          <w:color w:val="FF0000"/>
          <w:sz w:val="22"/>
          <w:szCs w:val="22"/>
          <w:lang w:eastAsia="en-GB"/>
        </w:rPr>
      </w:pPr>
    </w:p>
    <w:p w14:paraId="795AEC31" w14:textId="77777777" w:rsidR="001E2E56" w:rsidRPr="001E2E56" w:rsidRDefault="001E2E56" w:rsidP="001E2E56">
      <w:pPr>
        <w:spacing w:after="0" w:line="276" w:lineRule="auto"/>
        <w:jc w:val="both"/>
        <w:rPr>
          <w:rFonts w:ascii="Arial" w:eastAsia="Times New Roman" w:hAnsi="Arial" w:cs="Arial"/>
          <w:kern w:val="0"/>
          <w:sz w:val="22"/>
          <w:szCs w:val="22"/>
          <w:lang w:eastAsia="en-GB"/>
          <w14:ligatures w14:val="none"/>
        </w:rPr>
      </w:pPr>
      <w:r w:rsidRPr="001E2E56">
        <w:rPr>
          <w:rFonts w:ascii="Arial" w:eastAsia="Times New Roman" w:hAnsi="Arial" w:cs="Arial"/>
          <w:kern w:val="0"/>
          <w:sz w:val="22"/>
          <w:szCs w:val="22"/>
          <w:lang w:eastAsia="en-GB"/>
          <w14:ligatures w14:val="none"/>
        </w:rPr>
        <w:t>Section 16(2) of the Planning (Listed Buildings and Conservation Areas) Act 1990 requires special regard to be given to the desirability of preserving a listed building, its setting and any features of special architectural or historic interest which it possesses. The NPPF similarly requires great weight to be given to the conservation of designated heritage assets.</w:t>
      </w:r>
    </w:p>
    <w:p w14:paraId="4DDB8B24" w14:textId="77777777" w:rsidR="001E2E56" w:rsidRPr="001E2E56" w:rsidRDefault="001E2E56" w:rsidP="001E2E56">
      <w:pPr>
        <w:spacing w:after="0" w:line="276" w:lineRule="auto"/>
        <w:jc w:val="both"/>
        <w:rPr>
          <w:rFonts w:ascii="Arial" w:eastAsia="Times New Roman" w:hAnsi="Arial" w:cs="Arial"/>
          <w:kern w:val="0"/>
          <w:sz w:val="22"/>
          <w:szCs w:val="22"/>
          <w:lang w:eastAsia="en-GB"/>
          <w14:ligatures w14:val="none"/>
        </w:rPr>
      </w:pPr>
    </w:p>
    <w:p w14:paraId="3023FF06" w14:textId="7A75B346" w:rsidR="001E2E56" w:rsidRPr="001E2E56" w:rsidRDefault="001E2E56" w:rsidP="001E2E56">
      <w:pPr>
        <w:spacing w:after="0" w:line="276" w:lineRule="auto"/>
        <w:jc w:val="both"/>
        <w:rPr>
          <w:rFonts w:ascii="Arial" w:eastAsia="Times New Roman" w:hAnsi="Arial" w:cs="Arial"/>
          <w:kern w:val="0"/>
          <w:sz w:val="22"/>
          <w:szCs w:val="22"/>
          <w:lang w:eastAsia="en-GB"/>
          <w14:ligatures w14:val="none"/>
        </w:rPr>
      </w:pPr>
      <w:r w:rsidRPr="001E2E56">
        <w:rPr>
          <w:rFonts w:ascii="Arial" w:eastAsia="Times New Roman" w:hAnsi="Arial" w:cs="Arial"/>
          <w:kern w:val="0"/>
          <w:sz w:val="22"/>
          <w:szCs w:val="22"/>
          <w:lang w:eastAsia="en-GB"/>
          <w14:ligatures w14:val="none"/>
        </w:rPr>
        <w:t xml:space="preserve">In this case, the proposed works comprise the replacement of existing fascia signage, repairs and redecoration of existing timber joinery, and the removal and replacement of the existing paint finish to the principal elevation. Subject to conditions controlling the form of external illumination and securing a suitable methodology for paint removal, the proposals are considered to preserve the special architectural and historic interest of the Grade II listed building and its setting. </w:t>
      </w:r>
    </w:p>
    <w:p w14:paraId="07C36CEA" w14:textId="77777777" w:rsidR="001E2E56" w:rsidRPr="001E2E56" w:rsidRDefault="001E2E56" w:rsidP="001E2E56">
      <w:pPr>
        <w:spacing w:after="0" w:line="276" w:lineRule="auto"/>
        <w:jc w:val="both"/>
        <w:rPr>
          <w:rFonts w:ascii="Arial" w:eastAsia="Times New Roman" w:hAnsi="Arial" w:cs="Arial"/>
          <w:kern w:val="0"/>
          <w:sz w:val="22"/>
          <w:szCs w:val="22"/>
          <w:lang w:eastAsia="en-GB"/>
          <w14:ligatures w14:val="none"/>
        </w:rPr>
      </w:pPr>
    </w:p>
    <w:p w14:paraId="6FFB6052" w14:textId="6F360C65" w:rsidR="001E2E56" w:rsidRPr="001E2E56" w:rsidRDefault="001E2E56" w:rsidP="001E2E56">
      <w:pPr>
        <w:spacing w:after="0" w:line="276" w:lineRule="auto"/>
        <w:jc w:val="both"/>
        <w:rPr>
          <w:rFonts w:ascii="Arial" w:eastAsia="Times New Roman" w:hAnsi="Arial" w:cs="Arial"/>
          <w:kern w:val="0"/>
          <w:sz w:val="22"/>
          <w:szCs w:val="22"/>
          <w:lang w:eastAsia="en-GB"/>
          <w14:ligatures w14:val="none"/>
        </w:rPr>
      </w:pPr>
      <w:r w:rsidRPr="001E2E56">
        <w:rPr>
          <w:rFonts w:ascii="Arial" w:eastAsia="Times New Roman" w:hAnsi="Arial" w:cs="Arial"/>
          <w:kern w:val="0"/>
          <w:sz w:val="22"/>
          <w:szCs w:val="22"/>
          <w:lang w:eastAsia="en-GB"/>
          <w14:ligatures w14:val="none"/>
        </w:rPr>
        <w:t xml:space="preserve">The proposals will also result in heritage benefits through investment in the maintenance and ongoing conservation of the building, including repairs to existing joinery and the replacement of potentially non-breathable paint with a breathable paint system, helping to support the long-term preservation of the historic fabric. </w:t>
      </w:r>
    </w:p>
    <w:p w14:paraId="4BD63EEC" w14:textId="77777777" w:rsidR="001E2E56" w:rsidRPr="001E2E56" w:rsidRDefault="001E2E56" w:rsidP="001E2E56">
      <w:pPr>
        <w:spacing w:after="0" w:line="276" w:lineRule="auto"/>
        <w:jc w:val="both"/>
        <w:rPr>
          <w:rFonts w:ascii="Arial" w:eastAsia="Times New Roman" w:hAnsi="Arial" w:cs="Arial"/>
          <w:kern w:val="0"/>
          <w:sz w:val="22"/>
          <w:szCs w:val="22"/>
          <w:lang w:eastAsia="en-GB"/>
          <w14:ligatures w14:val="none"/>
        </w:rPr>
      </w:pPr>
    </w:p>
    <w:p w14:paraId="2CEA2886" w14:textId="19AB0D26" w:rsidR="00080B8E" w:rsidRPr="001E2E56" w:rsidRDefault="001E2E56" w:rsidP="001E2E56">
      <w:pPr>
        <w:spacing w:after="0" w:line="276" w:lineRule="auto"/>
        <w:jc w:val="both"/>
        <w:rPr>
          <w:rFonts w:ascii="Arial" w:eastAsia="Times New Roman" w:hAnsi="Arial" w:cs="Arial"/>
          <w:kern w:val="0"/>
          <w:sz w:val="22"/>
          <w:szCs w:val="22"/>
          <w:lang w:eastAsia="en-GB"/>
          <w14:ligatures w14:val="none"/>
        </w:rPr>
      </w:pPr>
      <w:r w:rsidRPr="001E2E56">
        <w:rPr>
          <w:rFonts w:ascii="Arial" w:eastAsia="Times New Roman" w:hAnsi="Arial" w:cs="Arial"/>
          <w:kern w:val="0"/>
          <w:sz w:val="22"/>
          <w:szCs w:val="22"/>
          <w:lang w:eastAsia="en-GB"/>
          <w14:ligatures w14:val="none"/>
        </w:rPr>
        <w:t>The overall impact of the proposals on the significance of the heritage asset is therefore considered to be neutral to slightly beneficial. The requirements of Sections 16 and 72 of the Planning (Listed Buildings and Conservation Areas) Act 1990, Section 16 of the NPPF and the objectives of Core Policy 58 of the Wiltshire Core Strategy are considered to be met. Accordingly, Listed Building Consent is recommended for approval subject to appropriate conditions.</w:t>
      </w:r>
    </w:p>
    <w:p w14:paraId="1F48C57F" w14:textId="77777777" w:rsidR="001E2E56" w:rsidRDefault="001E2E56" w:rsidP="001E2E56">
      <w:pPr>
        <w:spacing w:after="0" w:line="276" w:lineRule="auto"/>
        <w:jc w:val="both"/>
        <w:rPr>
          <w:rFonts w:ascii="Arial" w:eastAsia="Times New Roman" w:hAnsi="Arial" w:cs="Arial"/>
          <w:b/>
          <w:bCs/>
          <w:kern w:val="0"/>
          <w:sz w:val="22"/>
          <w:szCs w:val="22"/>
          <w:lang w:eastAsia="en-GB"/>
          <w14:ligatures w14:val="none"/>
        </w:rPr>
      </w:pPr>
    </w:p>
    <w:p w14:paraId="2E215DDE"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511AE889" w14:textId="24A5B7D8"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 xml:space="preserve">That Listed Building Consent be GRANTED, subject to </w:t>
      </w:r>
      <w:r w:rsidR="001E2E56">
        <w:rPr>
          <w:rFonts w:ascii="Arial" w:eastAsia="Times New Roman" w:hAnsi="Arial" w:cs="Arial"/>
          <w:b/>
          <w:bCs/>
          <w:kern w:val="0"/>
          <w:sz w:val="22"/>
          <w:szCs w:val="22"/>
          <w:lang w:eastAsia="en-GB"/>
          <w14:ligatures w14:val="none"/>
        </w:rPr>
        <w:t xml:space="preserve">conditions. </w:t>
      </w:r>
    </w:p>
    <w:p w14:paraId="601CB1DB" w14:textId="048A8EAC" w:rsidR="00EA5C93" w:rsidRPr="004F6C1C" w:rsidRDefault="00EA5C93" w:rsidP="001E2E56">
      <w:pPr>
        <w:spacing w:before="100" w:beforeAutospacing="1" w:after="100" w:afterAutospacing="1" w:line="276" w:lineRule="auto"/>
        <w:jc w:val="both"/>
        <w:rPr>
          <w:rFonts w:ascii="Arial" w:eastAsia="Times New Roman" w:hAnsi="Arial" w:cs="Arial"/>
          <w:i/>
          <w:iCs/>
          <w:color w:val="ED0000"/>
          <w:kern w:val="0"/>
          <w:sz w:val="22"/>
          <w:szCs w:val="22"/>
          <w:lang w:eastAsia="en-GB"/>
          <w14:ligatures w14:val="none"/>
        </w:rPr>
      </w:pPr>
    </w:p>
    <w:sectPr w:rsidR="00EA5C93" w:rsidRPr="004F6C1C"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569C"/>
    <w:rsid w:val="00097010"/>
    <w:rsid w:val="000B05B0"/>
    <w:rsid w:val="000B5BFA"/>
    <w:rsid w:val="000C0E31"/>
    <w:rsid w:val="000C4CA7"/>
    <w:rsid w:val="000D0858"/>
    <w:rsid w:val="000E6B9B"/>
    <w:rsid w:val="000E7C90"/>
    <w:rsid w:val="001018D6"/>
    <w:rsid w:val="00114781"/>
    <w:rsid w:val="00150B21"/>
    <w:rsid w:val="0017436B"/>
    <w:rsid w:val="00174771"/>
    <w:rsid w:val="00176847"/>
    <w:rsid w:val="001975A7"/>
    <w:rsid w:val="001C6BB1"/>
    <w:rsid w:val="001C7ED3"/>
    <w:rsid w:val="001D1B59"/>
    <w:rsid w:val="001D2B00"/>
    <w:rsid w:val="001E2E56"/>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B5AD0"/>
    <w:rsid w:val="002B6649"/>
    <w:rsid w:val="002E16E5"/>
    <w:rsid w:val="002F7C6B"/>
    <w:rsid w:val="00312C7F"/>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C35D8"/>
    <w:rsid w:val="004D23ED"/>
    <w:rsid w:val="004E6EDB"/>
    <w:rsid w:val="004F6C1C"/>
    <w:rsid w:val="00501911"/>
    <w:rsid w:val="0050216E"/>
    <w:rsid w:val="00506262"/>
    <w:rsid w:val="00507FCF"/>
    <w:rsid w:val="005100B4"/>
    <w:rsid w:val="00513E22"/>
    <w:rsid w:val="0052282C"/>
    <w:rsid w:val="0054068B"/>
    <w:rsid w:val="00554987"/>
    <w:rsid w:val="005607D8"/>
    <w:rsid w:val="0059577B"/>
    <w:rsid w:val="005A13E7"/>
    <w:rsid w:val="005A287E"/>
    <w:rsid w:val="005D148E"/>
    <w:rsid w:val="005E1B00"/>
    <w:rsid w:val="005F292D"/>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705E25"/>
    <w:rsid w:val="00707756"/>
    <w:rsid w:val="00732F3A"/>
    <w:rsid w:val="00793F8E"/>
    <w:rsid w:val="007A5F42"/>
    <w:rsid w:val="007D328F"/>
    <w:rsid w:val="007E2693"/>
    <w:rsid w:val="007E32BF"/>
    <w:rsid w:val="007F46D6"/>
    <w:rsid w:val="00802AEC"/>
    <w:rsid w:val="0080787A"/>
    <w:rsid w:val="00832A35"/>
    <w:rsid w:val="00840A49"/>
    <w:rsid w:val="0085751B"/>
    <w:rsid w:val="0086069A"/>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7651"/>
    <w:rsid w:val="009949D3"/>
    <w:rsid w:val="009A5EEC"/>
    <w:rsid w:val="009C3071"/>
    <w:rsid w:val="009C3A14"/>
    <w:rsid w:val="009C3CE7"/>
    <w:rsid w:val="009D1ACE"/>
    <w:rsid w:val="009D2C79"/>
    <w:rsid w:val="009D4867"/>
    <w:rsid w:val="009E1642"/>
    <w:rsid w:val="00A03FD0"/>
    <w:rsid w:val="00A147C7"/>
    <w:rsid w:val="00A247B5"/>
    <w:rsid w:val="00A3747E"/>
    <w:rsid w:val="00A43311"/>
    <w:rsid w:val="00A47462"/>
    <w:rsid w:val="00A6406E"/>
    <w:rsid w:val="00A91DB8"/>
    <w:rsid w:val="00A92438"/>
    <w:rsid w:val="00A96182"/>
    <w:rsid w:val="00AA7925"/>
    <w:rsid w:val="00AB1C3F"/>
    <w:rsid w:val="00AB535C"/>
    <w:rsid w:val="00AB6CA9"/>
    <w:rsid w:val="00AE1C41"/>
    <w:rsid w:val="00B030C6"/>
    <w:rsid w:val="00B034C2"/>
    <w:rsid w:val="00B04EAD"/>
    <w:rsid w:val="00B06969"/>
    <w:rsid w:val="00B107C5"/>
    <w:rsid w:val="00B24270"/>
    <w:rsid w:val="00B57A45"/>
    <w:rsid w:val="00B725C9"/>
    <w:rsid w:val="00B776C7"/>
    <w:rsid w:val="00B967BC"/>
    <w:rsid w:val="00BA7F09"/>
    <w:rsid w:val="00BB1A61"/>
    <w:rsid w:val="00BD555F"/>
    <w:rsid w:val="00BE0D93"/>
    <w:rsid w:val="00BF6DBD"/>
    <w:rsid w:val="00C03935"/>
    <w:rsid w:val="00C5188C"/>
    <w:rsid w:val="00C760C4"/>
    <w:rsid w:val="00C84F43"/>
    <w:rsid w:val="00C95D87"/>
    <w:rsid w:val="00CA0A0F"/>
    <w:rsid w:val="00CA5343"/>
    <w:rsid w:val="00CB7792"/>
    <w:rsid w:val="00CD3444"/>
    <w:rsid w:val="00CE04E4"/>
    <w:rsid w:val="00CF161D"/>
    <w:rsid w:val="00D05A60"/>
    <w:rsid w:val="00D14841"/>
    <w:rsid w:val="00D3708F"/>
    <w:rsid w:val="00D56315"/>
    <w:rsid w:val="00D64502"/>
    <w:rsid w:val="00D767DF"/>
    <w:rsid w:val="00D82D3F"/>
    <w:rsid w:val="00D87765"/>
    <w:rsid w:val="00D902FA"/>
    <w:rsid w:val="00D951CA"/>
    <w:rsid w:val="00DC00C1"/>
    <w:rsid w:val="00DC365D"/>
    <w:rsid w:val="00DF3F20"/>
    <w:rsid w:val="00E03DF5"/>
    <w:rsid w:val="00E25A94"/>
    <w:rsid w:val="00E26776"/>
    <w:rsid w:val="00E2785E"/>
    <w:rsid w:val="00E339FC"/>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64398"/>
    <w:rsid w:val="00F7017C"/>
    <w:rsid w:val="00F7609E"/>
    <w:rsid w:val="00F760B5"/>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13F4A"/>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character" w:styleId="Hyperlink">
    <w:name w:val="Hyperlink"/>
    <w:basedOn w:val="DefaultParagraphFont"/>
    <w:uiPriority w:val="99"/>
    <w:unhideWhenUsed/>
    <w:rsid w:val="00F760B5"/>
    <w:rPr>
      <w:color w:val="467886" w:themeColor="hyperlink"/>
      <w:u w:val="single"/>
    </w:rPr>
  </w:style>
  <w:style w:type="character" w:styleId="UnresolvedMention">
    <w:name w:val="Unresolved Mention"/>
    <w:basedOn w:val="DefaultParagraphFont"/>
    <w:uiPriority w:val="99"/>
    <w:semiHidden/>
    <w:unhideWhenUsed/>
    <w:rsid w:val="00F760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iltshirecouncil-my.sharepoint.com/personal/lucy_rutter-dowd_wiltshire_gov_uk/Documents/Microsoft%20Copilot%20Chat%20Files/Binder1.pdf" TargetMode="External"/><Relationship Id="rId4" Type="http://schemas.openxmlformats.org/officeDocument/2006/relationships/customXml" Target="../customXml/item4.xml"/><Relationship Id="rId9" Type="http://schemas.openxmlformats.org/officeDocument/2006/relationships/hyperlink" Target="https://wiltshirecouncil-my.sharepoint.com/personal/lucy_rutter-dowd_wiltshire_gov_uk/Documents/Microsoft%20Copilot%20Chat%20Files/Binder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4.xml><?xml version="1.0" encoding="utf-8"?>
<ds:datastoreItem xmlns:ds="http://schemas.openxmlformats.org/officeDocument/2006/customXml" ds:itemID="{8C91C849-38AB-49CB-B859-D14A6BC1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2927</Words>
  <Characters>16685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salesforceId:5d02883b-7750-4acb-9857-db5b84681837</dc:subject>
  <dc:creator>O'Donoghue, Ruaridh</dc:creator>
  <cp:keywords/>
  <dc:description/>
  <cp:lastModifiedBy>Rutter-Dowd, Lucy</cp:lastModifiedBy>
  <cp:revision>3</cp:revision>
  <dcterms:created xsi:type="dcterms:W3CDTF">2026-07-21T20:56:00Z</dcterms:created>
  <dcterms:modified xsi:type="dcterms:W3CDTF">2026-07-21T20:56:00Z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069Q300000RoKdWIAV</vt:lpwstr>
  </property>
</Properties>
</file>