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FF0F" w14:textId="04C25B6F" w:rsidR="00097010" w:rsidRDefault="00097010" w:rsidP="00034AC8">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034AC8">
        <w:rPr>
          <w:rFonts w:ascii="Arial" w:hAnsi="Arial" w:cs="Arial"/>
          <w:b/>
          <w:bCs/>
          <w:sz w:val="28"/>
          <w:szCs w:val="28"/>
        </w:rPr>
        <w:t>HAZARDOUS SUBSTANCES CONSENT</w:t>
      </w:r>
    </w:p>
    <w:p w14:paraId="565AEDC7" w14:textId="77777777" w:rsidR="00871B46" w:rsidRDefault="00871B46" w:rsidP="00871B46">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871B46" w14:paraId="256476CA" w14:textId="77777777">
        <w:tc>
          <w:tcPr>
            <w:tcW w:w="3681" w:type="dxa"/>
            <w:tcBorders>
              <w:top w:val="single" w:sz="4" w:space="0" w:color="auto"/>
              <w:left w:val="single" w:sz="4" w:space="0" w:color="auto"/>
              <w:bottom w:val="single" w:sz="4" w:space="0" w:color="auto"/>
              <w:right w:val="single" w:sz="4" w:space="0" w:color="auto"/>
            </w:tcBorders>
            <w:hideMark/>
          </w:tcPr>
          <w:p w14:paraId="7960C667" w14:textId="77777777" w:rsidR="00871B46" w:rsidRDefault="00871B46">
            <w:pPr>
              <w:spacing w:before="100" w:beforeAutospacing="1" w:after="100" w:afterAutospacing="1" w:line="276" w:lineRule="auto"/>
              <w:jc w:val="both"/>
              <w:rPr>
                <w:rFonts w:ascii="Arial" w:hAnsi="Arial" w:cs="Arial"/>
                <w:b/>
                <w:bCs/>
                <w:sz w:val="22"/>
                <w:szCs w:val="22"/>
                <w:lang w:eastAsia="en-US"/>
              </w:rPr>
            </w:pPr>
            <w:r>
              <w:rPr>
                <w:rFonts w:ascii="Arial" w:hAnsi="Arial" w:cs="Arial"/>
                <w:b/>
                <w:bCs/>
                <w:sz w:val="22"/>
                <w:szCs w:val="22"/>
                <w:lang w:eastAsia="en-US"/>
              </w:rPr>
              <w:t>APPLICATION REFERENCE:</w:t>
            </w:r>
          </w:p>
        </w:tc>
        <w:tc>
          <w:tcPr>
            <w:tcW w:w="5335" w:type="dxa"/>
            <w:tcBorders>
              <w:top w:val="single" w:sz="4" w:space="0" w:color="auto"/>
              <w:left w:val="single" w:sz="4" w:space="0" w:color="auto"/>
              <w:bottom w:val="single" w:sz="4" w:space="0" w:color="auto"/>
              <w:right w:val="single" w:sz="4" w:space="0" w:color="auto"/>
            </w:tcBorders>
            <w:hideMark/>
          </w:tcPr>
          <w:p w14:paraId="10A858D4" w14:textId="77777777" w:rsidR="00871B46" w:rsidRDefault="00871B46">
            <w:pPr>
              <w:spacing w:before="100" w:beforeAutospacing="1" w:after="100" w:afterAutospacing="1" w:line="276" w:lineRule="auto"/>
              <w:rPr>
                <w:rFonts w:ascii="Arial" w:hAnsi="Arial" w:cs="Arial"/>
                <w:sz w:val="22"/>
                <w:szCs w:val="22"/>
                <w:lang w:eastAsia="en-US"/>
              </w:rPr>
            </w:pPr>
            <w:r>
              <w:rPr>
                <w:rFonts w:ascii="Arial" w:hAnsi="Arial" w:cs="Arial"/>
                <w:sz w:val="22"/>
                <w:szCs w:val="22"/>
                <w:lang w:eastAsia="en-US"/>
              </w:rPr>
              <w:t>PL/2026/02124</w:t>
            </w:r>
          </w:p>
        </w:tc>
      </w:tr>
      <w:tr w:rsidR="00871B46" w14:paraId="3DEA2F18" w14:textId="77777777">
        <w:tc>
          <w:tcPr>
            <w:tcW w:w="3681" w:type="dxa"/>
            <w:tcBorders>
              <w:top w:val="single" w:sz="4" w:space="0" w:color="auto"/>
              <w:left w:val="single" w:sz="4" w:space="0" w:color="auto"/>
              <w:bottom w:val="single" w:sz="4" w:space="0" w:color="auto"/>
              <w:right w:val="single" w:sz="4" w:space="0" w:color="auto"/>
            </w:tcBorders>
            <w:hideMark/>
          </w:tcPr>
          <w:p w14:paraId="1A2DD896" w14:textId="77777777" w:rsidR="00871B46" w:rsidRDefault="00871B46">
            <w:pPr>
              <w:spacing w:before="100" w:beforeAutospacing="1" w:after="100" w:afterAutospacing="1" w:line="276" w:lineRule="auto"/>
              <w:jc w:val="both"/>
              <w:rPr>
                <w:rFonts w:ascii="Arial" w:hAnsi="Arial" w:cs="Arial"/>
                <w:b/>
                <w:bCs/>
                <w:sz w:val="22"/>
                <w:szCs w:val="22"/>
                <w:lang w:eastAsia="en-US"/>
              </w:rPr>
            </w:pPr>
            <w:r>
              <w:rPr>
                <w:rFonts w:ascii="Arial" w:hAnsi="Arial" w:cs="Arial"/>
                <w:b/>
                <w:bCs/>
                <w:sz w:val="22"/>
                <w:szCs w:val="22"/>
                <w:lang w:eastAsia="en-US"/>
              </w:rPr>
              <w:t>APPLICATION TYPE:</w:t>
            </w:r>
          </w:p>
        </w:tc>
        <w:tc>
          <w:tcPr>
            <w:tcW w:w="5335" w:type="dxa"/>
            <w:tcBorders>
              <w:top w:val="single" w:sz="4" w:space="0" w:color="auto"/>
              <w:left w:val="single" w:sz="4" w:space="0" w:color="auto"/>
              <w:bottom w:val="single" w:sz="4" w:space="0" w:color="auto"/>
              <w:right w:val="single" w:sz="4" w:space="0" w:color="auto"/>
            </w:tcBorders>
            <w:hideMark/>
          </w:tcPr>
          <w:p w14:paraId="6BDAA49E" w14:textId="77777777" w:rsidR="00871B46" w:rsidRDefault="00871B46">
            <w:pPr>
              <w:spacing w:before="100" w:beforeAutospacing="1" w:after="100" w:afterAutospacing="1" w:line="276" w:lineRule="auto"/>
              <w:rPr>
                <w:rFonts w:ascii="Arial" w:hAnsi="Arial" w:cs="Arial"/>
                <w:sz w:val="22"/>
                <w:szCs w:val="22"/>
                <w:lang w:eastAsia="en-US"/>
              </w:rPr>
            </w:pPr>
            <w:r>
              <w:rPr>
                <w:rFonts w:ascii="Arial" w:hAnsi="Arial" w:cs="Arial"/>
                <w:sz w:val="22"/>
                <w:szCs w:val="22"/>
                <w:lang w:eastAsia="en-US"/>
              </w:rPr>
              <w:t>Hazardous substance consent</w:t>
            </w:r>
          </w:p>
        </w:tc>
      </w:tr>
      <w:tr w:rsidR="00871B46" w14:paraId="2A4D7187" w14:textId="77777777">
        <w:tc>
          <w:tcPr>
            <w:tcW w:w="3681" w:type="dxa"/>
            <w:tcBorders>
              <w:top w:val="single" w:sz="4" w:space="0" w:color="auto"/>
              <w:left w:val="single" w:sz="4" w:space="0" w:color="auto"/>
              <w:bottom w:val="single" w:sz="4" w:space="0" w:color="auto"/>
              <w:right w:val="single" w:sz="4" w:space="0" w:color="auto"/>
            </w:tcBorders>
            <w:hideMark/>
          </w:tcPr>
          <w:p w14:paraId="5C1D828F" w14:textId="77777777" w:rsidR="00871B46" w:rsidRDefault="00871B46">
            <w:pPr>
              <w:spacing w:before="100" w:beforeAutospacing="1" w:after="100" w:afterAutospacing="1" w:line="276" w:lineRule="auto"/>
              <w:jc w:val="both"/>
              <w:rPr>
                <w:rFonts w:ascii="Arial" w:hAnsi="Arial" w:cs="Arial"/>
                <w:b/>
                <w:bCs/>
                <w:sz w:val="22"/>
                <w:szCs w:val="22"/>
                <w:lang w:eastAsia="en-US"/>
              </w:rPr>
            </w:pPr>
            <w:r>
              <w:rPr>
                <w:rFonts w:ascii="Arial" w:hAnsi="Arial" w:cs="Arial"/>
                <w:b/>
                <w:bCs/>
                <w:sz w:val="22"/>
                <w:szCs w:val="22"/>
                <w:lang w:eastAsia="en-US"/>
              </w:rPr>
              <w:t>SITE ADDRESS:</w:t>
            </w:r>
          </w:p>
        </w:tc>
        <w:tc>
          <w:tcPr>
            <w:tcW w:w="5335" w:type="dxa"/>
            <w:tcBorders>
              <w:top w:val="single" w:sz="4" w:space="0" w:color="auto"/>
              <w:left w:val="single" w:sz="4" w:space="0" w:color="auto"/>
              <w:bottom w:val="single" w:sz="4" w:space="0" w:color="auto"/>
              <w:right w:val="single" w:sz="4" w:space="0" w:color="auto"/>
            </w:tcBorders>
            <w:hideMark/>
          </w:tcPr>
          <w:p w14:paraId="732695CB" w14:textId="77777777" w:rsidR="00871B46" w:rsidRDefault="00871B46">
            <w:pPr>
              <w:spacing w:before="100" w:beforeAutospacing="1" w:after="100" w:afterAutospacing="1" w:line="276" w:lineRule="auto"/>
              <w:rPr>
                <w:rFonts w:ascii="Arial" w:hAnsi="Arial" w:cs="Arial"/>
                <w:sz w:val="22"/>
                <w:szCs w:val="22"/>
                <w:lang w:eastAsia="en-US"/>
              </w:rPr>
            </w:pPr>
            <w:r>
              <w:rPr>
                <w:rFonts w:ascii="Arial" w:hAnsi="Arial" w:cs="Arial"/>
                <w:sz w:val="22"/>
                <w:szCs w:val="22"/>
                <w:lang w:eastAsia="en-US"/>
              </w:rPr>
              <w:t>East Farm, Chitterne Road, Codford, Warminster, BA12 0PG</w:t>
            </w:r>
          </w:p>
        </w:tc>
      </w:tr>
      <w:tr w:rsidR="00871B46" w14:paraId="07439407" w14:textId="77777777">
        <w:tc>
          <w:tcPr>
            <w:tcW w:w="3681" w:type="dxa"/>
            <w:tcBorders>
              <w:top w:val="single" w:sz="4" w:space="0" w:color="auto"/>
              <w:left w:val="single" w:sz="4" w:space="0" w:color="auto"/>
              <w:bottom w:val="single" w:sz="4" w:space="0" w:color="auto"/>
              <w:right w:val="single" w:sz="4" w:space="0" w:color="auto"/>
            </w:tcBorders>
            <w:hideMark/>
          </w:tcPr>
          <w:p w14:paraId="7809075B" w14:textId="77777777" w:rsidR="00871B46" w:rsidRDefault="00871B46">
            <w:pPr>
              <w:spacing w:before="100" w:beforeAutospacing="1" w:after="100" w:afterAutospacing="1" w:line="276" w:lineRule="auto"/>
              <w:jc w:val="both"/>
              <w:rPr>
                <w:rFonts w:ascii="Arial" w:hAnsi="Arial" w:cs="Arial"/>
                <w:b/>
                <w:bCs/>
                <w:sz w:val="22"/>
                <w:szCs w:val="22"/>
                <w:lang w:eastAsia="en-US"/>
              </w:rPr>
            </w:pPr>
            <w:r>
              <w:rPr>
                <w:rFonts w:ascii="Arial" w:hAnsi="Arial" w:cs="Arial"/>
                <w:b/>
                <w:bCs/>
                <w:sz w:val="22"/>
                <w:szCs w:val="22"/>
                <w:lang w:eastAsia="en-US"/>
              </w:rPr>
              <w:t>DEVELOPMENT DESCRIPTION:</w:t>
            </w:r>
          </w:p>
        </w:tc>
        <w:tc>
          <w:tcPr>
            <w:tcW w:w="5335" w:type="dxa"/>
            <w:tcBorders>
              <w:top w:val="single" w:sz="4" w:space="0" w:color="auto"/>
              <w:left w:val="single" w:sz="4" w:space="0" w:color="auto"/>
              <w:bottom w:val="single" w:sz="4" w:space="0" w:color="auto"/>
              <w:right w:val="single" w:sz="4" w:space="0" w:color="auto"/>
            </w:tcBorders>
            <w:hideMark/>
          </w:tcPr>
          <w:p w14:paraId="0D6C1A8F" w14:textId="77777777" w:rsidR="00871B46" w:rsidRDefault="00871B46">
            <w:pPr>
              <w:spacing w:before="100" w:beforeAutospacing="1" w:after="100" w:afterAutospacing="1" w:line="276" w:lineRule="auto"/>
              <w:rPr>
                <w:rFonts w:ascii="Arial" w:hAnsi="Arial" w:cs="Arial"/>
                <w:sz w:val="22"/>
                <w:szCs w:val="22"/>
                <w:lang w:eastAsia="en-US"/>
              </w:rPr>
            </w:pPr>
            <w:r>
              <w:rPr>
                <w:rFonts w:ascii="Arial" w:hAnsi="Arial" w:cs="Arial"/>
                <w:sz w:val="22"/>
                <w:szCs w:val="22"/>
                <w:lang w:eastAsia="en-US"/>
              </w:rPr>
              <w:t>Application for Hazardous Substances Consent in relation to proposed warehousing operations</w:t>
            </w:r>
          </w:p>
        </w:tc>
      </w:tr>
      <w:tr w:rsidR="00871B46" w14:paraId="7EE5C659" w14:textId="77777777">
        <w:tc>
          <w:tcPr>
            <w:tcW w:w="3681" w:type="dxa"/>
            <w:tcBorders>
              <w:top w:val="single" w:sz="4" w:space="0" w:color="auto"/>
              <w:left w:val="single" w:sz="4" w:space="0" w:color="auto"/>
              <w:bottom w:val="single" w:sz="4" w:space="0" w:color="auto"/>
              <w:right w:val="single" w:sz="4" w:space="0" w:color="auto"/>
            </w:tcBorders>
            <w:hideMark/>
          </w:tcPr>
          <w:p w14:paraId="46928D3C" w14:textId="77777777" w:rsidR="00871B46" w:rsidRDefault="00871B46">
            <w:pPr>
              <w:spacing w:before="100" w:beforeAutospacing="1" w:after="100" w:afterAutospacing="1" w:line="276" w:lineRule="auto"/>
              <w:jc w:val="both"/>
              <w:rPr>
                <w:rFonts w:ascii="Arial" w:hAnsi="Arial" w:cs="Arial"/>
                <w:b/>
                <w:bCs/>
                <w:sz w:val="22"/>
                <w:szCs w:val="22"/>
                <w:lang w:eastAsia="en-US"/>
              </w:rPr>
            </w:pPr>
            <w:r>
              <w:rPr>
                <w:rFonts w:ascii="Arial" w:hAnsi="Arial" w:cs="Arial"/>
                <w:b/>
                <w:bCs/>
                <w:sz w:val="22"/>
                <w:szCs w:val="22"/>
                <w:lang w:eastAsia="en-US"/>
              </w:rPr>
              <w:t>RECOMMENDATION:</w:t>
            </w:r>
          </w:p>
        </w:tc>
        <w:tc>
          <w:tcPr>
            <w:tcW w:w="5335" w:type="dxa"/>
            <w:tcBorders>
              <w:top w:val="single" w:sz="4" w:space="0" w:color="auto"/>
              <w:left w:val="single" w:sz="4" w:space="0" w:color="auto"/>
              <w:bottom w:val="single" w:sz="4" w:space="0" w:color="auto"/>
              <w:right w:val="single" w:sz="4" w:space="0" w:color="auto"/>
            </w:tcBorders>
          </w:tcPr>
          <w:p w14:paraId="7F411594" w14:textId="4FFA1CF2" w:rsidR="00871B46" w:rsidRDefault="009A65C5">
            <w:pPr>
              <w:spacing w:line="276" w:lineRule="auto"/>
              <w:rPr>
                <w:rFonts w:ascii="Arial" w:hAnsi="Arial" w:cs="Arial"/>
                <w:sz w:val="22"/>
                <w:szCs w:val="22"/>
                <w:lang w:eastAsia="en-US"/>
              </w:rPr>
            </w:pPr>
            <w:r>
              <w:rPr>
                <w:rFonts w:ascii="Arial" w:hAnsi="Arial" w:cs="Arial"/>
                <w:sz w:val="22"/>
                <w:szCs w:val="22"/>
                <w:lang w:eastAsia="en-US"/>
              </w:rPr>
              <w:t>GRANTED</w:t>
            </w:r>
          </w:p>
        </w:tc>
      </w:tr>
    </w:tbl>
    <w:p w14:paraId="4FF740A3" w14:textId="77777777" w:rsidR="00871B46" w:rsidRDefault="00871B46" w:rsidP="00871B46">
      <w:pPr>
        <w:spacing w:line="276" w:lineRule="auto"/>
        <w:jc w:val="both"/>
        <w:rPr>
          <w:rFonts w:ascii="Arial" w:hAnsi="Arial" w:cs="Arial"/>
          <w:sz w:val="22"/>
          <w:szCs w:val="22"/>
        </w:rPr>
      </w:pPr>
    </w:p>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AA00BE5" w14:textId="1B62DF4D" w:rsidR="00683C17" w:rsidRDefault="009B5404" w:rsidP="00683C17">
      <w:pPr>
        <w:spacing w:line="276" w:lineRule="auto"/>
        <w:jc w:val="both"/>
        <w:rPr>
          <w:rFonts w:ascii="Arial" w:hAnsi="Arial" w:cs="Arial"/>
          <w:sz w:val="22"/>
          <w:szCs w:val="22"/>
        </w:rPr>
      </w:pPr>
      <w:r w:rsidRPr="009B5404">
        <w:rPr>
          <w:rFonts w:ascii="Arial" w:hAnsi="Arial" w:cs="Arial"/>
          <w:sz w:val="22"/>
          <w:szCs w:val="22"/>
        </w:rPr>
        <w:t>The site at East Farm comprises agricultural and commercial land located south of Chitterne Road</w:t>
      </w:r>
      <w:r w:rsidR="008E1365">
        <w:rPr>
          <w:rFonts w:ascii="Arial" w:hAnsi="Arial" w:cs="Arial"/>
          <w:sz w:val="22"/>
          <w:szCs w:val="22"/>
        </w:rPr>
        <w:t>, in the open countryside but</w:t>
      </w:r>
      <w:r w:rsidR="0038352E">
        <w:rPr>
          <w:rFonts w:ascii="Arial" w:hAnsi="Arial" w:cs="Arial"/>
          <w:sz w:val="22"/>
          <w:szCs w:val="22"/>
        </w:rPr>
        <w:t xml:space="preserve"> within the Parish of the Wylye Valley</w:t>
      </w:r>
      <w:r w:rsidRPr="009B5404">
        <w:rPr>
          <w:rFonts w:ascii="Arial" w:hAnsi="Arial" w:cs="Arial"/>
          <w:sz w:val="22"/>
          <w:szCs w:val="22"/>
        </w:rPr>
        <w:t>. Surrounding land uses include rural farmland, dispersed residential properties, and small</w:t>
      </w:r>
      <w:r w:rsidRPr="009B5404">
        <w:rPr>
          <w:rFonts w:ascii="Arial" w:hAnsi="Arial" w:cs="Arial"/>
          <w:sz w:val="22"/>
          <w:szCs w:val="22"/>
        </w:rPr>
        <w:noBreakHyphen/>
        <w:t>scale employment uses. The site is not within a designated landscape or conservation area.</w:t>
      </w:r>
    </w:p>
    <w:p w14:paraId="710F75F7" w14:textId="77777777" w:rsidR="008E1365" w:rsidRDefault="008E1365" w:rsidP="00683C17">
      <w:pPr>
        <w:spacing w:line="276" w:lineRule="auto"/>
        <w:jc w:val="both"/>
        <w:rPr>
          <w:rFonts w:ascii="Arial" w:hAnsi="Arial" w:cs="Arial"/>
          <w:sz w:val="22"/>
          <w:szCs w:val="22"/>
        </w:rPr>
      </w:pPr>
    </w:p>
    <w:p w14:paraId="61C4BCFB" w14:textId="787BE130" w:rsidR="008E1365" w:rsidRPr="009B5404" w:rsidRDefault="008E1365" w:rsidP="00683C17">
      <w:pPr>
        <w:spacing w:line="276" w:lineRule="auto"/>
        <w:jc w:val="both"/>
        <w:rPr>
          <w:rFonts w:ascii="Arial" w:hAnsi="Arial" w:cs="Arial"/>
          <w:color w:val="FF0000"/>
          <w:sz w:val="22"/>
          <w:szCs w:val="22"/>
        </w:rPr>
      </w:pPr>
      <w:r>
        <w:rPr>
          <w:rFonts w:ascii="Arial" w:hAnsi="Arial" w:cs="Arial"/>
          <w:sz w:val="22"/>
          <w:szCs w:val="22"/>
        </w:rPr>
        <w:t xml:space="preserve">Neighbouring </w:t>
      </w:r>
      <w:r w:rsidR="00A96204">
        <w:rPr>
          <w:rFonts w:ascii="Arial" w:hAnsi="Arial" w:cs="Arial"/>
          <w:sz w:val="22"/>
          <w:szCs w:val="22"/>
        </w:rPr>
        <w:t>land uses in proximity to East Farm include Business units and small commercial operations based at East Farm Business Park. The Codford Biogas anaerobic digestion facili</w:t>
      </w:r>
      <w:r w:rsidR="00814929">
        <w:rPr>
          <w:rFonts w:ascii="Arial" w:hAnsi="Arial" w:cs="Arial"/>
          <w:sz w:val="22"/>
          <w:szCs w:val="22"/>
        </w:rPr>
        <w:t xml:space="preserve">ty located on East Farm is located 1.3 miles from the warehouse. </w:t>
      </w:r>
    </w:p>
    <w:p w14:paraId="275A7774" w14:textId="77777777" w:rsidR="008E4A21" w:rsidRDefault="008E4A21" w:rsidP="00683C17">
      <w:pPr>
        <w:spacing w:line="276" w:lineRule="auto"/>
        <w:jc w:val="both"/>
        <w:outlineLvl w:val="2"/>
        <w:rPr>
          <w:rFonts w:ascii="Arial" w:hAnsi="Arial" w:cs="Arial"/>
          <w:b/>
          <w:bCs/>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2D87870E" w14:textId="7AA1B601" w:rsidR="00C932F5" w:rsidRDefault="008F0C6B" w:rsidP="00007269">
      <w:pPr>
        <w:spacing w:before="100" w:beforeAutospacing="1" w:after="100" w:afterAutospacing="1"/>
        <w:jc w:val="both"/>
        <w:rPr>
          <w:rFonts w:ascii="Arial" w:hAnsi="Arial" w:cs="Arial"/>
          <w:sz w:val="22"/>
          <w:szCs w:val="22"/>
        </w:rPr>
      </w:pPr>
      <w:r>
        <w:rPr>
          <w:rFonts w:ascii="Arial" w:hAnsi="Arial" w:cs="Arial"/>
          <w:sz w:val="22"/>
          <w:szCs w:val="22"/>
        </w:rPr>
        <w:t>T</w:t>
      </w:r>
      <w:r w:rsidR="00FE7EA4" w:rsidRPr="00FE7EA4">
        <w:rPr>
          <w:rFonts w:ascii="Arial" w:hAnsi="Arial" w:cs="Arial"/>
          <w:sz w:val="22"/>
          <w:szCs w:val="22"/>
        </w:rPr>
        <w:t xml:space="preserve">he applicant </w:t>
      </w:r>
      <w:r w:rsidR="00CB325A">
        <w:rPr>
          <w:rFonts w:ascii="Arial" w:hAnsi="Arial" w:cs="Arial"/>
          <w:sz w:val="22"/>
          <w:szCs w:val="22"/>
        </w:rPr>
        <w:t>is a</w:t>
      </w:r>
      <w:r w:rsidR="009A65C5">
        <w:rPr>
          <w:rFonts w:ascii="Arial" w:hAnsi="Arial" w:cs="Arial"/>
          <w:sz w:val="22"/>
          <w:szCs w:val="22"/>
        </w:rPr>
        <w:t>n</w:t>
      </w:r>
      <w:r w:rsidR="00CB325A">
        <w:rPr>
          <w:rFonts w:ascii="Arial" w:hAnsi="Arial" w:cs="Arial"/>
          <w:sz w:val="22"/>
          <w:szCs w:val="22"/>
        </w:rPr>
        <w:t xml:space="preserve"> agrochemical and horticultural input advice and supply company and </w:t>
      </w:r>
      <w:r w:rsidR="00FE7EA4" w:rsidRPr="00FE7EA4">
        <w:rPr>
          <w:rFonts w:ascii="Arial" w:hAnsi="Arial" w:cs="Arial"/>
          <w:sz w:val="22"/>
          <w:szCs w:val="22"/>
        </w:rPr>
        <w:t xml:space="preserve">seeks Hazardous Substances Consent (HSC) </w:t>
      </w:r>
      <w:r w:rsidR="003D637B">
        <w:rPr>
          <w:rFonts w:ascii="Arial" w:hAnsi="Arial" w:cs="Arial"/>
          <w:sz w:val="22"/>
          <w:szCs w:val="22"/>
        </w:rPr>
        <w:t>fo</w:t>
      </w:r>
      <w:r w:rsidR="00C932F5">
        <w:rPr>
          <w:rFonts w:ascii="Arial" w:hAnsi="Arial" w:cs="Arial"/>
          <w:sz w:val="22"/>
          <w:szCs w:val="22"/>
        </w:rPr>
        <w:t>r:</w:t>
      </w:r>
    </w:p>
    <w:p w14:paraId="2F40DC51" w14:textId="76274665" w:rsidR="00C932F5" w:rsidRDefault="00C932F5" w:rsidP="00007269">
      <w:pPr>
        <w:pStyle w:val="ListParagraph"/>
        <w:numPr>
          <w:ilvl w:val="0"/>
          <w:numId w:val="12"/>
        </w:numPr>
        <w:spacing w:before="100" w:beforeAutospacing="1" w:after="100" w:afterAutospacing="1"/>
        <w:jc w:val="both"/>
        <w:rPr>
          <w:rFonts w:ascii="Arial" w:hAnsi="Arial" w:cs="Arial"/>
          <w:sz w:val="22"/>
          <w:szCs w:val="22"/>
        </w:rPr>
      </w:pPr>
      <w:r>
        <w:rPr>
          <w:rFonts w:ascii="Arial" w:hAnsi="Arial" w:cs="Arial"/>
          <w:sz w:val="22"/>
          <w:szCs w:val="22"/>
        </w:rPr>
        <w:t xml:space="preserve">Part 1 E1 </w:t>
      </w:r>
      <w:r w:rsidR="00582942">
        <w:rPr>
          <w:rFonts w:ascii="Arial" w:hAnsi="Arial" w:cs="Arial"/>
          <w:sz w:val="22"/>
          <w:szCs w:val="22"/>
        </w:rPr>
        <w:t xml:space="preserve"> (Hazardous to the aquati</w:t>
      </w:r>
      <w:r w:rsidR="00607396">
        <w:rPr>
          <w:rFonts w:ascii="Arial" w:hAnsi="Arial" w:cs="Arial"/>
          <w:sz w:val="22"/>
          <w:szCs w:val="22"/>
        </w:rPr>
        <w:t xml:space="preserve">c environment Category Acute 1 or Chronic 1) </w:t>
      </w:r>
      <w:r w:rsidR="00582942">
        <w:rPr>
          <w:rFonts w:ascii="Arial" w:hAnsi="Arial" w:cs="Arial"/>
          <w:sz w:val="22"/>
          <w:szCs w:val="22"/>
        </w:rPr>
        <w:t>180 tonnes (exceed</w:t>
      </w:r>
      <w:r w:rsidR="007A2269">
        <w:rPr>
          <w:rFonts w:ascii="Arial" w:hAnsi="Arial" w:cs="Arial"/>
          <w:sz w:val="22"/>
          <w:szCs w:val="22"/>
        </w:rPr>
        <w:t>s</w:t>
      </w:r>
      <w:r w:rsidR="00582942">
        <w:rPr>
          <w:rFonts w:ascii="Arial" w:hAnsi="Arial" w:cs="Arial"/>
          <w:sz w:val="22"/>
          <w:szCs w:val="22"/>
        </w:rPr>
        <w:t xml:space="preserve"> the </w:t>
      </w:r>
      <w:r w:rsidR="006D3703">
        <w:rPr>
          <w:rFonts w:ascii="Arial" w:hAnsi="Arial" w:cs="Arial"/>
          <w:sz w:val="22"/>
          <w:szCs w:val="22"/>
        </w:rPr>
        <w:t xml:space="preserve">controlled </w:t>
      </w:r>
      <w:r w:rsidR="00F03793">
        <w:rPr>
          <w:rFonts w:ascii="Arial" w:hAnsi="Arial" w:cs="Arial"/>
          <w:sz w:val="22"/>
          <w:szCs w:val="22"/>
        </w:rPr>
        <w:t>100 ton</w:t>
      </w:r>
      <w:r w:rsidR="006D3703">
        <w:rPr>
          <w:rFonts w:ascii="Arial" w:hAnsi="Arial" w:cs="Arial"/>
          <w:sz w:val="22"/>
          <w:szCs w:val="22"/>
        </w:rPr>
        <w:t>n</w:t>
      </w:r>
      <w:r w:rsidR="00F03793">
        <w:rPr>
          <w:rFonts w:ascii="Arial" w:hAnsi="Arial" w:cs="Arial"/>
          <w:sz w:val="22"/>
          <w:szCs w:val="22"/>
        </w:rPr>
        <w:t>es)</w:t>
      </w:r>
      <w:r w:rsidR="004D1D73">
        <w:rPr>
          <w:rFonts w:ascii="Arial" w:hAnsi="Arial" w:cs="Arial"/>
          <w:sz w:val="22"/>
          <w:szCs w:val="22"/>
        </w:rPr>
        <w:t xml:space="preserve"> 1 trailer load per week</w:t>
      </w:r>
    </w:p>
    <w:p w14:paraId="367B67FE" w14:textId="489E5969" w:rsidR="00582942" w:rsidRPr="00C932F5" w:rsidRDefault="00582942" w:rsidP="00007269">
      <w:pPr>
        <w:pStyle w:val="ListParagraph"/>
        <w:numPr>
          <w:ilvl w:val="0"/>
          <w:numId w:val="12"/>
        </w:numPr>
        <w:spacing w:before="100" w:beforeAutospacing="1" w:after="100" w:afterAutospacing="1"/>
        <w:jc w:val="both"/>
        <w:rPr>
          <w:rFonts w:ascii="Arial" w:hAnsi="Arial" w:cs="Arial"/>
          <w:sz w:val="22"/>
          <w:szCs w:val="22"/>
        </w:rPr>
      </w:pPr>
      <w:r>
        <w:rPr>
          <w:rFonts w:ascii="Arial" w:hAnsi="Arial" w:cs="Arial"/>
          <w:sz w:val="22"/>
          <w:szCs w:val="22"/>
        </w:rPr>
        <w:t>Part 1 E2</w:t>
      </w:r>
      <w:r w:rsidR="00607396">
        <w:rPr>
          <w:rFonts w:ascii="Arial" w:hAnsi="Arial" w:cs="Arial"/>
          <w:sz w:val="22"/>
          <w:szCs w:val="22"/>
        </w:rPr>
        <w:t xml:space="preserve"> (Hazardous to the aquatic environment Category Chronic </w:t>
      </w:r>
      <w:r w:rsidR="00BB2009">
        <w:rPr>
          <w:rFonts w:ascii="Arial" w:hAnsi="Arial" w:cs="Arial"/>
          <w:sz w:val="22"/>
          <w:szCs w:val="22"/>
        </w:rPr>
        <w:t>2</w:t>
      </w:r>
      <w:r w:rsidR="00607396">
        <w:rPr>
          <w:rFonts w:ascii="Arial" w:hAnsi="Arial" w:cs="Arial"/>
          <w:sz w:val="22"/>
          <w:szCs w:val="22"/>
        </w:rPr>
        <w:t>)</w:t>
      </w:r>
      <w:r w:rsidR="00BB2009">
        <w:rPr>
          <w:rFonts w:ascii="Arial" w:hAnsi="Arial" w:cs="Arial"/>
          <w:sz w:val="22"/>
          <w:szCs w:val="22"/>
        </w:rPr>
        <w:t xml:space="preserve"> 200 tonnes (exceeds the</w:t>
      </w:r>
      <w:r w:rsidR="006D3703">
        <w:rPr>
          <w:rFonts w:ascii="Arial" w:hAnsi="Arial" w:cs="Arial"/>
          <w:sz w:val="22"/>
          <w:szCs w:val="22"/>
        </w:rPr>
        <w:t xml:space="preserve"> controlled</w:t>
      </w:r>
      <w:r w:rsidR="00BB2009">
        <w:rPr>
          <w:rFonts w:ascii="Arial" w:hAnsi="Arial" w:cs="Arial"/>
          <w:sz w:val="22"/>
          <w:szCs w:val="22"/>
        </w:rPr>
        <w:t xml:space="preserve"> </w:t>
      </w:r>
      <w:r w:rsidR="006D3703">
        <w:rPr>
          <w:rFonts w:ascii="Arial" w:hAnsi="Arial" w:cs="Arial"/>
          <w:sz w:val="22"/>
          <w:szCs w:val="22"/>
        </w:rPr>
        <w:t>200 tonnes)</w:t>
      </w:r>
      <w:r w:rsidR="0038352E">
        <w:rPr>
          <w:rFonts w:ascii="Arial" w:hAnsi="Arial" w:cs="Arial"/>
          <w:sz w:val="22"/>
          <w:szCs w:val="22"/>
        </w:rPr>
        <w:t xml:space="preserve"> 1 trailer load per day</w:t>
      </w:r>
    </w:p>
    <w:p w14:paraId="295F66CA" w14:textId="63D4E91A" w:rsidR="00D50A9C" w:rsidRPr="00C932F5" w:rsidRDefault="00D50A9C" w:rsidP="00007269">
      <w:pPr>
        <w:spacing w:before="100" w:beforeAutospacing="1" w:after="100" w:afterAutospacing="1"/>
        <w:jc w:val="both"/>
        <w:rPr>
          <w:rFonts w:ascii="Arial" w:hAnsi="Arial" w:cs="Arial"/>
          <w:sz w:val="22"/>
          <w:szCs w:val="22"/>
        </w:rPr>
      </w:pPr>
      <w:r w:rsidRPr="00C932F5">
        <w:rPr>
          <w:rFonts w:ascii="Arial" w:hAnsi="Arial" w:cs="Arial"/>
          <w:sz w:val="22"/>
          <w:szCs w:val="22"/>
        </w:rPr>
        <w:t xml:space="preserve">This consent is required regardless of whether planning permission is needed, because the quantities exceed thresholds in the Planning (Hazardous Substances) Regulations 2015. </w:t>
      </w:r>
    </w:p>
    <w:p w14:paraId="6903F089" w14:textId="3F9A28CE" w:rsidR="001C7998" w:rsidRDefault="001C7998" w:rsidP="00007269">
      <w:pPr>
        <w:spacing w:before="100" w:beforeAutospacing="1" w:after="100" w:afterAutospacing="1"/>
        <w:jc w:val="both"/>
        <w:rPr>
          <w:rFonts w:ascii="Arial" w:hAnsi="Arial" w:cs="Arial"/>
          <w:sz w:val="22"/>
          <w:szCs w:val="22"/>
        </w:rPr>
      </w:pPr>
      <w:r>
        <w:rPr>
          <w:rFonts w:ascii="Arial" w:hAnsi="Arial" w:cs="Arial"/>
          <w:sz w:val="22"/>
          <w:szCs w:val="22"/>
        </w:rPr>
        <w:t xml:space="preserve">The material is to be stored </w:t>
      </w:r>
      <w:r w:rsidR="006B393E">
        <w:rPr>
          <w:rFonts w:ascii="Arial" w:hAnsi="Arial" w:cs="Arial"/>
          <w:sz w:val="22"/>
          <w:szCs w:val="22"/>
        </w:rPr>
        <w:t>in an internal warehouse unit – Store 1 and 2</w:t>
      </w:r>
    </w:p>
    <w:p w14:paraId="4DB19AF2" w14:textId="77777777" w:rsidR="00FE03E6" w:rsidRPr="00FE03E6" w:rsidRDefault="00FE03E6" w:rsidP="00007269">
      <w:pPr>
        <w:pStyle w:val="BodyText"/>
        <w:spacing w:line="268" w:lineRule="exact"/>
        <w:ind w:left="103"/>
        <w:rPr>
          <w:rFonts w:ascii="Arial" w:hAnsi="Arial" w:cs="Arial"/>
          <w:sz w:val="22"/>
          <w:szCs w:val="22"/>
        </w:rPr>
      </w:pPr>
      <w:r w:rsidRPr="00FE03E6">
        <w:rPr>
          <w:rFonts w:ascii="Arial" w:hAnsi="Arial" w:cs="Arial"/>
          <w:sz w:val="22"/>
          <w:szCs w:val="22"/>
        </w:rPr>
        <w:t>The</w:t>
      </w:r>
      <w:r w:rsidRPr="00FE03E6">
        <w:rPr>
          <w:rFonts w:ascii="Arial" w:hAnsi="Arial" w:cs="Arial"/>
          <w:spacing w:val="-7"/>
          <w:sz w:val="22"/>
          <w:szCs w:val="22"/>
        </w:rPr>
        <w:t xml:space="preserve"> </w:t>
      </w:r>
      <w:r w:rsidRPr="00FE03E6">
        <w:rPr>
          <w:rFonts w:ascii="Arial" w:hAnsi="Arial" w:cs="Arial"/>
          <w:sz w:val="22"/>
          <w:szCs w:val="22"/>
        </w:rPr>
        <w:t>site</w:t>
      </w:r>
      <w:r w:rsidRPr="00FE03E6">
        <w:rPr>
          <w:rFonts w:ascii="Arial" w:hAnsi="Arial" w:cs="Arial"/>
          <w:spacing w:val="-4"/>
          <w:sz w:val="22"/>
          <w:szCs w:val="22"/>
        </w:rPr>
        <w:t xml:space="preserve"> </w:t>
      </w:r>
      <w:r w:rsidRPr="00FE03E6">
        <w:rPr>
          <w:rFonts w:ascii="Arial" w:hAnsi="Arial" w:cs="Arial"/>
          <w:sz w:val="22"/>
          <w:szCs w:val="22"/>
        </w:rPr>
        <w:t>conducts</w:t>
      </w:r>
      <w:r w:rsidRPr="00FE03E6">
        <w:rPr>
          <w:rFonts w:ascii="Arial" w:hAnsi="Arial" w:cs="Arial"/>
          <w:spacing w:val="-5"/>
          <w:sz w:val="22"/>
          <w:szCs w:val="22"/>
        </w:rPr>
        <w:t xml:space="preserve"> </w:t>
      </w:r>
      <w:r w:rsidRPr="00FE03E6">
        <w:rPr>
          <w:rFonts w:ascii="Arial" w:hAnsi="Arial" w:cs="Arial"/>
          <w:sz w:val="22"/>
          <w:szCs w:val="22"/>
        </w:rPr>
        <w:t>general</w:t>
      </w:r>
      <w:r w:rsidRPr="00FE03E6">
        <w:rPr>
          <w:rFonts w:ascii="Arial" w:hAnsi="Arial" w:cs="Arial"/>
          <w:spacing w:val="-6"/>
          <w:sz w:val="22"/>
          <w:szCs w:val="22"/>
        </w:rPr>
        <w:t xml:space="preserve"> </w:t>
      </w:r>
      <w:r w:rsidRPr="00FE03E6">
        <w:rPr>
          <w:rFonts w:ascii="Arial" w:hAnsi="Arial" w:cs="Arial"/>
          <w:sz w:val="22"/>
          <w:szCs w:val="22"/>
        </w:rPr>
        <w:t>warehouse</w:t>
      </w:r>
      <w:r w:rsidRPr="00FE03E6">
        <w:rPr>
          <w:rFonts w:ascii="Arial" w:hAnsi="Arial" w:cs="Arial"/>
          <w:spacing w:val="-4"/>
          <w:sz w:val="22"/>
          <w:szCs w:val="22"/>
        </w:rPr>
        <w:t xml:space="preserve"> </w:t>
      </w:r>
      <w:r w:rsidRPr="00FE03E6">
        <w:rPr>
          <w:rFonts w:ascii="Arial" w:hAnsi="Arial" w:cs="Arial"/>
          <w:sz w:val="22"/>
          <w:szCs w:val="22"/>
        </w:rPr>
        <w:t>activities</w:t>
      </w:r>
      <w:r w:rsidRPr="00FE03E6">
        <w:rPr>
          <w:rFonts w:ascii="Arial" w:hAnsi="Arial" w:cs="Arial"/>
          <w:spacing w:val="-3"/>
          <w:sz w:val="22"/>
          <w:szCs w:val="22"/>
        </w:rPr>
        <w:t xml:space="preserve"> </w:t>
      </w:r>
      <w:r w:rsidRPr="00FE03E6">
        <w:rPr>
          <w:rFonts w:ascii="Arial" w:hAnsi="Arial" w:cs="Arial"/>
          <w:sz w:val="22"/>
          <w:szCs w:val="22"/>
        </w:rPr>
        <w:t>in</w:t>
      </w:r>
      <w:r w:rsidRPr="00FE03E6">
        <w:rPr>
          <w:rFonts w:ascii="Arial" w:hAnsi="Arial" w:cs="Arial"/>
          <w:spacing w:val="-7"/>
          <w:sz w:val="22"/>
          <w:szCs w:val="22"/>
        </w:rPr>
        <w:t xml:space="preserve"> </w:t>
      </w:r>
      <w:r w:rsidRPr="00FE03E6">
        <w:rPr>
          <w:rFonts w:ascii="Arial" w:hAnsi="Arial" w:cs="Arial"/>
          <w:sz w:val="22"/>
          <w:szCs w:val="22"/>
        </w:rPr>
        <w:t>relation</w:t>
      </w:r>
      <w:r w:rsidRPr="00FE03E6">
        <w:rPr>
          <w:rFonts w:ascii="Arial" w:hAnsi="Arial" w:cs="Arial"/>
          <w:spacing w:val="-5"/>
          <w:sz w:val="22"/>
          <w:szCs w:val="22"/>
        </w:rPr>
        <w:t xml:space="preserve"> </w:t>
      </w:r>
      <w:r w:rsidRPr="00FE03E6">
        <w:rPr>
          <w:rFonts w:ascii="Arial" w:hAnsi="Arial" w:cs="Arial"/>
          <w:sz w:val="22"/>
          <w:szCs w:val="22"/>
        </w:rPr>
        <w:t>to</w:t>
      </w:r>
      <w:r w:rsidRPr="00FE03E6">
        <w:rPr>
          <w:rFonts w:ascii="Arial" w:hAnsi="Arial" w:cs="Arial"/>
          <w:spacing w:val="-5"/>
          <w:sz w:val="22"/>
          <w:szCs w:val="22"/>
        </w:rPr>
        <w:t xml:space="preserve"> </w:t>
      </w:r>
      <w:r w:rsidRPr="00FE03E6">
        <w:rPr>
          <w:rFonts w:ascii="Arial" w:hAnsi="Arial" w:cs="Arial"/>
          <w:sz w:val="22"/>
          <w:szCs w:val="22"/>
        </w:rPr>
        <w:t>the</w:t>
      </w:r>
      <w:r w:rsidRPr="00FE03E6">
        <w:rPr>
          <w:rFonts w:ascii="Arial" w:hAnsi="Arial" w:cs="Arial"/>
          <w:spacing w:val="-4"/>
          <w:sz w:val="22"/>
          <w:szCs w:val="22"/>
        </w:rPr>
        <w:t xml:space="preserve"> </w:t>
      </w:r>
      <w:r w:rsidRPr="00FE03E6">
        <w:rPr>
          <w:rFonts w:ascii="Arial" w:hAnsi="Arial" w:cs="Arial"/>
          <w:spacing w:val="-2"/>
          <w:sz w:val="22"/>
          <w:szCs w:val="22"/>
        </w:rPr>
        <w:t>following:</w:t>
      </w:r>
    </w:p>
    <w:p w14:paraId="31921C0B" w14:textId="77777777" w:rsidR="00FE03E6" w:rsidRPr="00FE03E6" w:rsidRDefault="00FE03E6" w:rsidP="00007269">
      <w:pPr>
        <w:pStyle w:val="BodyText"/>
        <w:widowControl w:val="0"/>
        <w:numPr>
          <w:ilvl w:val="0"/>
          <w:numId w:val="13"/>
        </w:numPr>
        <w:tabs>
          <w:tab w:val="left" w:pos="823"/>
        </w:tabs>
        <w:autoSpaceDE w:val="0"/>
        <w:autoSpaceDN w:val="0"/>
        <w:spacing w:before="266"/>
        <w:ind w:right="196"/>
        <w:rPr>
          <w:rFonts w:ascii="Arial" w:hAnsi="Arial" w:cs="Arial"/>
          <w:sz w:val="22"/>
          <w:szCs w:val="22"/>
        </w:rPr>
      </w:pPr>
      <w:r w:rsidRPr="00FE03E6">
        <w:rPr>
          <w:rFonts w:ascii="Arial" w:hAnsi="Arial" w:cs="Arial"/>
          <w:sz w:val="22"/>
          <w:szCs w:val="22"/>
        </w:rPr>
        <w:t>Inbound</w:t>
      </w:r>
      <w:r w:rsidRPr="00FE03E6">
        <w:rPr>
          <w:rFonts w:ascii="Arial" w:hAnsi="Arial" w:cs="Arial"/>
          <w:spacing w:val="-4"/>
          <w:sz w:val="22"/>
          <w:szCs w:val="22"/>
        </w:rPr>
        <w:t xml:space="preserve"> </w:t>
      </w:r>
      <w:r w:rsidRPr="00FE03E6">
        <w:rPr>
          <w:rFonts w:ascii="Arial" w:hAnsi="Arial" w:cs="Arial"/>
          <w:sz w:val="22"/>
          <w:szCs w:val="22"/>
        </w:rPr>
        <w:t>and</w:t>
      </w:r>
      <w:r w:rsidRPr="00FE03E6">
        <w:rPr>
          <w:rFonts w:ascii="Arial" w:hAnsi="Arial" w:cs="Arial"/>
          <w:spacing w:val="-5"/>
          <w:sz w:val="22"/>
          <w:szCs w:val="22"/>
        </w:rPr>
        <w:t xml:space="preserve"> </w:t>
      </w:r>
      <w:r w:rsidRPr="00FE03E6">
        <w:rPr>
          <w:rFonts w:ascii="Arial" w:hAnsi="Arial" w:cs="Arial"/>
          <w:sz w:val="22"/>
          <w:szCs w:val="22"/>
        </w:rPr>
        <w:t>outbound</w:t>
      </w:r>
      <w:r w:rsidRPr="00FE03E6">
        <w:rPr>
          <w:rFonts w:ascii="Arial" w:hAnsi="Arial" w:cs="Arial"/>
          <w:spacing w:val="-6"/>
          <w:sz w:val="22"/>
          <w:szCs w:val="22"/>
        </w:rPr>
        <w:t xml:space="preserve"> </w:t>
      </w:r>
      <w:r w:rsidRPr="00FE03E6">
        <w:rPr>
          <w:rFonts w:ascii="Arial" w:hAnsi="Arial" w:cs="Arial"/>
          <w:sz w:val="22"/>
          <w:szCs w:val="22"/>
        </w:rPr>
        <w:t>movements</w:t>
      </w:r>
      <w:r w:rsidRPr="00FE03E6">
        <w:rPr>
          <w:rFonts w:ascii="Arial" w:hAnsi="Arial" w:cs="Arial"/>
          <w:spacing w:val="-6"/>
          <w:sz w:val="22"/>
          <w:szCs w:val="22"/>
        </w:rPr>
        <w:t xml:space="preserve"> </w:t>
      </w:r>
      <w:r w:rsidRPr="00FE03E6">
        <w:rPr>
          <w:rFonts w:ascii="Arial" w:hAnsi="Arial" w:cs="Arial"/>
          <w:sz w:val="22"/>
          <w:szCs w:val="22"/>
        </w:rPr>
        <w:t>of</w:t>
      </w:r>
      <w:r w:rsidRPr="00FE03E6">
        <w:rPr>
          <w:rFonts w:ascii="Arial" w:hAnsi="Arial" w:cs="Arial"/>
          <w:spacing w:val="-6"/>
          <w:sz w:val="22"/>
          <w:szCs w:val="22"/>
        </w:rPr>
        <w:t xml:space="preserve"> </w:t>
      </w:r>
      <w:r w:rsidRPr="00FE03E6">
        <w:rPr>
          <w:rFonts w:ascii="Arial" w:hAnsi="Arial" w:cs="Arial"/>
          <w:sz w:val="22"/>
          <w:szCs w:val="22"/>
        </w:rPr>
        <w:t>palletised</w:t>
      </w:r>
      <w:r w:rsidRPr="00FE03E6">
        <w:rPr>
          <w:rFonts w:ascii="Arial" w:hAnsi="Arial" w:cs="Arial"/>
          <w:spacing w:val="-3"/>
          <w:sz w:val="22"/>
          <w:szCs w:val="22"/>
        </w:rPr>
        <w:t xml:space="preserve"> </w:t>
      </w:r>
      <w:r w:rsidRPr="00FE03E6">
        <w:rPr>
          <w:rFonts w:ascii="Arial" w:hAnsi="Arial" w:cs="Arial"/>
          <w:sz w:val="22"/>
          <w:szCs w:val="22"/>
        </w:rPr>
        <w:t>dangerous</w:t>
      </w:r>
      <w:r w:rsidRPr="00FE03E6">
        <w:rPr>
          <w:rFonts w:ascii="Arial" w:hAnsi="Arial" w:cs="Arial"/>
          <w:spacing w:val="-3"/>
          <w:sz w:val="22"/>
          <w:szCs w:val="22"/>
        </w:rPr>
        <w:t xml:space="preserve"> </w:t>
      </w:r>
      <w:r w:rsidRPr="00FE03E6">
        <w:rPr>
          <w:rFonts w:ascii="Arial" w:hAnsi="Arial" w:cs="Arial"/>
          <w:sz w:val="22"/>
          <w:szCs w:val="22"/>
        </w:rPr>
        <w:t>goods</w:t>
      </w:r>
      <w:r w:rsidRPr="00FE03E6">
        <w:rPr>
          <w:rFonts w:ascii="Arial" w:hAnsi="Arial" w:cs="Arial"/>
          <w:spacing w:val="-6"/>
          <w:sz w:val="22"/>
          <w:szCs w:val="22"/>
        </w:rPr>
        <w:t xml:space="preserve"> </w:t>
      </w:r>
      <w:r w:rsidRPr="00FE03E6">
        <w:rPr>
          <w:rFonts w:ascii="Arial" w:hAnsi="Arial" w:cs="Arial"/>
          <w:sz w:val="22"/>
          <w:szCs w:val="22"/>
        </w:rPr>
        <w:t>from</w:t>
      </w:r>
      <w:r w:rsidRPr="00FE03E6">
        <w:rPr>
          <w:rFonts w:ascii="Arial" w:hAnsi="Arial" w:cs="Arial"/>
          <w:spacing w:val="-5"/>
          <w:sz w:val="22"/>
          <w:szCs w:val="22"/>
        </w:rPr>
        <w:t xml:space="preserve"> </w:t>
      </w:r>
      <w:r w:rsidRPr="00FE03E6">
        <w:rPr>
          <w:rFonts w:ascii="Arial" w:hAnsi="Arial" w:cs="Arial"/>
          <w:sz w:val="22"/>
          <w:szCs w:val="22"/>
        </w:rPr>
        <w:t>heavy</w:t>
      </w:r>
      <w:r w:rsidRPr="00FE03E6">
        <w:rPr>
          <w:rFonts w:ascii="Arial" w:hAnsi="Arial" w:cs="Arial"/>
          <w:spacing w:val="-3"/>
          <w:sz w:val="22"/>
          <w:szCs w:val="22"/>
        </w:rPr>
        <w:t xml:space="preserve"> </w:t>
      </w:r>
      <w:r w:rsidRPr="00FE03E6">
        <w:rPr>
          <w:rFonts w:ascii="Arial" w:hAnsi="Arial" w:cs="Arial"/>
          <w:sz w:val="22"/>
          <w:szCs w:val="22"/>
        </w:rPr>
        <w:t xml:space="preserve">goods </w:t>
      </w:r>
      <w:r w:rsidRPr="00FE03E6">
        <w:rPr>
          <w:rFonts w:ascii="Arial" w:hAnsi="Arial" w:cs="Arial"/>
          <w:spacing w:val="-2"/>
          <w:sz w:val="22"/>
          <w:szCs w:val="22"/>
        </w:rPr>
        <w:t>vehicles.</w:t>
      </w:r>
    </w:p>
    <w:p w14:paraId="4D4A9B93" w14:textId="77777777" w:rsidR="00FE03E6" w:rsidRPr="00FE03E6" w:rsidRDefault="00FE03E6" w:rsidP="00007269">
      <w:pPr>
        <w:pStyle w:val="BodyText"/>
        <w:widowControl w:val="0"/>
        <w:numPr>
          <w:ilvl w:val="0"/>
          <w:numId w:val="13"/>
        </w:numPr>
        <w:tabs>
          <w:tab w:val="left" w:pos="823"/>
        </w:tabs>
        <w:autoSpaceDE w:val="0"/>
        <w:autoSpaceDN w:val="0"/>
        <w:spacing w:before="1"/>
        <w:ind w:right="960"/>
        <w:rPr>
          <w:rFonts w:ascii="Arial" w:hAnsi="Arial" w:cs="Arial"/>
          <w:sz w:val="22"/>
          <w:szCs w:val="22"/>
        </w:rPr>
      </w:pPr>
      <w:r w:rsidRPr="00FE03E6">
        <w:rPr>
          <w:rFonts w:ascii="Arial" w:hAnsi="Arial" w:cs="Arial"/>
          <w:sz w:val="22"/>
          <w:szCs w:val="22"/>
        </w:rPr>
        <w:t>Unloading</w:t>
      </w:r>
      <w:r w:rsidRPr="00FE03E6">
        <w:rPr>
          <w:rFonts w:ascii="Arial" w:hAnsi="Arial" w:cs="Arial"/>
          <w:spacing w:val="-5"/>
          <w:sz w:val="22"/>
          <w:szCs w:val="22"/>
        </w:rPr>
        <w:t xml:space="preserve"> </w:t>
      </w:r>
      <w:r w:rsidRPr="00FE03E6">
        <w:rPr>
          <w:rFonts w:ascii="Arial" w:hAnsi="Arial" w:cs="Arial"/>
          <w:sz w:val="22"/>
          <w:szCs w:val="22"/>
        </w:rPr>
        <w:t>and</w:t>
      </w:r>
      <w:r w:rsidRPr="00FE03E6">
        <w:rPr>
          <w:rFonts w:ascii="Arial" w:hAnsi="Arial" w:cs="Arial"/>
          <w:spacing w:val="-6"/>
          <w:sz w:val="22"/>
          <w:szCs w:val="22"/>
        </w:rPr>
        <w:t xml:space="preserve"> </w:t>
      </w:r>
      <w:r w:rsidRPr="00FE03E6">
        <w:rPr>
          <w:rFonts w:ascii="Arial" w:hAnsi="Arial" w:cs="Arial"/>
          <w:sz w:val="22"/>
          <w:szCs w:val="22"/>
        </w:rPr>
        <w:t>loading</w:t>
      </w:r>
      <w:r w:rsidRPr="00FE03E6">
        <w:rPr>
          <w:rFonts w:ascii="Arial" w:hAnsi="Arial" w:cs="Arial"/>
          <w:spacing w:val="-7"/>
          <w:sz w:val="22"/>
          <w:szCs w:val="22"/>
        </w:rPr>
        <w:t xml:space="preserve"> </w:t>
      </w:r>
      <w:r w:rsidRPr="00FE03E6">
        <w:rPr>
          <w:rFonts w:ascii="Arial" w:hAnsi="Arial" w:cs="Arial"/>
          <w:sz w:val="22"/>
          <w:szCs w:val="22"/>
        </w:rPr>
        <w:t>of</w:t>
      </w:r>
      <w:r w:rsidRPr="00FE03E6">
        <w:rPr>
          <w:rFonts w:ascii="Arial" w:hAnsi="Arial" w:cs="Arial"/>
          <w:spacing w:val="-4"/>
          <w:sz w:val="22"/>
          <w:szCs w:val="22"/>
        </w:rPr>
        <w:t xml:space="preserve"> </w:t>
      </w:r>
      <w:r w:rsidRPr="00FE03E6">
        <w:rPr>
          <w:rFonts w:ascii="Arial" w:hAnsi="Arial" w:cs="Arial"/>
          <w:sz w:val="22"/>
          <w:szCs w:val="22"/>
        </w:rPr>
        <w:t>dangerous</w:t>
      </w:r>
      <w:r w:rsidRPr="00FE03E6">
        <w:rPr>
          <w:rFonts w:ascii="Arial" w:hAnsi="Arial" w:cs="Arial"/>
          <w:spacing w:val="-4"/>
          <w:sz w:val="22"/>
          <w:szCs w:val="22"/>
        </w:rPr>
        <w:t xml:space="preserve"> </w:t>
      </w:r>
      <w:r w:rsidRPr="00FE03E6">
        <w:rPr>
          <w:rFonts w:ascii="Arial" w:hAnsi="Arial" w:cs="Arial"/>
          <w:sz w:val="22"/>
          <w:szCs w:val="22"/>
        </w:rPr>
        <w:t>goods</w:t>
      </w:r>
      <w:r w:rsidRPr="00FE03E6">
        <w:rPr>
          <w:rFonts w:ascii="Arial" w:hAnsi="Arial" w:cs="Arial"/>
          <w:spacing w:val="-7"/>
          <w:sz w:val="22"/>
          <w:szCs w:val="22"/>
        </w:rPr>
        <w:t xml:space="preserve"> </w:t>
      </w:r>
      <w:r w:rsidRPr="00FE03E6">
        <w:rPr>
          <w:rFonts w:ascii="Arial" w:hAnsi="Arial" w:cs="Arial"/>
          <w:sz w:val="22"/>
          <w:szCs w:val="22"/>
        </w:rPr>
        <w:t>in</w:t>
      </w:r>
      <w:r w:rsidRPr="00FE03E6">
        <w:rPr>
          <w:rFonts w:ascii="Arial" w:hAnsi="Arial" w:cs="Arial"/>
          <w:spacing w:val="-4"/>
          <w:sz w:val="22"/>
          <w:szCs w:val="22"/>
        </w:rPr>
        <w:t xml:space="preserve"> </w:t>
      </w:r>
      <w:r w:rsidRPr="00FE03E6">
        <w:rPr>
          <w:rFonts w:ascii="Arial" w:hAnsi="Arial" w:cs="Arial"/>
          <w:sz w:val="22"/>
          <w:szCs w:val="22"/>
        </w:rPr>
        <w:t>finished</w:t>
      </w:r>
      <w:r w:rsidRPr="00FE03E6">
        <w:rPr>
          <w:rFonts w:ascii="Arial" w:hAnsi="Arial" w:cs="Arial"/>
          <w:spacing w:val="-1"/>
          <w:sz w:val="22"/>
          <w:szCs w:val="22"/>
        </w:rPr>
        <w:t xml:space="preserve"> </w:t>
      </w:r>
      <w:r w:rsidRPr="00FE03E6">
        <w:rPr>
          <w:rFonts w:ascii="Arial" w:hAnsi="Arial" w:cs="Arial"/>
          <w:sz w:val="22"/>
          <w:szCs w:val="22"/>
        </w:rPr>
        <w:t>packaging’s,</w:t>
      </w:r>
      <w:r w:rsidRPr="00FE03E6">
        <w:rPr>
          <w:rFonts w:ascii="Arial" w:hAnsi="Arial" w:cs="Arial"/>
          <w:spacing w:val="-4"/>
          <w:sz w:val="22"/>
          <w:szCs w:val="22"/>
        </w:rPr>
        <w:t xml:space="preserve"> </w:t>
      </w:r>
      <w:r w:rsidRPr="00FE03E6">
        <w:rPr>
          <w:rFonts w:ascii="Arial" w:hAnsi="Arial" w:cs="Arial"/>
          <w:sz w:val="22"/>
          <w:szCs w:val="22"/>
        </w:rPr>
        <w:t>including movements of tonne bags (non-hazardous fertiliser)</w:t>
      </w:r>
    </w:p>
    <w:p w14:paraId="423F3E7A" w14:textId="77777777" w:rsidR="00FE03E6" w:rsidRPr="00FE03E6" w:rsidRDefault="00FE03E6" w:rsidP="00007269">
      <w:pPr>
        <w:pStyle w:val="BodyText"/>
        <w:widowControl w:val="0"/>
        <w:numPr>
          <w:ilvl w:val="0"/>
          <w:numId w:val="13"/>
        </w:numPr>
        <w:tabs>
          <w:tab w:val="left" w:pos="823"/>
        </w:tabs>
        <w:autoSpaceDE w:val="0"/>
        <w:autoSpaceDN w:val="0"/>
        <w:ind w:right="508"/>
        <w:rPr>
          <w:rFonts w:ascii="Arial" w:hAnsi="Arial" w:cs="Arial"/>
          <w:sz w:val="22"/>
          <w:szCs w:val="22"/>
        </w:rPr>
      </w:pPr>
      <w:r w:rsidRPr="00FE03E6">
        <w:rPr>
          <w:rFonts w:ascii="Arial" w:hAnsi="Arial" w:cs="Arial"/>
          <w:sz w:val="22"/>
          <w:szCs w:val="22"/>
        </w:rPr>
        <w:t>Pallet</w:t>
      </w:r>
      <w:r w:rsidRPr="00FE03E6">
        <w:rPr>
          <w:rFonts w:ascii="Arial" w:hAnsi="Arial" w:cs="Arial"/>
          <w:spacing w:val="-5"/>
          <w:sz w:val="22"/>
          <w:szCs w:val="22"/>
        </w:rPr>
        <w:t xml:space="preserve"> </w:t>
      </w:r>
      <w:r w:rsidRPr="00FE03E6">
        <w:rPr>
          <w:rFonts w:ascii="Arial" w:hAnsi="Arial" w:cs="Arial"/>
          <w:sz w:val="22"/>
          <w:szCs w:val="22"/>
        </w:rPr>
        <w:t>putaway</w:t>
      </w:r>
      <w:r w:rsidRPr="00FE03E6">
        <w:rPr>
          <w:rFonts w:ascii="Arial" w:hAnsi="Arial" w:cs="Arial"/>
          <w:spacing w:val="-3"/>
          <w:sz w:val="22"/>
          <w:szCs w:val="22"/>
        </w:rPr>
        <w:t xml:space="preserve"> </w:t>
      </w:r>
      <w:r w:rsidRPr="00FE03E6">
        <w:rPr>
          <w:rFonts w:ascii="Arial" w:hAnsi="Arial" w:cs="Arial"/>
          <w:sz w:val="22"/>
          <w:szCs w:val="22"/>
        </w:rPr>
        <w:t>and</w:t>
      </w:r>
      <w:r w:rsidRPr="00FE03E6">
        <w:rPr>
          <w:rFonts w:ascii="Arial" w:hAnsi="Arial" w:cs="Arial"/>
          <w:spacing w:val="-5"/>
          <w:sz w:val="22"/>
          <w:szCs w:val="22"/>
        </w:rPr>
        <w:t xml:space="preserve"> </w:t>
      </w:r>
      <w:r w:rsidRPr="00FE03E6">
        <w:rPr>
          <w:rFonts w:ascii="Arial" w:hAnsi="Arial" w:cs="Arial"/>
          <w:sz w:val="22"/>
          <w:szCs w:val="22"/>
        </w:rPr>
        <w:t>storage</w:t>
      </w:r>
      <w:r w:rsidRPr="00FE03E6">
        <w:rPr>
          <w:rFonts w:ascii="Arial" w:hAnsi="Arial" w:cs="Arial"/>
          <w:spacing w:val="-5"/>
          <w:sz w:val="22"/>
          <w:szCs w:val="22"/>
        </w:rPr>
        <w:t xml:space="preserve"> </w:t>
      </w:r>
      <w:r w:rsidRPr="00FE03E6">
        <w:rPr>
          <w:rFonts w:ascii="Arial" w:hAnsi="Arial" w:cs="Arial"/>
          <w:sz w:val="22"/>
          <w:szCs w:val="22"/>
        </w:rPr>
        <w:t>at</w:t>
      </w:r>
      <w:r w:rsidRPr="00FE03E6">
        <w:rPr>
          <w:rFonts w:ascii="Arial" w:hAnsi="Arial" w:cs="Arial"/>
          <w:spacing w:val="-3"/>
          <w:sz w:val="22"/>
          <w:szCs w:val="22"/>
        </w:rPr>
        <w:t xml:space="preserve"> </w:t>
      </w:r>
      <w:r w:rsidRPr="00FE03E6">
        <w:rPr>
          <w:rFonts w:ascii="Arial" w:hAnsi="Arial" w:cs="Arial"/>
          <w:sz w:val="22"/>
          <w:szCs w:val="22"/>
        </w:rPr>
        <w:t>ground</w:t>
      </w:r>
      <w:r w:rsidRPr="00FE03E6">
        <w:rPr>
          <w:rFonts w:ascii="Arial" w:hAnsi="Arial" w:cs="Arial"/>
          <w:spacing w:val="-4"/>
          <w:sz w:val="22"/>
          <w:szCs w:val="22"/>
        </w:rPr>
        <w:t xml:space="preserve"> </w:t>
      </w:r>
      <w:r w:rsidRPr="00FE03E6">
        <w:rPr>
          <w:rFonts w:ascii="Arial" w:hAnsi="Arial" w:cs="Arial"/>
          <w:sz w:val="22"/>
          <w:szCs w:val="22"/>
        </w:rPr>
        <w:t>level</w:t>
      </w:r>
      <w:r w:rsidRPr="00FE03E6">
        <w:rPr>
          <w:rFonts w:ascii="Arial" w:hAnsi="Arial" w:cs="Arial"/>
          <w:spacing w:val="-3"/>
          <w:sz w:val="22"/>
          <w:szCs w:val="22"/>
        </w:rPr>
        <w:t xml:space="preserve"> </w:t>
      </w:r>
      <w:r w:rsidRPr="00FE03E6">
        <w:rPr>
          <w:rFonts w:ascii="Arial" w:hAnsi="Arial" w:cs="Arial"/>
          <w:sz w:val="22"/>
          <w:szCs w:val="22"/>
        </w:rPr>
        <w:t>and</w:t>
      </w:r>
      <w:r w:rsidRPr="00FE03E6">
        <w:rPr>
          <w:rFonts w:ascii="Arial" w:hAnsi="Arial" w:cs="Arial"/>
          <w:spacing w:val="-5"/>
          <w:sz w:val="22"/>
          <w:szCs w:val="22"/>
        </w:rPr>
        <w:t xml:space="preserve"> </w:t>
      </w:r>
      <w:r w:rsidRPr="00FE03E6">
        <w:rPr>
          <w:rFonts w:ascii="Arial" w:hAnsi="Arial" w:cs="Arial"/>
          <w:sz w:val="22"/>
          <w:szCs w:val="22"/>
        </w:rPr>
        <w:t>racking</w:t>
      </w:r>
      <w:r w:rsidRPr="00FE03E6">
        <w:rPr>
          <w:rFonts w:ascii="Arial" w:hAnsi="Arial" w:cs="Arial"/>
          <w:spacing w:val="-4"/>
          <w:sz w:val="22"/>
          <w:szCs w:val="22"/>
        </w:rPr>
        <w:t xml:space="preserve"> </w:t>
      </w:r>
      <w:r w:rsidRPr="00FE03E6">
        <w:rPr>
          <w:rFonts w:ascii="Arial" w:hAnsi="Arial" w:cs="Arial"/>
          <w:sz w:val="22"/>
          <w:szCs w:val="22"/>
        </w:rPr>
        <w:t>systems.</w:t>
      </w:r>
      <w:r w:rsidRPr="00FE03E6">
        <w:rPr>
          <w:rFonts w:ascii="Arial" w:hAnsi="Arial" w:cs="Arial"/>
          <w:spacing w:val="-3"/>
          <w:sz w:val="22"/>
          <w:szCs w:val="22"/>
        </w:rPr>
        <w:t xml:space="preserve"> </w:t>
      </w:r>
      <w:r w:rsidRPr="00FE03E6">
        <w:rPr>
          <w:rFonts w:ascii="Arial" w:hAnsi="Arial" w:cs="Arial"/>
          <w:sz w:val="22"/>
          <w:szCs w:val="22"/>
        </w:rPr>
        <w:t>(i.e.</w:t>
      </w:r>
      <w:r w:rsidRPr="00FE03E6">
        <w:rPr>
          <w:rFonts w:ascii="Arial" w:hAnsi="Arial" w:cs="Arial"/>
          <w:spacing w:val="-3"/>
          <w:sz w:val="22"/>
          <w:szCs w:val="22"/>
        </w:rPr>
        <w:t xml:space="preserve"> </w:t>
      </w:r>
      <w:r w:rsidRPr="00FE03E6">
        <w:rPr>
          <w:rFonts w:ascii="Arial" w:hAnsi="Arial" w:cs="Arial"/>
          <w:sz w:val="22"/>
          <w:szCs w:val="22"/>
        </w:rPr>
        <w:t>internal</w:t>
      </w:r>
      <w:r w:rsidRPr="00FE03E6">
        <w:rPr>
          <w:rFonts w:ascii="Arial" w:hAnsi="Arial" w:cs="Arial"/>
          <w:spacing w:val="-3"/>
          <w:sz w:val="22"/>
          <w:szCs w:val="22"/>
        </w:rPr>
        <w:t xml:space="preserve"> </w:t>
      </w:r>
      <w:r w:rsidRPr="00FE03E6">
        <w:rPr>
          <w:rFonts w:ascii="Arial" w:hAnsi="Arial" w:cs="Arial"/>
          <w:sz w:val="22"/>
          <w:szCs w:val="22"/>
        </w:rPr>
        <w:t>and external storage areas)</w:t>
      </w:r>
    </w:p>
    <w:p w14:paraId="0F4CB3A0" w14:textId="77777777" w:rsidR="00FE03E6" w:rsidRPr="00FE03E6" w:rsidRDefault="00FE03E6" w:rsidP="00007269">
      <w:pPr>
        <w:pStyle w:val="BodyText"/>
        <w:widowControl w:val="0"/>
        <w:numPr>
          <w:ilvl w:val="0"/>
          <w:numId w:val="13"/>
        </w:numPr>
        <w:tabs>
          <w:tab w:val="left" w:pos="823"/>
        </w:tabs>
        <w:autoSpaceDE w:val="0"/>
        <w:autoSpaceDN w:val="0"/>
        <w:rPr>
          <w:rFonts w:ascii="Arial" w:hAnsi="Arial" w:cs="Arial"/>
          <w:sz w:val="22"/>
          <w:szCs w:val="22"/>
        </w:rPr>
      </w:pPr>
      <w:r w:rsidRPr="00FE03E6">
        <w:rPr>
          <w:rFonts w:ascii="Arial" w:hAnsi="Arial" w:cs="Arial"/>
          <w:sz w:val="22"/>
          <w:szCs w:val="22"/>
        </w:rPr>
        <w:t>Small</w:t>
      </w:r>
      <w:r w:rsidRPr="00FE03E6">
        <w:rPr>
          <w:rFonts w:ascii="Arial" w:hAnsi="Arial" w:cs="Arial"/>
          <w:spacing w:val="-5"/>
          <w:sz w:val="22"/>
          <w:szCs w:val="22"/>
        </w:rPr>
        <w:t xml:space="preserve"> </w:t>
      </w:r>
      <w:r w:rsidRPr="00FE03E6">
        <w:rPr>
          <w:rFonts w:ascii="Arial" w:hAnsi="Arial" w:cs="Arial"/>
          <w:sz w:val="22"/>
          <w:szCs w:val="22"/>
        </w:rPr>
        <w:t>cage</w:t>
      </w:r>
      <w:r w:rsidRPr="00FE03E6">
        <w:rPr>
          <w:rFonts w:ascii="Arial" w:hAnsi="Arial" w:cs="Arial"/>
          <w:spacing w:val="-5"/>
          <w:sz w:val="22"/>
          <w:szCs w:val="22"/>
        </w:rPr>
        <w:t xml:space="preserve"> </w:t>
      </w:r>
      <w:r w:rsidRPr="00FE03E6">
        <w:rPr>
          <w:rFonts w:ascii="Arial" w:hAnsi="Arial" w:cs="Arial"/>
          <w:sz w:val="22"/>
          <w:szCs w:val="22"/>
        </w:rPr>
        <w:t>installation</w:t>
      </w:r>
      <w:r w:rsidRPr="00FE03E6">
        <w:rPr>
          <w:rFonts w:ascii="Arial" w:hAnsi="Arial" w:cs="Arial"/>
          <w:spacing w:val="-3"/>
          <w:sz w:val="22"/>
          <w:szCs w:val="22"/>
        </w:rPr>
        <w:t xml:space="preserve"> </w:t>
      </w:r>
      <w:r w:rsidRPr="00FE03E6">
        <w:rPr>
          <w:rFonts w:ascii="Arial" w:hAnsi="Arial" w:cs="Arial"/>
          <w:sz w:val="22"/>
          <w:szCs w:val="22"/>
        </w:rPr>
        <w:t>for</w:t>
      </w:r>
      <w:r w:rsidRPr="00FE03E6">
        <w:rPr>
          <w:rFonts w:ascii="Arial" w:hAnsi="Arial" w:cs="Arial"/>
          <w:spacing w:val="-2"/>
          <w:sz w:val="22"/>
          <w:szCs w:val="22"/>
        </w:rPr>
        <w:t xml:space="preserve"> </w:t>
      </w:r>
      <w:r w:rsidRPr="00FE03E6">
        <w:rPr>
          <w:rFonts w:ascii="Arial" w:hAnsi="Arial" w:cs="Arial"/>
          <w:sz w:val="22"/>
          <w:szCs w:val="22"/>
        </w:rPr>
        <w:t>the</w:t>
      </w:r>
      <w:r w:rsidRPr="00FE03E6">
        <w:rPr>
          <w:rFonts w:ascii="Arial" w:hAnsi="Arial" w:cs="Arial"/>
          <w:spacing w:val="-2"/>
          <w:sz w:val="22"/>
          <w:szCs w:val="22"/>
        </w:rPr>
        <w:t xml:space="preserve"> </w:t>
      </w:r>
      <w:r w:rsidRPr="00FE03E6">
        <w:rPr>
          <w:rFonts w:ascii="Arial" w:hAnsi="Arial" w:cs="Arial"/>
          <w:sz w:val="22"/>
          <w:szCs w:val="22"/>
        </w:rPr>
        <w:t>storage</w:t>
      </w:r>
      <w:r w:rsidRPr="00FE03E6">
        <w:rPr>
          <w:rFonts w:ascii="Arial" w:hAnsi="Arial" w:cs="Arial"/>
          <w:spacing w:val="-4"/>
          <w:sz w:val="22"/>
          <w:szCs w:val="22"/>
        </w:rPr>
        <w:t xml:space="preserve"> </w:t>
      </w:r>
      <w:r w:rsidRPr="00FE03E6">
        <w:rPr>
          <w:rFonts w:ascii="Arial" w:hAnsi="Arial" w:cs="Arial"/>
          <w:sz w:val="22"/>
          <w:szCs w:val="22"/>
        </w:rPr>
        <w:t>of</w:t>
      </w:r>
      <w:r w:rsidRPr="00FE03E6">
        <w:rPr>
          <w:rFonts w:ascii="Arial" w:hAnsi="Arial" w:cs="Arial"/>
          <w:spacing w:val="-3"/>
          <w:sz w:val="22"/>
          <w:szCs w:val="22"/>
        </w:rPr>
        <w:t xml:space="preserve"> </w:t>
      </w:r>
      <w:r w:rsidRPr="00FE03E6">
        <w:rPr>
          <w:rFonts w:ascii="Arial" w:hAnsi="Arial" w:cs="Arial"/>
          <w:sz w:val="22"/>
          <w:szCs w:val="22"/>
        </w:rPr>
        <w:t>unused</w:t>
      </w:r>
      <w:r w:rsidRPr="00FE03E6">
        <w:rPr>
          <w:rFonts w:ascii="Arial" w:hAnsi="Arial" w:cs="Arial"/>
          <w:spacing w:val="-5"/>
          <w:sz w:val="22"/>
          <w:szCs w:val="22"/>
        </w:rPr>
        <w:t xml:space="preserve"> </w:t>
      </w:r>
      <w:r w:rsidRPr="00FE03E6">
        <w:rPr>
          <w:rFonts w:ascii="Arial" w:hAnsi="Arial" w:cs="Arial"/>
          <w:sz w:val="22"/>
          <w:szCs w:val="22"/>
        </w:rPr>
        <w:t>or</w:t>
      </w:r>
      <w:r w:rsidRPr="00FE03E6">
        <w:rPr>
          <w:rFonts w:ascii="Arial" w:hAnsi="Arial" w:cs="Arial"/>
          <w:spacing w:val="-4"/>
          <w:sz w:val="22"/>
          <w:szCs w:val="22"/>
        </w:rPr>
        <w:t xml:space="preserve"> </w:t>
      </w:r>
      <w:r w:rsidRPr="00FE03E6">
        <w:rPr>
          <w:rFonts w:ascii="Arial" w:hAnsi="Arial" w:cs="Arial"/>
          <w:sz w:val="22"/>
          <w:szCs w:val="22"/>
        </w:rPr>
        <w:t>empty</w:t>
      </w:r>
      <w:r w:rsidRPr="00FE03E6">
        <w:rPr>
          <w:rFonts w:ascii="Arial" w:hAnsi="Arial" w:cs="Arial"/>
          <w:spacing w:val="-3"/>
          <w:sz w:val="22"/>
          <w:szCs w:val="22"/>
        </w:rPr>
        <w:t xml:space="preserve"> </w:t>
      </w:r>
      <w:r w:rsidRPr="00FE03E6">
        <w:rPr>
          <w:rFonts w:ascii="Arial" w:hAnsi="Arial" w:cs="Arial"/>
          <w:sz w:val="22"/>
          <w:szCs w:val="22"/>
        </w:rPr>
        <w:t>LPG</w:t>
      </w:r>
      <w:r w:rsidRPr="00FE03E6">
        <w:rPr>
          <w:rFonts w:ascii="Arial" w:hAnsi="Arial" w:cs="Arial"/>
          <w:spacing w:val="-2"/>
          <w:sz w:val="22"/>
          <w:szCs w:val="22"/>
        </w:rPr>
        <w:t xml:space="preserve"> </w:t>
      </w:r>
      <w:r w:rsidRPr="00FE03E6">
        <w:rPr>
          <w:rFonts w:ascii="Arial" w:hAnsi="Arial" w:cs="Arial"/>
          <w:sz w:val="22"/>
          <w:szCs w:val="22"/>
        </w:rPr>
        <w:t>bottles</w:t>
      </w:r>
      <w:r w:rsidRPr="00FE03E6">
        <w:rPr>
          <w:rFonts w:ascii="Arial" w:hAnsi="Arial" w:cs="Arial"/>
          <w:spacing w:val="1"/>
          <w:sz w:val="22"/>
          <w:szCs w:val="22"/>
        </w:rPr>
        <w:t xml:space="preserve"> </w:t>
      </w:r>
      <w:r w:rsidRPr="00FE03E6">
        <w:rPr>
          <w:rFonts w:ascii="Arial" w:hAnsi="Arial" w:cs="Arial"/>
          <w:sz w:val="22"/>
          <w:szCs w:val="22"/>
        </w:rPr>
        <w:t>for</w:t>
      </w:r>
      <w:r w:rsidRPr="00FE03E6">
        <w:rPr>
          <w:rFonts w:ascii="Arial" w:hAnsi="Arial" w:cs="Arial"/>
          <w:spacing w:val="-2"/>
          <w:sz w:val="22"/>
          <w:szCs w:val="22"/>
        </w:rPr>
        <w:t xml:space="preserve"> forklifts</w:t>
      </w:r>
    </w:p>
    <w:p w14:paraId="0C93CAC8" w14:textId="77777777" w:rsidR="00FE03E6" w:rsidRPr="00FE03E6" w:rsidRDefault="00FE03E6" w:rsidP="00007269">
      <w:pPr>
        <w:pStyle w:val="BodyText"/>
        <w:rPr>
          <w:rFonts w:ascii="Arial" w:hAnsi="Arial" w:cs="Arial"/>
          <w:sz w:val="22"/>
          <w:szCs w:val="22"/>
        </w:rPr>
      </w:pPr>
    </w:p>
    <w:p w14:paraId="1CD72357" w14:textId="77777777" w:rsidR="00FE03E6" w:rsidRPr="00FE03E6" w:rsidRDefault="00FE03E6" w:rsidP="00007269">
      <w:pPr>
        <w:pStyle w:val="BodyText"/>
        <w:spacing w:line="276" w:lineRule="auto"/>
        <w:ind w:left="103" w:right="194"/>
        <w:rPr>
          <w:rFonts w:ascii="Arial" w:hAnsi="Arial" w:cs="Arial"/>
          <w:sz w:val="22"/>
          <w:szCs w:val="22"/>
        </w:rPr>
      </w:pPr>
      <w:r w:rsidRPr="00FE03E6">
        <w:rPr>
          <w:rFonts w:ascii="Arial" w:hAnsi="Arial" w:cs="Arial"/>
          <w:sz w:val="22"/>
          <w:szCs w:val="22"/>
        </w:rPr>
        <w:t>The site offers warehousing and transportation solutions to its customers, supporting the supply</w:t>
      </w:r>
      <w:r w:rsidRPr="00FE03E6">
        <w:rPr>
          <w:rFonts w:ascii="Arial" w:hAnsi="Arial" w:cs="Arial"/>
          <w:spacing w:val="-2"/>
          <w:sz w:val="22"/>
          <w:szCs w:val="22"/>
        </w:rPr>
        <w:t xml:space="preserve"> </w:t>
      </w:r>
      <w:r w:rsidRPr="00FE03E6">
        <w:rPr>
          <w:rFonts w:ascii="Arial" w:hAnsi="Arial" w:cs="Arial"/>
          <w:sz w:val="22"/>
          <w:szCs w:val="22"/>
        </w:rPr>
        <w:t>chain</w:t>
      </w:r>
      <w:r w:rsidRPr="00FE03E6">
        <w:rPr>
          <w:rFonts w:ascii="Arial" w:hAnsi="Arial" w:cs="Arial"/>
          <w:spacing w:val="-4"/>
          <w:sz w:val="22"/>
          <w:szCs w:val="22"/>
        </w:rPr>
        <w:t xml:space="preserve"> </w:t>
      </w:r>
      <w:r w:rsidRPr="00FE03E6">
        <w:rPr>
          <w:rFonts w:ascii="Arial" w:hAnsi="Arial" w:cs="Arial"/>
          <w:sz w:val="22"/>
          <w:szCs w:val="22"/>
        </w:rPr>
        <w:t>for</w:t>
      </w:r>
      <w:r w:rsidRPr="00FE03E6">
        <w:rPr>
          <w:rFonts w:ascii="Arial" w:hAnsi="Arial" w:cs="Arial"/>
          <w:spacing w:val="-5"/>
          <w:sz w:val="22"/>
          <w:szCs w:val="22"/>
        </w:rPr>
        <w:t xml:space="preserve"> </w:t>
      </w:r>
      <w:r w:rsidRPr="00FE03E6">
        <w:rPr>
          <w:rFonts w:ascii="Arial" w:hAnsi="Arial" w:cs="Arial"/>
          <w:sz w:val="22"/>
          <w:szCs w:val="22"/>
        </w:rPr>
        <w:t>the</w:t>
      </w:r>
      <w:r w:rsidRPr="00FE03E6">
        <w:rPr>
          <w:rFonts w:ascii="Arial" w:hAnsi="Arial" w:cs="Arial"/>
          <w:spacing w:val="-2"/>
          <w:sz w:val="22"/>
          <w:szCs w:val="22"/>
        </w:rPr>
        <w:t xml:space="preserve"> </w:t>
      </w:r>
      <w:r w:rsidRPr="00FE03E6">
        <w:rPr>
          <w:rFonts w:ascii="Arial" w:hAnsi="Arial" w:cs="Arial"/>
          <w:sz w:val="22"/>
          <w:szCs w:val="22"/>
        </w:rPr>
        <w:t>agriculture</w:t>
      </w:r>
      <w:r w:rsidRPr="00FE03E6">
        <w:rPr>
          <w:rFonts w:ascii="Arial" w:hAnsi="Arial" w:cs="Arial"/>
          <w:spacing w:val="-2"/>
          <w:sz w:val="22"/>
          <w:szCs w:val="22"/>
        </w:rPr>
        <w:t xml:space="preserve"> </w:t>
      </w:r>
      <w:r w:rsidRPr="00FE03E6">
        <w:rPr>
          <w:rFonts w:ascii="Arial" w:hAnsi="Arial" w:cs="Arial"/>
          <w:sz w:val="22"/>
          <w:szCs w:val="22"/>
        </w:rPr>
        <w:t>crop</w:t>
      </w:r>
      <w:r w:rsidRPr="00FE03E6">
        <w:rPr>
          <w:rFonts w:ascii="Arial" w:hAnsi="Arial" w:cs="Arial"/>
          <w:spacing w:val="-3"/>
          <w:sz w:val="22"/>
          <w:szCs w:val="22"/>
        </w:rPr>
        <w:t xml:space="preserve"> </w:t>
      </w:r>
      <w:r w:rsidRPr="00FE03E6">
        <w:rPr>
          <w:rFonts w:ascii="Arial" w:hAnsi="Arial" w:cs="Arial"/>
          <w:sz w:val="22"/>
          <w:szCs w:val="22"/>
        </w:rPr>
        <w:t>protection</w:t>
      </w:r>
      <w:r w:rsidRPr="00FE03E6">
        <w:rPr>
          <w:rFonts w:ascii="Arial" w:hAnsi="Arial" w:cs="Arial"/>
          <w:spacing w:val="-1"/>
          <w:sz w:val="22"/>
          <w:szCs w:val="22"/>
        </w:rPr>
        <w:t xml:space="preserve"> </w:t>
      </w:r>
      <w:r w:rsidRPr="00FE03E6">
        <w:rPr>
          <w:rFonts w:ascii="Arial" w:hAnsi="Arial" w:cs="Arial"/>
          <w:sz w:val="22"/>
          <w:szCs w:val="22"/>
        </w:rPr>
        <w:t>industry.</w:t>
      </w:r>
      <w:r w:rsidRPr="00FE03E6">
        <w:rPr>
          <w:rFonts w:ascii="Arial" w:hAnsi="Arial" w:cs="Arial"/>
          <w:spacing w:val="-2"/>
          <w:sz w:val="22"/>
          <w:szCs w:val="22"/>
        </w:rPr>
        <w:t xml:space="preserve"> </w:t>
      </w:r>
      <w:r w:rsidRPr="00FE03E6">
        <w:rPr>
          <w:rFonts w:ascii="Arial" w:hAnsi="Arial" w:cs="Arial"/>
          <w:sz w:val="22"/>
          <w:szCs w:val="22"/>
        </w:rPr>
        <w:t>All</w:t>
      </w:r>
      <w:r w:rsidRPr="00FE03E6">
        <w:rPr>
          <w:rFonts w:ascii="Arial" w:hAnsi="Arial" w:cs="Arial"/>
          <w:spacing w:val="-3"/>
          <w:sz w:val="22"/>
          <w:szCs w:val="22"/>
        </w:rPr>
        <w:t xml:space="preserve"> </w:t>
      </w:r>
      <w:r w:rsidRPr="00FE03E6">
        <w:rPr>
          <w:rFonts w:ascii="Arial" w:hAnsi="Arial" w:cs="Arial"/>
          <w:sz w:val="22"/>
          <w:szCs w:val="22"/>
        </w:rPr>
        <w:t>inbound</w:t>
      </w:r>
      <w:r w:rsidRPr="00FE03E6">
        <w:rPr>
          <w:rFonts w:ascii="Arial" w:hAnsi="Arial" w:cs="Arial"/>
          <w:spacing w:val="-3"/>
          <w:sz w:val="22"/>
          <w:szCs w:val="22"/>
        </w:rPr>
        <w:t xml:space="preserve"> </w:t>
      </w:r>
      <w:r w:rsidRPr="00FE03E6">
        <w:rPr>
          <w:rFonts w:ascii="Arial" w:hAnsi="Arial" w:cs="Arial"/>
          <w:sz w:val="22"/>
          <w:szCs w:val="22"/>
        </w:rPr>
        <w:t>and</w:t>
      </w:r>
      <w:r w:rsidRPr="00FE03E6">
        <w:rPr>
          <w:rFonts w:ascii="Arial" w:hAnsi="Arial" w:cs="Arial"/>
          <w:spacing w:val="-6"/>
          <w:sz w:val="22"/>
          <w:szCs w:val="22"/>
        </w:rPr>
        <w:t xml:space="preserve"> </w:t>
      </w:r>
      <w:r w:rsidRPr="00FE03E6">
        <w:rPr>
          <w:rFonts w:ascii="Arial" w:hAnsi="Arial" w:cs="Arial"/>
          <w:sz w:val="22"/>
          <w:szCs w:val="22"/>
        </w:rPr>
        <w:t>outbound</w:t>
      </w:r>
      <w:r w:rsidRPr="00FE03E6">
        <w:rPr>
          <w:rFonts w:ascii="Arial" w:hAnsi="Arial" w:cs="Arial"/>
          <w:spacing w:val="-3"/>
          <w:sz w:val="22"/>
          <w:szCs w:val="22"/>
        </w:rPr>
        <w:t xml:space="preserve"> </w:t>
      </w:r>
      <w:r w:rsidRPr="00FE03E6">
        <w:rPr>
          <w:rFonts w:ascii="Arial" w:hAnsi="Arial" w:cs="Arial"/>
          <w:sz w:val="22"/>
          <w:szCs w:val="22"/>
        </w:rPr>
        <w:t>goods are</w:t>
      </w:r>
      <w:r w:rsidRPr="00FE03E6">
        <w:rPr>
          <w:rFonts w:ascii="Arial" w:hAnsi="Arial" w:cs="Arial"/>
          <w:spacing w:val="-2"/>
          <w:sz w:val="22"/>
          <w:szCs w:val="22"/>
        </w:rPr>
        <w:t xml:space="preserve"> </w:t>
      </w:r>
      <w:r w:rsidRPr="00FE03E6">
        <w:rPr>
          <w:rFonts w:ascii="Arial" w:hAnsi="Arial" w:cs="Arial"/>
          <w:sz w:val="22"/>
          <w:szCs w:val="22"/>
        </w:rPr>
        <w:t>finished</w:t>
      </w:r>
      <w:r w:rsidRPr="00FE03E6">
        <w:rPr>
          <w:rFonts w:ascii="Arial" w:hAnsi="Arial" w:cs="Arial"/>
          <w:spacing w:val="-2"/>
          <w:sz w:val="22"/>
          <w:szCs w:val="22"/>
        </w:rPr>
        <w:t xml:space="preserve"> </w:t>
      </w:r>
      <w:r w:rsidRPr="00FE03E6">
        <w:rPr>
          <w:rFonts w:ascii="Arial" w:hAnsi="Arial" w:cs="Arial"/>
          <w:sz w:val="22"/>
          <w:szCs w:val="22"/>
        </w:rPr>
        <w:t>packaged</w:t>
      </w:r>
      <w:r w:rsidRPr="00FE03E6">
        <w:rPr>
          <w:rFonts w:ascii="Arial" w:hAnsi="Arial" w:cs="Arial"/>
          <w:spacing w:val="-3"/>
          <w:sz w:val="22"/>
          <w:szCs w:val="22"/>
        </w:rPr>
        <w:t xml:space="preserve"> </w:t>
      </w:r>
      <w:r w:rsidRPr="00FE03E6">
        <w:rPr>
          <w:rFonts w:ascii="Arial" w:hAnsi="Arial" w:cs="Arial"/>
          <w:sz w:val="22"/>
          <w:szCs w:val="22"/>
        </w:rPr>
        <w:t>goods</w:t>
      </w:r>
      <w:r w:rsidRPr="00FE03E6">
        <w:rPr>
          <w:rFonts w:ascii="Arial" w:hAnsi="Arial" w:cs="Arial"/>
          <w:spacing w:val="-2"/>
          <w:sz w:val="22"/>
          <w:szCs w:val="22"/>
        </w:rPr>
        <w:t xml:space="preserve"> </w:t>
      </w:r>
      <w:r w:rsidRPr="00FE03E6">
        <w:rPr>
          <w:rFonts w:ascii="Arial" w:hAnsi="Arial" w:cs="Arial"/>
          <w:sz w:val="22"/>
          <w:szCs w:val="22"/>
        </w:rPr>
        <w:t>in</w:t>
      </w:r>
      <w:r w:rsidRPr="00FE03E6">
        <w:rPr>
          <w:rFonts w:ascii="Arial" w:hAnsi="Arial" w:cs="Arial"/>
          <w:spacing w:val="-2"/>
          <w:sz w:val="22"/>
          <w:szCs w:val="22"/>
        </w:rPr>
        <w:t xml:space="preserve"> </w:t>
      </w:r>
      <w:r w:rsidRPr="00FE03E6">
        <w:rPr>
          <w:rFonts w:ascii="Arial" w:hAnsi="Arial" w:cs="Arial"/>
          <w:sz w:val="22"/>
          <w:szCs w:val="22"/>
        </w:rPr>
        <w:t>strong</w:t>
      </w:r>
      <w:r w:rsidRPr="00FE03E6">
        <w:rPr>
          <w:rFonts w:ascii="Arial" w:hAnsi="Arial" w:cs="Arial"/>
          <w:spacing w:val="-3"/>
          <w:sz w:val="22"/>
          <w:szCs w:val="22"/>
        </w:rPr>
        <w:t xml:space="preserve"> </w:t>
      </w:r>
      <w:r w:rsidRPr="00FE03E6">
        <w:rPr>
          <w:rFonts w:ascii="Arial" w:hAnsi="Arial" w:cs="Arial"/>
          <w:sz w:val="22"/>
          <w:szCs w:val="22"/>
        </w:rPr>
        <w:t>outer</w:t>
      </w:r>
      <w:r w:rsidRPr="00FE03E6">
        <w:rPr>
          <w:rFonts w:ascii="Arial" w:hAnsi="Arial" w:cs="Arial"/>
          <w:spacing w:val="-2"/>
          <w:sz w:val="22"/>
          <w:szCs w:val="22"/>
        </w:rPr>
        <w:t xml:space="preserve"> </w:t>
      </w:r>
      <w:r w:rsidRPr="00FE03E6">
        <w:rPr>
          <w:rFonts w:ascii="Arial" w:hAnsi="Arial" w:cs="Arial"/>
          <w:sz w:val="22"/>
          <w:szCs w:val="22"/>
        </w:rPr>
        <w:t>packaging,</w:t>
      </w:r>
      <w:r w:rsidRPr="00FE03E6">
        <w:rPr>
          <w:rFonts w:ascii="Arial" w:hAnsi="Arial" w:cs="Arial"/>
          <w:spacing w:val="-2"/>
          <w:sz w:val="22"/>
          <w:szCs w:val="22"/>
        </w:rPr>
        <w:t xml:space="preserve"> </w:t>
      </w:r>
      <w:r w:rsidRPr="00FE03E6">
        <w:rPr>
          <w:rFonts w:ascii="Arial" w:hAnsi="Arial" w:cs="Arial"/>
          <w:sz w:val="22"/>
          <w:szCs w:val="22"/>
        </w:rPr>
        <w:t>and</w:t>
      </w:r>
      <w:r w:rsidRPr="00FE03E6">
        <w:rPr>
          <w:rFonts w:ascii="Arial" w:hAnsi="Arial" w:cs="Arial"/>
          <w:spacing w:val="-4"/>
          <w:sz w:val="22"/>
          <w:szCs w:val="22"/>
        </w:rPr>
        <w:t xml:space="preserve"> </w:t>
      </w:r>
      <w:r w:rsidRPr="00FE03E6">
        <w:rPr>
          <w:rFonts w:ascii="Arial" w:hAnsi="Arial" w:cs="Arial"/>
          <w:sz w:val="22"/>
          <w:szCs w:val="22"/>
        </w:rPr>
        <w:t>where</w:t>
      </w:r>
      <w:r w:rsidRPr="00FE03E6">
        <w:rPr>
          <w:rFonts w:ascii="Arial" w:hAnsi="Arial" w:cs="Arial"/>
          <w:spacing w:val="-2"/>
          <w:sz w:val="22"/>
          <w:szCs w:val="22"/>
        </w:rPr>
        <w:t xml:space="preserve"> </w:t>
      </w:r>
      <w:r w:rsidRPr="00FE03E6">
        <w:rPr>
          <w:rFonts w:ascii="Arial" w:hAnsi="Arial" w:cs="Arial"/>
          <w:sz w:val="22"/>
          <w:szCs w:val="22"/>
        </w:rPr>
        <w:t>required,</w:t>
      </w:r>
      <w:r w:rsidRPr="00FE03E6">
        <w:rPr>
          <w:rFonts w:ascii="Arial" w:hAnsi="Arial" w:cs="Arial"/>
          <w:spacing w:val="-5"/>
          <w:sz w:val="22"/>
          <w:szCs w:val="22"/>
        </w:rPr>
        <w:t xml:space="preserve"> </w:t>
      </w:r>
      <w:r w:rsidRPr="00FE03E6">
        <w:rPr>
          <w:rFonts w:ascii="Arial" w:hAnsi="Arial" w:cs="Arial"/>
          <w:sz w:val="22"/>
          <w:szCs w:val="22"/>
        </w:rPr>
        <w:t>UN-approved packaging. All products are kept within their primary packaging.</w:t>
      </w:r>
    </w:p>
    <w:p w14:paraId="65423ED1" w14:textId="77777777" w:rsidR="00007269" w:rsidRDefault="00007269" w:rsidP="00683C17">
      <w:pPr>
        <w:spacing w:line="276" w:lineRule="auto"/>
        <w:jc w:val="both"/>
        <w:outlineLvl w:val="2"/>
        <w:rPr>
          <w:rFonts w:ascii="Arial" w:hAnsi="Arial" w:cs="Arial"/>
          <w:b/>
          <w:bCs/>
          <w:sz w:val="22"/>
          <w:szCs w:val="22"/>
        </w:rPr>
      </w:pPr>
    </w:p>
    <w:p w14:paraId="0D92BD31" w14:textId="7F9A808B"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7954DCF0" w14:textId="79E4A761" w:rsidR="00683C17" w:rsidRDefault="009C4475" w:rsidP="00683C17">
      <w:pPr>
        <w:spacing w:line="276" w:lineRule="auto"/>
        <w:jc w:val="both"/>
        <w:rPr>
          <w:rFonts w:ascii="Arial" w:hAnsi="Arial" w:cs="Arial"/>
          <w:sz w:val="22"/>
          <w:szCs w:val="22"/>
        </w:rPr>
      </w:pPr>
      <w:r w:rsidRPr="009C4475">
        <w:rPr>
          <w:rFonts w:ascii="Arial" w:hAnsi="Arial" w:cs="Arial"/>
          <w:sz w:val="22"/>
          <w:szCs w:val="22"/>
        </w:rPr>
        <w:t>No relevant planning history</w:t>
      </w:r>
    </w:p>
    <w:p w14:paraId="27D1752C" w14:textId="77777777" w:rsidR="009C4475" w:rsidRPr="009C4475" w:rsidRDefault="009C4475" w:rsidP="00683C17">
      <w:pPr>
        <w:spacing w:line="276" w:lineRule="auto"/>
        <w:jc w:val="both"/>
        <w:rPr>
          <w:rFonts w:ascii="Arial" w:hAnsi="Arial" w:cs="Arial"/>
          <w:sz w:val="22"/>
          <w:szCs w:val="22"/>
        </w:rPr>
      </w:pPr>
    </w:p>
    <w:p w14:paraId="605D06D0" w14:textId="05BB9B9F"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09C99A3" w14:textId="77777777" w:rsidR="00E35059" w:rsidRDefault="00E35059" w:rsidP="00237634">
      <w:pPr>
        <w:spacing w:line="276" w:lineRule="auto"/>
        <w:jc w:val="both"/>
        <w:rPr>
          <w:rFonts w:ascii="Arial" w:hAnsi="Arial" w:cs="Arial"/>
          <w:b/>
          <w:bCs/>
          <w:sz w:val="22"/>
          <w:szCs w:val="22"/>
        </w:rPr>
      </w:pPr>
    </w:p>
    <w:p w14:paraId="7B45867C" w14:textId="7AAB81B9"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778A0A65" w14:textId="77777777" w:rsidR="001B2655" w:rsidRPr="001B2655" w:rsidRDefault="001B2655" w:rsidP="00185E12">
      <w:pPr>
        <w:pStyle w:val="ListParagraph"/>
        <w:numPr>
          <w:ilvl w:val="0"/>
          <w:numId w:val="3"/>
        </w:numPr>
        <w:spacing w:before="100" w:beforeAutospacing="1" w:after="100" w:afterAutospacing="1"/>
        <w:rPr>
          <w:rFonts w:ascii="Arial" w:hAnsi="Arial" w:cs="Arial"/>
          <w:sz w:val="22"/>
          <w:szCs w:val="22"/>
        </w:rPr>
      </w:pPr>
      <w:r w:rsidRPr="001B2655">
        <w:rPr>
          <w:rFonts w:ascii="Arial" w:hAnsi="Arial" w:cs="Arial"/>
          <w:sz w:val="22"/>
          <w:szCs w:val="22"/>
        </w:rPr>
        <w:t>Planning (Hazardous Substances) Regulations 2015</w:t>
      </w:r>
    </w:p>
    <w:p w14:paraId="05BDB251" w14:textId="77777777" w:rsidR="001B2655" w:rsidRPr="001B2655" w:rsidRDefault="001B2655" w:rsidP="00185E12">
      <w:pPr>
        <w:pStyle w:val="ListParagraph"/>
        <w:numPr>
          <w:ilvl w:val="0"/>
          <w:numId w:val="3"/>
        </w:numPr>
        <w:spacing w:before="100" w:beforeAutospacing="1" w:after="100" w:afterAutospacing="1"/>
        <w:rPr>
          <w:rFonts w:ascii="Arial" w:hAnsi="Arial" w:cs="Arial"/>
          <w:sz w:val="22"/>
          <w:szCs w:val="22"/>
        </w:rPr>
      </w:pPr>
      <w:r w:rsidRPr="001B2655">
        <w:rPr>
          <w:rFonts w:ascii="Arial" w:hAnsi="Arial" w:cs="Arial"/>
          <w:sz w:val="22"/>
          <w:szCs w:val="22"/>
        </w:rPr>
        <w:t>Control of Major Accident Hazards (COMAH) Regulations 2015</w:t>
      </w:r>
    </w:p>
    <w:p w14:paraId="596E7702" w14:textId="77777777" w:rsidR="001B2655" w:rsidRPr="001B2655" w:rsidRDefault="001B2655" w:rsidP="00185E12">
      <w:pPr>
        <w:pStyle w:val="ListParagraph"/>
        <w:numPr>
          <w:ilvl w:val="0"/>
          <w:numId w:val="3"/>
        </w:numPr>
        <w:spacing w:before="100" w:beforeAutospacing="1" w:after="100" w:afterAutospacing="1"/>
        <w:rPr>
          <w:rFonts w:ascii="Arial" w:hAnsi="Arial" w:cs="Arial"/>
          <w:sz w:val="22"/>
          <w:szCs w:val="22"/>
        </w:rPr>
      </w:pPr>
      <w:r w:rsidRPr="001B2655">
        <w:rPr>
          <w:rFonts w:ascii="Arial" w:hAnsi="Arial" w:cs="Arial"/>
          <w:sz w:val="22"/>
          <w:szCs w:val="22"/>
        </w:rPr>
        <w:t>Seveso III Directive (retained EU law)</w:t>
      </w:r>
    </w:p>
    <w:p w14:paraId="7DD880A8" w14:textId="77777777" w:rsidR="001B2655" w:rsidRPr="001B2655" w:rsidRDefault="001B2655" w:rsidP="00185E12">
      <w:pPr>
        <w:pStyle w:val="ListParagraph"/>
        <w:numPr>
          <w:ilvl w:val="0"/>
          <w:numId w:val="3"/>
        </w:numPr>
        <w:spacing w:before="100" w:beforeAutospacing="1" w:after="100" w:afterAutospacing="1"/>
        <w:rPr>
          <w:rFonts w:ascii="Arial" w:hAnsi="Arial" w:cs="Arial"/>
          <w:sz w:val="22"/>
          <w:szCs w:val="22"/>
        </w:rPr>
      </w:pPr>
      <w:r w:rsidRPr="001B2655">
        <w:rPr>
          <w:rFonts w:ascii="Arial" w:hAnsi="Arial" w:cs="Arial"/>
          <w:sz w:val="22"/>
          <w:szCs w:val="22"/>
        </w:rPr>
        <w:t>Town and Country Planning Act 1990 (as amended)</w:t>
      </w:r>
    </w:p>
    <w:p w14:paraId="3A6E9FD0"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01244B5F" w14:textId="1E5CC195" w:rsidR="00985AA7" w:rsidRPr="00985AA7" w:rsidRDefault="00985AA7" w:rsidP="00185E12">
      <w:pPr>
        <w:pStyle w:val="ListParagraph"/>
        <w:numPr>
          <w:ilvl w:val="0"/>
          <w:numId w:val="4"/>
        </w:numPr>
        <w:spacing w:before="100" w:beforeAutospacing="1" w:after="100" w:afterAutospacing="1"/>
        <w:rPr>
          <w:rFonts w:ascii="Arial" w:hAnsi="Arial" w:cs="Arial"/>
          <w:sz w:val="22"/>
          <w:szCs w:val="22"/>
        </w:rPr>
      </w:pPr>
      <w:r w:rsidRPr="00985AA7">
        <w:rPr>
          <w:rFonts w:ascii="Arial" w:hAnsi="Arial" w:cs="Arial"/>
          <w:sz w:val="22"/>
          <w:szCs w:val="22"/>
        </w:rPr>
        <w:t xml:space="preserve">National Planning Policy Framework (NPPF) – </w:t>
      </w:r>
      <w:r w:rsidRPr="00985AA7">
        <w:rPr>
          <w:rFonts w:ascii="Arial" w:hAnsi="Arial" w:cs="Arial"/>
          <w:i/>
          <w:iCs/>
          <w:sz w:val="22"/>
          <w:szCs w:val="22"/>
        </w:rPr>
        <w:t>material considerations only; HSC decisions are not “planning permission”</w:t>
      </w:r>
    </w:p>
    <w:p w14:paraId="686C3B33" w14:textId="15D0DEEF" w:rsidR="00985AA7" w:rsidRPr="00985AA7" w:rsidRDefault="00985AA7" w:rsidP="00185E12">
      <w:pPr>
        <w:pStyle w:val="ListParagraph"/>
        <w:numPr>
          <w:ilvl w:val="0"/>
          <w:numId w:val="4"/>
        </w:numPr>
        <w:spacing w:before="100" w:beforeAutospacing="1" w:after="100" w:afterAutospacing="1"/>
        <w:rPr>
          <w:rFonts w:ascii="Arial" w:hAnsi="Arial" w:cs="Arial"/>
          <w:sz w:val="22"/>
          <w:szCs w:val="22"/>
        </w:rPr>
      </w:pPr>
      <w:r w:rsidRPr="00985AA7">
        <w:rPr>
          <w:rFonts w:ascii="Arial" w:hAnsi="Arial" w:cs="Arial"/>
          <w:sz w:val="22"/>
          <w:szCs w:val="22"/>
        </w:rPr>
        <w:t>Planning Practice Guidance – Hazardous Substances</w:t>
      </w:r>
    </w:p>
    <w:p w14:paraId="1B27FC81" w14:textId="45A41614" w:rsidR="00985AA7" w:rsidRPr="00985AA7" w:rsidRDefault="00985AA7" w:rsidP="00185E12">
      <w:pPr>
        <w:pStyle w:val="ListParagraph"/>
        <w:numPr>
          <w:ilvl w:val="0"/>
          <w:numId w:val="4"/>
        </w:numPr>
        <w:spacing w:before="100" w:beforeAutospacing="1" w:after="100" w:afterAutospacing="1"/>
        <w:rPr>
          <w:rFonts w:ascii="Arial" w:hAnsi="Arial" w:cs="Arial"/>
          <w:sz w:val="22"/>
          <w:szCs w:val="22"/>
        </w:rPr>
      </w:pPr>
      <w:r w:rsidRPr="00985AA7">
        <w:rPr>
          <w:rFonts w:ascii="Arial" w:hAnsi="Arial" w:cs="Arial"/>
          <w:sz w:val="22"/>
          <w:szCs w:val="22"/>
        </w:rPr>
        <w:t>HSE Land Use Planning Methodology</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2831769" w14:textId="77777777" w:rsidR="00533E0C" w:rsidRPr="00D902FA" w:rsidRDefault="00533E0C" w:rsidP="00533E0C">
      <w:pPr>
        <w:spacing w:line="276" w:lineRule="auto"/>
        <w:jc w:val="both"/>
        <w:rPr>
          <w:rFonts w:ascii="Arial" w:hAnsi="Arial" w:cs="Arial"/>
          <w:sz w:val="22"/>
          <w:szCs w:val="22"/>
        </w:rPr>
      </w:pPr>
    </w:p>
    <w:p w14:paraId="11582DB2" w14:textId="77777777" w:rsidR="0029208D" w:rsidRPr="00D902FA" w:rsidRDefault="0029208D" w:rsidP="00185E12">
      <w:pPr>
        <w:pStyle w:val="ListParagraph"/>
        <w:numPr>
          <w:ilvl w:val="0"/>
          <w:numId w:val="1"/>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5F9FB5F6" w14:textId="77777777" w:rsidR="001B5FF8" w:rsidRDefault="0029208D" w:rsidP="00185E12">
      <w:pPr>
        <w:pStyle w:val="ListParagraph"/>
        <w:numPr>
          <w:ilvl w:val="0"/>
          <w:numId w:val="1"/>
        </w:numPr>
        <w:spacing w:line="276" w:lineRule="auto"/>
        <w:jc w:val="both"/>
        <w:rPr>
          <w:rFonts w:ascii="Arial" w:hAnsi="Arial" w:cs="Arial"/>
          <w:sz w:val="22"/>
          <w:szCs w:val="22"/>
        </w:rPr>
      </w:pPr>
      <w:r w:rsidRPr="001B5FF8">
        <w:rPr>
          <w:rFonts w:ascii="Arial" w:hAnsi="Arial" w:cs="Arial"/>
          <w:sz w:val="22"/>
          <w:szCs w:val="22"/>
        </w:rPr>
        <w:t>Core Policy 51 Landscape</w:t>
      </w:r>
    </w:p>
    <w:p w14:paraId="3EC3B514" w14:textId="6F4EE0EE" w:rsidR="009068FD" w:rsidRDefault="001B5FF8" w:rsidP="00185E12">
      <w:pPr>
        <w:pStyle w:val="ListParagraph"/>
        <w:numPr>
          <w:ilvl w:val="0"/>
          <w:numId w:val="1"/>
        </w:numPr>
        <w:spacing w:line="276" w:lineRule="auto"/>
        <w:jc w:val="both"/>
        <w:rPr>
          <w:rFonts w:ascii="Arial" w:hAnsi="Arial" w:cs="Arial"/>
          <w:sz w:val="22"/>
          <w:szCs w:val="22"/>
        </w:rPr>
      </w:pPr>
      <w:r>
        <w:rPr>
          <w:rFonts w:ascii="Arial" w:hAnsi="Arial" w:cs="Arial"/>
          <w:sz w:val="22"/>
          <w:szCs w:val="22"/>
        </w:rPr>
        <w:t>Core Policy 55:</w:t>
      </w:r>
      <w:r w:rsidR="009068FD">
        <w:rPr>
          <w:rFonts w:ascii="Arial" w:hAnsi="Arial" w:cs="Arial"/>
          <w:sz w:val="22"/>
          <w:szCs w:val="22"/>
        </w:rPr>
        <w:t xml:space="preserve"> </w:t>
      </w:r>
      <w:r w:rsidR="008E7E50">
        <w:rPr>
          <w:rFonts w:ascii="Arial" w:hAnsi="Arial" w:cs="Arial"/>
          <w:sz w:val="22"/>
          <w:szCs w:val="22"/>
        </w:rPr>
        <w:t>Air Quality</w:t>
      </w:r>
    </w:p>
    <w:p w14:paraId="67542973" w14:textId="7E13201B" w:rsidR="0029208D" w:rsidRPr="001B5FF8" w:rsidRDefault="0029208D" w:rsidP="00185E12">
      <w:pPr>
        <w:pStyle w:val="ListParagraph"/>
        <w:numPr>
          <w:ilvl w:val="0"/>
          <w:numId w:val="1"/>
        </w:numPr>
        <w:spacing w:line="276" w:lineRule="auto"/>
        <w:jc w:val="both"/>
        <w:rPr>
          <w:rFonts w:ascii="Arial" w:hAnsi="Arial" w:cs="Arial"/>
          <w:sz w:val="22"/>
          <w:szCs w:val="22"/>
        </w:rPr>
      </w:pPr>
      <w:r w:rsidRPr="001B5FF8">
        <w:rPr>
          <w:rFonts w:ascii="Arial" w:hAnsi="Arial" w:cs="Arial"/>
          <w:sz w:val="22"/>
          <w:szCs w:val="22"/>
        </w:rPr>
        <w:t>Core Policy 56 Contaminated Land;</w:t>
      </w:r>
    </w:p>
    <w:p w14:paraId="22C70AF4" w14:textId="5C9FC167" w:rsidR="0029208D" w:rsidRDefault="0029208D" w:rsidP="00185E12">
      <w:pPr>
        <w:pStyle w:val="ListParagraph"/>
        <w:numPr>
          <w:ilvl w:val="0"/>
          <w:numId w:val="1"/>
        </w:numPr>
        <w:spacing w:line="276" w:lineRule="auto"/>
        <w:jc w:val="both"/>
        <w:rPr>
          <w:rFonts w:ascii="Arial" w:hAnsi="Arial" w:cs="Arial"/>
          <w:sz w:val="22"/>
          <w:szCs w:val="22"/>
        </w:rPr>
      </w:pPr>
      <w:r w:rsidRPr="00D902FA">
        <w:rPr>
          <w:rFonts w:ascii="Arial" w:hAnsi="Arial" w:cs="Arial"/>
          <w:sz w:val="22"/>
          <w:szCs w:val="22"/>
        </w:rPr>
        <w:t>Core Policy 57</w:t>
      </w:r>
      <w:r w:rsidR="008E7E50">
        <w:rPr>
          <w:rFonts w:ascii="Arial" w:hAnsi="Arial" w:cs="Arial"/>
          <w:sz w:val="22"/>
          <w:szCs w:val="22"/>
        </w:rPr>
        <w:t>:</w:t>
      </w:r>
      <w:r w:rsidRPr="00D902FA">
        <w:rPr>
          <w:rFonts w:ascii="Arial" w:hAnsi="Arial" w:cs="Arial"/>
          <w:sz w:val="22"/>
          <w:szCs w:val="22"/>
        </w:rPr>
        <w:t xml:space="preserve"> Ensuring High Quality Design and Place Shaping;</w:t>
      </w:r>
    </w:p>
    <w:p w14:paraId="43D7D0A3" w14:textId="16AD2303" w:rsidR="008E7E50" w:rsidRDefault="009068FD" w:rsidP="00185E12">
      <w:pPr>
        <w:pStyle w:val="ListParagraph"/>
        <w:numPr>
          <w:ilvl w:val="0"/>
          <w:numId w:val="1"/>
        </w:numPr>
        <w:spacing w:line="276" w:lineRule="auto"/>
        <w:jc w:val="both"/>
        <w:rPr>
          <w:rFonts w:ascii="Arial" w:hAnsi="Arial" w:cs="Arial"/>
          <w:sz w:val="22"/>
          <w:szCs w:val="22"/>
        </w:rPr>
      </w:pPr>
      <w:r>
        <w:rPr>
          <w:rFonts w:ascii="Arial" w:hAnsi="Arial" w:cs="Arial"/>
          <w:sz w:val="22"/>
          <w:szCs w:val="22"/>
        </w:rPr>
        <w:t>Core Polic</w:t>
      </w:r>
      <w:r w:rsidR="008E7E50">
        <w:rPr>
          <w:rFonts w:ascii="Arial" w:hAnsi="Arial" w:cs="Arial"/>
          <w:sz w:val="22"/>
          <w:szCs w:val="22"/>
        </w:rPr>
        <w:t>y 60: Sustainable Transport</w:t>
      </w:r>
    </w:p>
    <w:p w14:paraId="52B9D127" w14:textId="78565263" w:rsidR="008E7E50" w:rsidRDefault="008E7E50" w:rsidP="00185E12">
      <w:pPr>
        <w:pStyle w:val="ListParagraph"/>
        <w:numPr>
          <w:ilvl w:val="0"/>
          <w:numId w:val="1"/>
        </w:numPr>
        <w:spacing w:line="276" w:lineRule="auto"/>
        <w:jc w:val="both"/>
        <w:rPr>
          <w:rFonts w:ascii="Arial" w:hAnsi="Arial" w:cs="Arial"/>
          <w:sz w:val="22"/>
          <w:szCs w:val="22"/>
        </w:rPr>
      </w:pPr>
      <w:r>
        <w:rPr>
          <w:rFonts w:ascii="Arial" w:hAnsi="Arial" w:cs="Arial"/>
          <w:sz w:val="22"/>
          <w:szCs w:val="22"/>
        </w:rPr>
        <w:t>Core Policy 61:Transport and Development</w:t>
      </w:r>
    </w:p>
    <w:p w14:paraId="0E83DCF3" w14:textId="70962E69" w:rsidR="008E7E50" w:rsidRDefault="008E7E50" w:rsidP="00185E12">
      <w:pPr>
        <w:pStyle w:val="ListParagraph"/>
        <w:numPr>
          <w:ilvl w:val="0"/>
          <w:numId w:val="1"/>
        </w:numPr>
        <w:spacing w:line="276" w:lineRule="auto"/>
        <w:jc w:val="both"/>
        <w:rPr>
          <w:rFonts w:ascii="Arial" w:hAnsi="Arial" w:cs="Arial"/>
          <w:sz w:val="22"/>
          <w:szCs w:val="22"/>
        </w:rPr>
      </w:pPr>
      <w:r>
        <w:rPr>
          <w:rFonts w:ascii="Arial" w:hAnsi="Arial" w:cs="Arial"/>
          <w:sz w:val="22"/>
          <w:szCs w:val="22"/>
        </w:rPr>
        <w:t>Core Policy 62:Development Impacts on the Transport Network</w:t>
      </w:r>
    </w:p>
    <w:p w14:paraId="7D58FDED" w14:textId="53539A6A" w:rsidR="008E7E50" w:rsidRPr="008E7E50" w:rsidRDefault="008E7E50" w:rsidP="00185E12">
      <w:pPr>
        <w:pStyle w:val="ListParagraph"/>
        <w:numPr>
          <w:ilvl w:val="0"/>
          <w:numId w:val="1"/>
        </w:numPr>
        <w:spacing w:line="276" w:lineRule="auto"/>
        <w:jc w:val="both"/>
        <w:rPr>
          <w:rFonts w:ascii="Arial" w:hAnsi="Arial" w:cs="Arial"/>
          <w:sz w:val="22"/>
          <w:szCs w:val="22"/>
        </w:rPr>
      </w:pPr>
      <w:r>
        <w:rPr>
          <w:rFonts w:ascii="Arial" w:hAnsi="Arial" w:cs="Arial"/>
          <w:sz w:val="22"/>
          <w:szCs w:val="22"/>
        </w:rPr>
        <w:t>Core Policy 63:Transport Strategies</w:t>
      </w:r>
    </w:p>
    <w:p w14:paraId="274343E8" w14:textId="4EE94C24" w:rsidR="008E7E50" w:rsidRPr="008E7E50" w:rsidRDefault="008E7E50" w:rsidP="00185E12">
      <w:pPr>
        <w:pStyle w:val="ListParagraph"/>
        <w:numPr>
          <w:ilvl w:val="0"/>
          <w:numId w:val="1"/>
        </w:numPr>
        <w:spacing w:line="276" w:lineRule="auto"/>
        <w:jc w:val="both"/>
        <w:rPr>
          <w:rFonts w:ascii="Arial" w:hAnsi="Arial" w:cs="Arial"/>
          <w:sz w:val="22"/>
          <w:szCs w:val="22"/>
        </w:rPr>
      </w:pPr>
      <w:r>
        <w:rPr>
          <w:rFonts w:ascii="Arial" w:hAnsi="Arial" w:cs="Arial"/>
          <w:sz w:val="22"/>
          <w:szCs w:val="22"/>
        </w:rPr>
        <w:t>Core Policy 64: Demand Management</w:t>
      </w:r>
    </w:p>
    <w:p w14:paraId="1A5361CB" w14:textId="64FB013D" w:rsidR="00533E0C" w:rsidRPr="008E7E50" w:rsidRDefault="009068FD" w:rsidP="00185E12">
      <w:pPr>
        <w:pStyle w:val="ListParagraph"/>
        <w:numPr>
          <w:ilvl w:val="0"/>
          <w:numId w:val="1"/>
        </w:numPr>
        <w:spacing w:line="276" w:lineRule="auto"/>
        <w:jc w:val="both"/>
        <w:rPr>
          <w:rFonts w:ascii="Arial" w:hAnsi="Arial" w:cs="Arial"/>
          <w:color w:val="FF0000"/>
          <w:sz w:val="22"/>
          <w:szCs w:val="22"/>
        </w:rPr>
      </w:pPr>
      <w:r w:rsidRPr="008E7E50">
        <w:rPr>
          <w:rFonts w:ascii="Arial" w:hAnsi="Arial" w:cs="Arial"/>
          <w:sz w:val="22"/>
          <w:szCs w:val="22"/>
        </w:rPr>
        <w:t>Core Policy 6</w:t>
      </w:r>
      <w:r w:rsidR="008E7E50" w:rsidRPr="008E7E50">
        <w:rPr>
          <w:rFonts w:ascii="Arial" w:hAnsi="Arial" w:cs="Arial"/>
          <w:sz w:val="22"/>
          <w:szCs w:val="22"/>
        </w:rPr>
        <w:t>7: Flood Risk</w:t>
      </w:r>
    </w:p>
    <w:p w14:paraId="11DFC582" w14:textId="77777777" w:rsidR="008E7E50" w:rsidRPr="008E7E50" w:rsidRDefault="008E7E50" w:rsidP="008E7E50">
      <w:pPr>
        <w:pStyle w:val="ListParagraph"/>
        <w:spacing w:line="276" w:lineRule="auto"/>
        <w:jc w:val="both"/>
        <w:rPr>
          <w:rFonts w:ascii="Arial" w:hAnsi="Arial" w:cs="Arial"/>
          <w:color w:val="FF0000"/>
          <w:sz w:val="22"/>
          <w:szCs w:val="22"/>
        </w:rPr>
      </w:pPr>
    </w:p>
    <w:p w14:paraId="0C5F09FB" w14:textId="005F44D0"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E8723ED" w14:textId="77777777" w:rsidR="00D902FA" w:rsidRDefault="00D902FA" w:rsidP="00D902FA">
      <w:pPr>
        <w:spacing w:line="276" w:lineRule="auto"/>
        <w:jc w:val="both"/>
        <w:rPr>
          <w:rFonts w:ascii="Arial" w:hAnsi="Arial" w:cs="Arial"/>
          <w:b/>
          <w:bCs/>
          <w:color w:val="FF0000"/>
          <w:sz w:val="22"/>
          <w:szCs w:val="22"/>
        </w:rPr>
      </w:pPr>
    </w:p>
    <w:p w14:paraId="3450A2E4" w14:textId="52C1C8CE" w:rsidR="00765EEE" w:rsidRPr="003516CE" w:rsidRDefault="00765EEE" w:rsidP="00765EEE">
      <w:pPr>
        <w:jc w:val="both"/>
        <w:rPr>
          <w:rFonts w:ascii="Arial" w:hAnsi="Arial" w:cs="Arial"/>
          <w:sz w:val="22"/>
          <w:szCs w:val="22"/>
        </w:rPr>
      </w:pPr>
      <w:r w:rsidRPr="003516CE">
        <w:rPr>
          <w:rFonts w:ascii="Arial" w:hAnsi="Arial" w:cs="Arial"/>
          <w:sz w:val="22"/>
          <w:szCs w:val="22"/>
        </w:rPr>
        <w:t xml:space="preserve">WC Public Protection: </w:t>
      </w:r>
      <w:r w:rsidR="003516CE" w:rsidRPr="003516CE">
        <w:rPr>
          <w:rFonts w:ascii="Arial" w:hAnsi="Arial" w:cs="Arial"/>
          <w:sz w:val="22"/>
          <w:szCs w:val="22"/>
        </w:rPr>
        <w:t>No comment received</w:t>
      </w:r>
    </w:p>
    <w:p w14:paraId="005D4F57" w14:textId="77777777" w:rsidR="00504B36" w:rsidRPr="003516CE" w:rsidRDefault="00504B36" w:rsidP="00765EEE">
      <w:pPr>
        <w:jc w:val="both"/>
        <w:rPr>
          <w:rFonts w:ascii="Arial" w:hAnsi="Arial" w:cs="Arial"/>
          <w:sz w:val="22"/>
          <w:szCs w:val="22"/>
        </w:rPr>
      </w:pPr>
    </w:p>
    <w:p w14:paraId="62612F0F" w14:textId="00919E71" w:rsidR="00504B36" w:rsidRDefault="00504B36" w:rsidP="00765EEE">
      <w:pPr>
        <w:jc w:val="both"/>
        <w:rPr>
          <w:rFonts w:ascii="Arial" w:hAnsi="Arial" w:cs="Arial"/>
          <w:sz w:val="22"/>
          <w:szCs w:val="22"/>
        </w:rPr>
      </w:pPr>
      <w:r w:rsidRPr="003516CE">
        <w:rPr>
          <w:rFonts w:ascii="Arial" w:hAnsi="Arial" w:cs="Arial"/>
          <w:sz w:val="22"/>
          <w:szCs w:val="22"/>
        </w:rPr>
        <w:t xml:space="preserve">Health and Safety Advisor (HSE): No objection </w:t>
      </w:r>
    </w:p>
    <w:p w14:paraId="788A7D05" w14:textId="77777777" w:rsidR="00D93567" w:rsidRDefault="00D93567" w:rsidP="00765EEE">
      <w:pPr>
        <w:jc w:val="both"/>
        <w:rPr>
          <w:rFonts w:ascii="Arial" w:hAnsi="Arial" w:cs="Arial"/>
          <w:sz w:val="22"/>
          <w:szCs w:val="22"/>
        </w:rPr>
      </w:pPr>
    </w:p>
    <w:p w14:paraId="2015B09E" w14:textId="036E3F51" w:rsidR="00D93567" w:rsidRPr="003516CE" w:rsidRDefault="00D93567" w:rsidP="00765EEE">
      <w:pPr>
        <w:jc w:val="both"/>
        <w:rPr>
          <w:rFonts w:ascii="Arial" w:hAnsi="Arial" w:cs="Arial"/>
          <w:sz w:val="22"/>
          <w:szCs w:val="22"/>
        </w:rPr>
      </w:pPr>
      <w:r>
        <w:rPr>
          <w:rFonts w:ascii="Arial" w:hAnsi="Arial" w:cs="Arial"/>
          <w:sz w:val="22"/>
          <w:szCs w:val="22"/>
        </w:rPr>
        <w:t>Environment Agency: No objection</w:t>
      </w:r>
    </w:p>
    <w:p w14:paraId="23C1046B" w14:textId="77777777" w:rsidR="00504B36" w:rsidRDefault="00504B36" w:rsidP="00D902FA">
      <w:pPr>
        <w:spacing w:line="276" w:lineRule="auto"/>
        <w:jc w:val="both"/>
        <w:rPr>
          <w:rFonts w:ascii="Arial" w:hAnsi="Arial" w:cs="Arial"/>
          <w:sz w:val="22"/>
          <w:szCs w:val="22"/>
        </w:rPr>
      </w:pPr>
    </w:p>
    <w:p w14:paraId="7630B71E" w14:textId="6A5E9B3F" w:rsidR="00D902FA" w:rsidRPr="000E62BA" w:rsidRDefault="00247A46" w:rsidP="00D902FA">
      <w:pPr>
        <w:spacing w:line="276" w:lineRule="auto"/>
        <w:jc w:val="both"/>
        <w:rPr>
          <w:rFonts w:ascii="Arial" w:hAnsi="Arial" w:cs="Arial"/>
          <w:color w:val="FF0000"/>
          <w:sz w:val="22"/>
          <w:szCs w:val="22"/>
        </w:rPr>
      </w:pPr>
      <w:r>
        <w:rPr>
          <w:rFonts w:ascii="Arial" w:hAnsi="Arial" w:cs="Arial"/>
          <w:sz w:val="22"/>
          <w:szCs w:val="22"/>
        </w:rPr>
        <w:t xml:space="preserve">Codford </w:t>
      </w:r>
      <w:r w:rsidR="00F7609E" w:rsidRPr="000E62BA">
        <w:rPr>
          <w:rFonts w:ascii="Arial" w:hAnsi="Arial" w:cs="Arial"/>
          <w:sz w:val="22"/>
          <w:szCs w:val="22"/>
        </w:rPr>
        <w:t>Parish Council:</w:t>
      </w:r>
      <w:r w:rsidR="002927C8">
        <w:rPr>
          <w:rFonts w:ascii="Arial" w:hAnsi="Arial" w:cs="Arial"/>
          <w:sz w:val="22"/>
          <w:szCs w:val="22"/>
        </w:rPr>
        <w:t xml:space="preserve"> </w:t>
      </w:r>
      <w:r w:rsidR="002927C8" w:rsidRPr="00247A46">
        <w:rPr>
          <w:rFonts w:ascii="Arial" w:hAnsi="Arial" w:cs="Arial"/>
          <w:sz w:val="22"/>
          <w:szCs w:val="22"/>
        </w:rPr>
        <w:t xml:space="preserve">No objection </w:t>
      </w:r>
    </w:p>
    <w:p w14:paraId="6AD226EA" w14:textId="77777777" w:rsidR="00D902FA" w:rsidRDefault="00D902FA"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205C143C" w14:textId="77777777" w:rsidR="00BF394D" w:rsidRDefault="003D3BFC" w:rsidP="3656A09E">
      <w:pPr>
        <w:spacing w:line="276" w:lineRule="auto"/>
        <w:jc w:val="both"/>
        <w:rPr>
          <w:rFonts w:ascii="Arial" w:eastAsia="Arial" w:hAnsi="Arial" w:cs="Arial"/>
          <w:sz w:val="22"/>
          <w:szCs w:val="22"/>
        </w:rPr>
      </w:pPr>
      <w:r>
        <w:rPr>
          <w:rFonts w:ascii="Arial" w:eastAsia="Arial" w:hAnsi="Arial" w:cs="Arial"/>
          <w:sz w:val="22"/>
          <w:szCs w:val="22"/>
        </w:rPr>
        <w:t>Before making an application for hazardous substances consent, the applica</w:t>
      </w:r>
      <w:r w:rsidR="00BF394D">
        <w:rPr>
          <w:rFonts w:ascii="Arial" w:eastAsia="Arial" w:hAnsi="Arial" w:cs="Arial"/>
          <w:sz w:val="22"/>
          <w:szCs w:val="22"/>
        </w:rPr>
        <w:t>nt must during the 21 day period immediately preceding the application:</w:t>
      </w:r>
    </w:p>
    <w:p w14:paraId="7CAF892C" w14:textId="2F1336D7" w:rsidR="00BF394D" w:rsidRPr="00791D40" w:rsidRDefault="00BF394D" w:rsidP="00185E12">
      <w:pPr>
        <w:pStyle w:val="ListParagraph"/>
        <w:numPr>
          <w:ilvl w:val="0"/>
          <w:numId w:val="10"/>
        </w:numPr>
        <w:spacing w:line="276" w:lineRule="auto"/>
        <w:jc w:val="both"/>
        <w:rPr>
          <w:rFonts w:ascii="Arial" w:eastAsia="Arial" w:hAnsi="Arial" w:cs="Arial"/>
          <w:sz w:val="22"/>
          <w:szCs w:val="22"/>
        </w:rPr>
      </w:pPr>
      <w:r w:rsidRPr="00791D40">
        <w:rPr>
          <w:rFonts w:ascii="Arial" w:eastAsia="Arial" w:hAnsi="Arial" w:cs="Arial"/>
          <w:sz w:val="22"/>
          <w:szCs w:val="22"/>
        </w:rPr>
        <w:t xml:space="preserve">Inform the public by notice published in a local newspaper circulating in the </w:t>
      </w:r>
      <w:r w:rsidR="00475A27" w:rsidRPr="00791D40">
        <w:rPr>
          <w:rFonts w:ascii="Arial" w:eastAsia="Arial" w:hAnsi="Arial" w:cs="Arial"/>
          <w:sz w:val="22"/>
          <w:szCs w:val="22"/>
        </w:rPr>
        <w:t>locality</w:t>
      </w:r>
      <w:r w:rsidRPr="00791D40">
        <w:rPr>
          <w:rFonts w:ascii="Arial" w:eastAsia="Arial" w:hAnsi="Arial" w:cs="Arial"/>
          <w:sz w:val="22"/>
          <w:szCs w:val="22"/>
        </w:rPr>
        <w:t xml:space="preserve"> in which the land to which the application relates is situated, or by other appropriate means, including electronic media of the following:</w:t>
      </w:r>
    </w:p>
    <w:p w14:paraId="3C28B2E2" w14:textId="79B3485F" w:rsidR="00BF394D" w:rsidRPr="00791D40" w:rsidRDefault="00BF394D" w:rsidP="00185E12">
      <w:pPr>
        <w:pStyle w:val="ListParagraph"/>
        <w:numPr>
          <w:ilvl w:val="0"/>
          <w:numId w:val="11"/>
        </w:numPr>
        <w:spacing w:line="276" w:lineRule="auto"/>
        <w:jc w:val="both"/>
        <w:rPr>
          <w:rFonts w:ascii="Arial" w:eastAsia="Arial" w:hAnsi="Arial" w:cs="Arial"/>
          <w:sz w:val="22"/>
          <w:szCs w:val="22"/>
        </w:rPr>
      </w:pPr>
      <w:r w:rsidRPr="00791D40">
        <w:rPr>
          <w:rFonts w:ascii="Arial" w:eastAsia="Arial" w:hAnsi="Arial" w:cs="Arial"/>
          <w:sz w:val="22"/>
          <w:szCs w:val="22"/>
        </w:rPr>
        <w:t xml:space="preserve">A </w:t>
      </w:r>
      <w:r w:rsidR="005B4B26" w:rsidRPr="00791D40">
        <w:rPr>
          <w:rFonts w:ascii="Arial" w:hAnsi="Arial" w:cs="Arial"/>
          <w:color w:val="1E1E1E"/>
          <w:sz w:val="22"/>
          <w:szCs w:val="22"/>
          <w:shd w:val="clear" w:color="auto" w:fill="FFFFFF"/>
        </w:rPr>
        <w:t> description of the proposal and the address or location of the land to which the application relates;</w:t>
      </w:r>
    </w:p>
    <w:p w14:paraId="30F748A5" w14:textId="0EEDB4C5" w:rsidR="005B4B26" w:rsidRPr="00791D40" w:rsidRDefault="005B4B26" w:rsidP="00185E12">
      <w:pPr>
        <w:pStyle w:val="ListParagraph"/>
        <w:numPr>
          <w:ilvl w:val="0"/>
          <w:numId w:val="11"/>
        </w:numPr>
        <w:spacing w:line="276" w:lineRule="auto"/>
        <w:jc w:val="both"/>
        <w:rPr>
          <w:rFonts w:ascii="Arial" w:eastAsia="Arial" w:hAnsi="Arial" w:cs="Arial"/>
          <w:sz w:val="22"/>
          <w:szCs w:val="22"/>
        </w:rPr>
      </w:pPr>
      <w:r w:rsidRPr="00791D40">
        <w:rPr>
          <w:rFonts w:ascii="Arial" w:hAnsi="Arial" w:cs="Arial"/>
          <w:color w:val="1E1E1E"/>
          <w:sz w:val="22"/>
          <w:szCs w:val="22"/>
          <w:shd w:val="clear" w:color="auto" w:fill="FFFFFF"/>
        </w:rPr>
        <w:t>where applicable, the fact that the proposal is, or is part of, a project that is subject to a national or transboundary environmental impact assessment</w:t>
      </w:r>
    </w:p>
    <w:p w14:paraId="5B12DD5C" w14:textId="47B037F0" w:rsidR="00043059" w:rsidRPr="00791D40" w:rsidRDefault="00043059" w:rsidP="00185E12">
      <w:pPr>
        <w:pStyle w:val="ListParagraph"/>
        <w:numPr>
          <w:ilvl w:val="0"/>
          <w:numId w:val="11"/>
        </w:numPr>
        <w:spacing w:line="276" w:lineRule="auto"/>
        <w:jc w:val="both"/>
        <w:rPr>
          <w:rFonts w:ascii="Arial" w:eastAsia="Arial" w:hAnsi="Arial" w:cs="Arial"/>
          <w:sz w:val="22"/>
          <w:szCs w:val="22"/>
        </w:rPr>
      </w:pPr>
      <w:r w:rsidRPr="00791D40">
        <w:rPr>
          <w:rFonts w:ascii="Arial" w:hAnsi="Arial" w:cs="Arial"/>
          <w:color w:val="1E1E1E"/>
          <w:sz w:val="22"/>
          <w:szCs w:val="22"/>
          <w:shd w:val="clear" w:color="auto" w:fill="FFFFFF"/>
        </w:rPr>
        <w:t>that the hazardous substances authority (from which relevant information can be obtained) will decide whether or not to grant consent, and if to grant, will decide on what conditions to grant;</w:t>
      </w:r>
    </w:p>
    <w:p w14:paraId="23A9D4E3" w14:textId="71799539" w:rsidR="00043059" w:rsidRPr="00791D40" w:rsidRDefault="00043059" w:rsidP="00185E12">
      <w:pPr>
        <w:pStyle w:val="ListParagraph"/>
        <w:numPr>
          <w:ilvl w:val="0"/>
          <w:numId w:val="11"/>
        </w:numPr>
        <w:spacing w:line="276" w:lineRule="auto"/>
        <w:jc w:val="both"/>
        <w:rPr>
          <w:rFonts w:ascii="Arial" w:eastAsia="Arial" w:hAnsi="Arial" w:cs="Arial"/>
          <w:sz w:val="22"/>
          <w:szCs w:val="22"/>
        </w:rPr>
      </w:pPr>
      <w:r w:rsidRPr="00791D40">
        <w:rPr>
          <w:rFonts w:ascii="Arial" w:hAnsi="Arial" w:cs="Arial"/>
          <w:color w:val="1E1E1E"/>
          <w:sz w:val="22"/>
          <w:szCs w:val="22"/>
          <w:shd w:val="clear" w:color="auto" w:fill="FFFFFF"/>
        </w:rPr>
        <w:t>that representations (including comments or questions) may be made to the hazardous substances authority;</w:t>
      </w:r>
    </w:p>
    <w:p w14:paraId="7BB8E83F" w14:textId="4DE26084" w:rsidR="00043059" w:rsidRPr="00791D40" w:rsidRDefault="00043059" w:rsidP="00185E12">
      <w:pPr>
        <w:pStyle w:val="ListParagraph"/>
        <w:numPr>
          <w:ilvl w:val="0"/>
          <w:numId w:val="11"/>
        </w:numPr>
        <w:spacing w:line="276" w:lineRule="auto"/>
        <w:jc w:val="both"/>
        <w:rPr>
          <w:rFonts w:ascii="Arial" w:eastAsia="Arial" w:hAnsi="Arial" w:cs="Arial"/>
          <w:sz w:val="22"/>
          <w:szCs w:val="22"/>
        </w:rPr>
      </w:pPr>
      <w:r w:rsidRPr="00791D40">
        <w:rPr>
          <w:rFonts w:ascii="Arial" w:hAnsi="Arial" w:cs="Arial"/>
          <w:color w:val="1E1E1E"/>
          <w:sz w:val="22"/>
          <w:szCs w:val="22"/>
          <w:shd w:val="clear" w:color="auto" w:fill="FFFFFF"/>
        </w:rPr>
        <w:t>details of how such representations should be made and the time period for making representations, which must be not less than 21 days beginning with the day after the day on which an application under regulation 5 is sent to the hazardous substances authority;</w:t>
      </w:r>
    </w:p>
    <w:p w14:paraId="4B0D4FDC" w14:textId="0C04148D" w:rsidR="00F1571C" w:rsidRPr="00791D40" w:rsidRDefault="00F1571C" w:rsidP="00185E12">
      <w:pPr>
        <w:pStyle w:val="ListParagraph"/>
        <w:numPr>
          <w:ilvl w:val="0"/>
          <w:numId w:val="11"/>
        </w:numPr>
        <w:spacing w:line="276" w:lineRule="auto"/>
        <w:jc w:val="both"/>
        <w:rPr>
          <w:rFonts w:ascii="Arial" w:eastAsia="Arial" w:hAnsi="Arial" w:cs="Arial"/>
          <w:sz w:val="22"/>
          <w:szCs w:val="22"/>
        </w:rPr>
      </w:pPr>
      <w:r w:rsidRPr="00791D40">
        <w:rPr>
          <w:rFonts w:ascii="Arial" w:hAnsi="Arial" w:cs="Arial"/>
          <w:color w:val="1E1E1E"/>
          <w:sz w:val="22"/>
          <w:szCs w:val="22"/>
          <w:shd w:val="clear" w:color="auto" w:fill="FFFFFF"/>
        </w:rPr>
        <w:t>an indication of the times and places where, or means by which, relevant information will be made available</w:t>
      </w:r>
    </w:p>
    <w:p w14:paraId="1432ABB2" w14:textId="77777777" w:rsidR="00F1571C" w:rsidRPr="00791D40" w:rsidRDefault="00F1571C" w:rsidP="00F1571C">
      <w:pPr>
        <w:spacing w:line="276" w:lineRule="auto"/>
        <w:ind w:left="360"/>
        <w:jc w:val="both"/>
        <w:rPr>
          <w:rFonts w:ascii="Arial" w:eastAsia="Arial" w:hAnsi="Arial" w:cs="Arial"/>
          <w:sz w:val="22"/>
          <w:szCs w:val="22"/>
        </w:rPr>
      </w:pPr>
    </w:p>
    <w:p w14:paraId="45B33369" w14:textId="39BC8467" w:rsidR="00F1571C" w:rsidRPr="00791D40" w:rsidRDefault="00F1571C" w:rsidP="00F1571C">
      <w:pPr>
        <w:spacing w:line="276" w:lineRule="auto"/>
        <w:ind w:left="360"/>
        <w:jc w:val="both"/>
        <w:rPr>
          <w:rFonts w:ascii="Arial" w:eastAsia="Arial" w:hAnsi="Arial" w:cs="Arial"/>
          <w:sz w:val="22"/>
          <w:szCs w:val="22"/>
        </w:rPr>
      </w:pPr>
      <w:r w:rsidRPr="00791D40">
        <w:rPr>
          <w:rFonts w:ascii="Arial" w:eastAsia="Arial" w:hAnsi="Arial" w:cs="Arial"/>
          <w:sz w:val="22"/>
          <w:szCs w:val="22"/>
        </w:rPr>
        <w:t xml:space="preserve">The applicant must also </w:t>
      </w:r>
      <w:r w:rsidRPr="00791D40">
        <w:rPr>
          <w:rFonts w:ascii="Arial" w:hAnsi="Arial" w:cs="Arial"/>
          <w:color w:val="1E1E1E"/>
          <w:sz w:val="22"/>
          <w:szCs w:val="22"/>
          <w:shd w:val="clear" w:color="auto" w:fill="FFFFFF"/>
        </w:rPr>
        <w:t>post a notice containing the information referred to in paragraph (a) on the land to which the application relates for not less than 7 days sited and displayed in such a way as to be easily legible without entering onto the land.</w:t>
      </w:r>
    </w:p>
    <w:p w14:paraId="0CBD0327" w14:textId="77777777" w:rsidR="00BF394D" w:rsidRDefault="00BF394D" w:rsidP="3656A09E">
      <w:pPr>
        <w:spacing w:line="276" w:lineRule="auto"/>
        <w:jc w:val="both"/>
        <w:rPr>
          <w:rFonts w:ascii="Arial" w:eastAsia="Arial" w:hAnsi="Arial" w:cs="Arial"/>
          <w:sz w:val="22"/>
          <w:szCs w:val="22"/>
        </w:rPr>
      </w:pPr>
    </w:p>
    <w:p w14:paraId="654F849E" w14:textId="3E6E5120" w:rsidR="00D902FA" w:rsidRPr="0097282A" w:rsidRDefault="0097282A" w:rsidP="3656A09E">
      <w:pPr>
        <w:spacing w:line="276" w:lineRule="auto"/>
        <w:jc w:val="both"/>
        <w:rPr>
          <w:rFonts w:ascii="Arial" w:hAnsi="Arial" w:cs="Arial"/>
          <w:sz w:val="22"/>
          <w:szCs w:val="22"/>
        </w:rPr>
      </w:pPr>
      <w:r w:rsidRPr="0097282A">
        <w:rPr>
          <w:rFonts w:ascii="Arial" w:hAnsi="Arial" w:cs="Arial"/>
          <w:sz w:val="22"/>
          <w:szCs w:val="22"/>
        </w:rPr>
        <w:t>The Applica</w:t>
      </w:r>
      <w:r w:rsidRPr="00C12334">
        <w:rPr>
          <w:rFonts w:ascii="Arial" w:hAnsi="Arial" w:cs="Arial"/>
          <w:sz w:val="22"/>
          <w:szCs w:val="22"/>
        </w:rPr>
        <w:t xml:space="preserve">nt has </w:t>
      </w:r>
      <w:r w:rsidRPr="0097282A">
        <w:rPr>
          <w:rFonts w:ascii="Arial" w:hAnsi="Arial" w:cs="Arial"/>
          <w:sz w:val="22"/>
          <w:szCs w:val="22"/>
        </w:rPr>
        <w:t xml:space="preserve">completed all the of the requirements above. </w:t>
      </w:r>
    </w:p>
    <w:p w14:paraId="2C69131A" w14:textId="77777777" w:rsidR="0097282A" w:rsidRPr="004817FB" w:rsidRDefault="0097282A" w:rsidP="3656A09E">
      <w:pPr>
        <w:spacing w:line="276" w:lineRule="auto"/>
        <w:jc w:val="both"/>
      </w:pPr>
    </w:p>
    <w:p w14:paraId="634EEDC1" w14:textId="42C9D36B" w:rsidR="0007377C" w:rsidRDefault="00E43941" w:rsidP="294BE246">
      <w:pPr>
        <w:spacing w:line="276" w:lineRule="auto"/>
        <w:jc w:val="both"/>
        <w:rPr>
          <w:rFonts w:ascii="Arial" w:hAnsi="Arial" w:cs="Arial"/>
          <w:b/>
          <w:bCs/>
          <w:i/>
          <w:iCs/>
          <w:color w:val="FF0000"/>
          <w:sz w:val="22"/>
          <w:szCs w:val="22"/>
        </w:rPr>
      </w:pPr>
      <w:r>
        <w:rPr>
          <w:rFonts w:ascii="Arial" w:eastAsia="Arial" w:hAnsi="Arial" w:cs="Arial"/>
          <w:sz w:val="22"/>
          <w:szCs w:val="22"/>
        </w:rPr>
        <w:t xml:space="preserve">No third party representations were received on this application. </w:t>
      </w:r>
    </w:p>
    <w:p w14:paraId="3FD76DEE" w14:textId="77777777" w:rsidR="0007377C" w:rsidRDefault="0007377C" w:rsidP="0007377C">
      <w:pPr>
        <w:spacing w:line="276" w:lineRule="auto"/>
        <w:jc w:val="both"/>
        <w:rPr>
          <w:rFonts w:ascii="Arial" w:hAnsi="Arial" w:cs="Arial"/>
          <w:b/>
          <w:bCs/>
          <w:color w:val="FF0000"/>
          <w:sz w:val="22"/>
          <w:szCs w:val="22"/>
        </w:rPr>
      </w:pPr>
    </w:p>
    <w:p w14:paraId="78DD1F2C" w14:textId="1E2A88E0"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4E73DCD6" w14:textId="69705B61" w:rsidR="00AC0615" w:rsidRPr="00A243D4" w:rsidRDefault="00AC0615" w:rsidP="00AC0615">
      <w:pPr>
        <w:spacing w:before="100" w:beforeAutospacing="1" w:after="100" w:afterAutospacing="1"/>
        <w:rPr>
          <w:rFonts w:ascii="Arial" w:hAnsi="Arial" w:cs="Arial"/>
          <w:sz w:val="22"/>
          <w:szCs w:val="22"/>
        </w:rPr>
      </w:pPr>
      <w:r>
        <w:rPr>
          <w:rFonts w:ascii="Arial" w:hAnsi="Arial" w:cs="Arial"/>
          <w:b/>
          <w:bCs/>
          <w:sz w:val="22"/>
          <w:szCs w:val="22"/>
        </w:rPr>
        <w:t>Legislative Test:</w:t>
      </w:r>
      <w:r w:rsidRPr="00A243D4">
        <w:rPr>
          <w:rFonts w:ascii="Arial" w:hAnsi="Arial" w:cs="Arial"/>
          <w:sz w:val="22"/>
          <w:szCs w:val="22"/>
        </w:rPr>
        <w:t xml:space="preserve"> </w:t>
      </w:r>
    </w:p>
    <w:p w14:paraId="4DEBC9F2" w14:textId="77777777" w:rsidR="00AC0615" w:rsidRPr="00A243D4" w:rsidRDefault="00AC0615" w:rsidP="00AC0615">
      <w:pPr>
        <w:spacing w:before="100" w:beforeAutospacing="1" w:after="100" w:afterAutospacing="1"/>
        <w:rPr>
          <w:rFonts w:ascii="Arial" w:hAnsi="Arial" w:cs="Arial"/>
          <w:sz w:val="22"/>
          <w:szCs w:val="22"/>
        </w:rPr>
      </w:pPr>
      <w:r w:rsidRPr="00A243D4">
        <w:rPr>
          <w:rFonts w:ascii="Arial" w:hAnsi="Arial" w:cs="Arial"/>
          <w:sz w:val="22"/>
          <w:szCs w:val="22"/>
        </w:rPr>
        <w:t>Under Regulation 5 of the 2015 Regulations, the LPA must consider:</w:t>
      </w:r>
    </w:p>
    <w:p w14:paraId="69AF1856" w14:textId="77777777" w:rsidR="00AC0615" w:rsidRPr="00A243D4" w:rsidRDefault="00AC0615" w:rsidP="00185E12">
      <w:pPr>
        <w:numPr>
          <w:ilvl w:val="0"/>
          <w:numId w:val="5"/>
        </w:numPr>
        <w:spacing w:before="100" w:beforeAutospacing="1" w:after="100" w:afterAutospacing="1"/>
        <w:rPr>
          <w:rFonts w:ascii="Arial" w:hAnsi="Arial" w:cs="Arial"/>
          <w:sz w:val="22"/>
          <w:szCs w:val="22"/>
        </w:rPr>
      </w:pPr>
      <w:r w:rsidRPr="00A243D4">
        <w:rPr>
          <w:rFonts w:ascii="Arial" w:hAnsi="Arial" w:cs="Arial"/>
          <w:sz w:val="22"/>
          <w:szCs w:val="22"/>
        </w:rPr>
        <w:t>Risks to human health</w:t>
      </w:r>
    </w:p>
    <w:p w14:paraId="7D4589C2" w14:textId="77777777" w:rsidR="00AC0615" w:rsidRPr="00A243D4" w:rsidRDefault="00AC0615" w:rsidP="00185E12">
      <w:pPr>
        <w:numPr>
          <w:ilvl w:val="0"/>
          <w:numId w:val="5"/>
        </w:numPr>
        <w:spacing w:before="100" w:beforeAutospacing="1" w:after="100" w:afterAutospacing="1"/>
        <w:rPr>
          <w:rFonts w:ascii="Arial" w:hAnsi="Arial" w:cs="Arial"/>
          <w:sz w:val="22"/>
          <w:szCs w:val="22"/>
        </w:rPr>
      </w:pPr>
      <w:r w:rsidRPr="00A243D4">
        <w:rPr>
          <w:rFonts w:ascii="Arial" w:hAnsi="Arial" w:cs="Arial"/>
          <w:sz w:val="22"/>
          <w:szCs w:val="22"/>
        </w:rPr>
        <w:t>Risks to the environment</w:t>
      </w:r>
    </w:p>
    <w:p w14:paraId="6FC2D49B" w14:textId="77777777" w:rsidR="00AC0615" w:rsidRPr="00A243D4" w:rsidRDefault="00AC0615" w:rsidP="00185E12">
      <w:pPr>
        <w:numPr>
          <w:ilvl w:val="0"/>
          <w:numId w:val="5"/>
        </w:numPr>
        <w:spacing w:before="100" w:beforeAutospacing="1" w:after="100" w:afterAutospacing="1"/>
        <w:rPr>
          <w:rFonts w:ascii="Arial" w:hAnsi="Arial" w:cs="Arial"/>
          <w:sz w:val="22"/>
          <w:szCs w:val="22"/>
        </w:rPr>
      </w:pPr>
      <w:r w:rsidRPr="00A243D4">
        <w:rPr>
          <w:rFonts w:ascii="Arial" w:hAnsi="Arial" w:cs="Arial"/>
          <w:sz w:val="22"/>
          <w:szCs w:val="22"/>
        </w:rPr>
        <w:t>The siting of hazardous substances relative to sensitive receptors</w:t>
      </w:r>
    </w:p>
    <w:p w14:paraId="20632556" w14:textId="77777777" w:rsidR="00AC0615" w:rsidRPr="00A243D4" w:rsidRDefault="00AC0615" w:rsidP="00185E12">
      <w:pPr>
        <w:numPr>
          <w:ilvl w:val="0"/>
          <w:numId w:val="5"/>
        </w:numPr>
        <w:spacing w:before="100" w:beforeAutospacing="1" w:after="100" w:afterAutospacing="1"/>
        <w:rPr>
          <w:rFonts w:ascii="Arial" w:hAnsi="Arial" w:cs="Arial"/>
          <w:sz w:val="22"/>
          <w:szCs w:val="22"/>
        </w:rPr>
      </w:pPr>
      <w:r w:rsidRPr="00A243D4">
        <w:rPr>
          <w:rFonts w:ascii="Arial" w:hAnsi="Arial" w:cs="Arial"/>
          <w:sz w:val="22"/>
          <w:szCs w:val="22"/>
        </w:rPr>
        <w:t>The potential for major accidents</w:t>
      </w:r>
    </w:p>
    <w:p w14:paraId="169C24CB" w14:textId="77777777" w:rsidR="00AC0615" w:rsidRDefault="00AC0615" w:rsidP="00185E12">
      <w:pPr>
        <w:numPr>
          <w:ilvl w:val="0"/>
          <w:numId w:val="5"/>
        </w:numPr>
        <w:spacing w:before="100" w:beforeAutospacing="1" w:after="100" w:afterAutospacing="1"/>
        <w:rPr>
          <w:rFonts w:ascii="Arial" w:hAnsi="Arial" w:cs="Arial"/>
          <w:sz w:val="22"/>
          <w:szCs w:val="22"/>
        </w:rPr>
      </w:pPr>
      <w:r w:rsidRPr="00A243D4">
        <w:rPr>
          <w:rFonts w:ascii="Arial" w:hAnsi="Arial" w:cs="Arial"/>
          <w:sz w:val="22"/>
          <w:szCs w:val="22"/>
        </w:rPr>
        <w:t>The adequacy of mitigation measures</w:t>
      </w:r>
    </w:p>
    <w:p w14:paraId="34B45EA2" w14:textId="77777777" w:rsidR="003248F9" w:rsidRPr="003248F9" w:rsidRDefault="003248F9" w:rsidP="003248F9">
      <w:pPr>
        <w:pStyle w:val="Heading3"/>
        <w:rPr>
          <w:rFonts w:ascii="Arial" w:hAnsi="Arial" w:cs="Arial"/>
          <w:color w:val="auto"/>
          <w:sz w:val="22"/>
          <w:szCs w:val="22"/>
        </w:rPr>
      </w:pPr>
      <w:r w:rsidRPr="003248F9">
        <w:rPr>
          <w:rStyle w:val="Strong"/>
          <w:rFonts w:ascii="Arial" w:hAnsi="Arial" w:cs="Arial"/>
          <w:color w:val="auto"/>
          <w:sz w:val="22"/>
          <w:szCs w:val="22"/>
        </w:rPr>
        <w:t>HSE Consultation Zones</w:t>
      </w:r>
    </w:p>
    <w:p w14:paraId="069F377C" w14:textId="77777777" w:rsidR="003248F9" w:rsidRPr="003248F9" w:rsidRDefault="003248F9" w:rsidP="003248F9">
      <w:pPr>
        <w:pStyle w:val="NormalWeb"/>
        <w:rPr>
          <w:rFonts w:ascii="Arial" w:hAnsi="Arial" w:cs="Arial"/>
          <w:sz w:val="22"/>
          <w:szCs w:val="22"/>
        </w:rPr>
      </w:pPr>
      <w:r w:rsidRPr="003248F9">
        <w:rPr>
          <w:rFonts w:ascii="Arial" w:hAnsi="Arial" w:cs="Arial"/>
          <w:sz w:val="22"/>
          <w:szCs w:val="22"/>
        </w:rPr>
        <w:t xml:space="preserve">HSE will generate </w:t>
      </w:r>
      <w:r w:rsidRPr="003248F9">
        <w:rPr>
          <w:rStyle w:val="Strong"/>
          <w:rFonts w:ascii="Arial" w:eastAsiaTheme="majorEastAsia" w:hAnsi="Arial" w:cs="Arial"/>
          <w:b w:val="0"/>
          <w:bCs w:val="0"/>
          <w:sz w:val="22"/>
          <w:szCs w:val="22"/>
        </w:rPr>
        <w:t>inner, middle, and outer consultation zones</w:t>
      </w:r>
      <w:r w:rsidRPr="003248F9">
        <w:rPr>
          <w:rFonts w:ascii="Arial" w:hAnsi="Arial" w:cs="Arial"/>
          <w:sz w:val="22"/>
          <w:szCs w:val="22"/>
        </w:rPr>
        <w:t xml:space="preserve"> around the site. The LPA must consider:</w:t>
      </w:r>
    </w:p>
    <w:p w14:paraId="2520403A" w14:textId="77777777" w:rsidR="003248F9" w:rsidRPr="003248F9" w:rsidRDefault="003248F9" w:rsidP="00185E12">
      <w:pPr>
        <w:pStyle w:val="NormalWeb"/>
        <w:numPr>
          <w:ilvl w:val="0"/>
          <w:numId w:val="7"/>
        </w:numPr>
        <w:spacing w:before="100" w:beforeAutospacing="1" w:after="100" w:afterAutospacing="1"/>
        <w:rPr>
          <w:rFonts w:ascii="Arial" w:hAnsi="Arial" w:cs="Arial"/>
          <w:sz w:val="22"/>
          <w:szCs w:val="22"/>
        </w:rPr>
      </w:pPr>
      <w:r w:rsidRPr="003248F9">
        <w:rPr>
          <w:rFonts w:ascii="Arial" w:hAnsi="Arial" w:cs="Arial"/>
          <w:sz w:val="22"/>
          <w:szCs w:val="22"/>
        </w:rPr>
        <w:t>Whether the presence of hazardous substances is compatible with nearby land uses</w:t>
      </w:r>
    </w:p>
    <w:p w14:paraId="614CC30A" w14:textId="77777777" w:rsidR="003248F9" w:rsidRPr="003248F9" w:rsidRDefault="003248F9" w:rsidP="00185E12">
      <w:pPr>
        <w:pStyle w:val="NormalWeb"/>
        <w:numPr>
          <w:ilvl w:val="0"/>
          <w:numId w:val="7"/>
        </w:numPr>
        <w:spacing w:before="100" w:beforeAutospacing="1" w:after="100" w:afterAutospacing="1"/>
        <w:rPr>
          <w:rFonts w:ascii="Arial" w:hAnsi="Arial" w:cs="Arial"/>
          <w:sz w:val="22"/>
          <w:szCs w:val="22"/>
        </w:rPr>
      </w:pPr>
      <w:r w:rsidRPr="003248F9">
        <w:rPr>
          <w:rFonts w:ascii="Arial" w:hAnsi="Arial" w:cs="Arial"/>
          <w:sz w:val="22"/>
          <w:szCs w:val="22"/>
        </w:rPr>
        <w:t>Whether future development would be constrained</w:t>
      </w:r>
    </w:p>
    <w:p w14:paraId="58E34BE5" w14:textId="77777777" w:rsidR="003248F9" w:rsidRPr="003248F9" w:rsidRDefault="003248F9" w:rsidP="00185E12">
      <w:pPr>
        <w:pStyle w:val="NormalWeb"/>
        <w:numPr>
          <w:ilvl w:val="0"/>
          <w:numId w:val="7"/>
        </w:numPr>
        <w:spacing w:before="100" w:beforeAutospacing="1" w:after="100" w:afterAutospacing="1"/>
        <w:rPr>
          <w:rFonts w:ascii="Arial" w:hAnsi="Arial" w:cs="Arial"/>
          <w:sz w:val="22"/>
          <w:szCs w:val="22"/>
        </w:rPr>
      </w:pPr>
      <w:r w:rsidRPr="003248F9">
        <w:rPr>
          <w:rFonts w:ascii="Arial" w:hAnsi="Arial" w:cs="Arial"/>
          <w:sz w:val="22"/>
          <w:szCs w:val="22"/>
        </w:rPr>
        <w:t>Whether the risk contours overlap residential or sensitive uses</w:t>
      </w:r>
    </w:p>
    <w:p w14:paraId="34C75197" w14:textId="77777777" w:rsidR="006B4012" w:rsidRDefault="006B4012" w:rsidP="006B4012">
      <w:pPr>
        <w:pStyle w:val="Heading3"/>
        <w:rPr>
          <w:rStyle w:val="Strong"/>
          <w:rFonts w:ascii="Arial" w:hAnsi="Arial" w:cs="Arial"/>
          <w:color w:val="auto"/>
          <w:sz w:val="22"/>
          <w:szCs w:val="22"/>
        </w:rPr>
      </w:pPr>
      <w:r w:rsidRPr="00A32662">
        <w:rPr>
          <w:rStyle w:val="Strong"/>
          <w:rFonts w:ascii="Arial" w:hAnsi="Arial" w:cs="Arial"/>
          <w:color w:val="auto"/>
          <w:sz w:val="22"/>
          <w:szCs w:val="22"/>
        </w:rPr>
        <w:t>COMAH Considerations</w:t>
      </w:r>
    </w:p>
    <w:p w14:paraId="3FE89B0E" w14:textId="77777777" w:rsidR="006B4012" w:rsidRPr="00A32662" w:rsidRDefault="006B4012" w:rsidP="006B4012">
      <w:pPr>
        <w:pStyle w:val="NormalWeb"/>
        <w:rPr>
          <w:rFonts w:ascii="Arial" w:hAnsi="Arial" w:cs="Arial"/>
          <w:sz w:val="22"/>
          <w:szCs w:val="22"/>
        </w:rPr>
      </w:pPr>
      <w:r w:rsidRPr="00A32662">
        <w:rPr>
          <w:rFonts w:ascii="Arial" w:hAnsi="Arial" w:cs="Arial"/>
          <w:sz w:val="22"/>
          <w:szCs w:val="22"/>
        </w:rPr>
        <w:t>If th</w:t>
      </w:r>
      <w:r>
        <w:rPr>
          <w:rFonts w:ascii="Arial" w:hAnsi="Arial" w:cs="Arial"/>
          <w:sz w:val="22"/>
          <w:szCs w:val="22"/>
        </w:rPr>
        <w:t>r</w:t>
      </w:r>
      <w:r w:rsidRPr="00A32662">
        <w:rPr>
          <w:rFonts w:ascii="Arial" w:hAnsi="Arial" w:cs="Arial"/>
          <w:sz w:val="22"/>
          <w:szCs w:val="22"/>
        </w:rPr>
        <w:t>e</w:t>
      </w:r>
      <w:r>
        <w:rPr>
          <w:rFonts w:ascii="Arial" w:hAnsi="Arial" w:cs="Arial"/>
          <w:sz w:val="22"/>
          <w:szCs w:val="22"/>
        </w:rPr>
        <w:t>sholds are exceeded, the operator may become a COMAH establishment requiring</w:t>
      </w:r>
      <w:r w:rsidRPr="00A32662">
        <w:rPr>
          <w:rFonts w:ascii="Arial" w:hAnsi="Arial" w:cs="Arial"/>
          <w:sz w:val="22"/>
          <w:szCs w:val="22"/>
        </w:rPr>
        <w:t>:</w:t>
      </w:r>
    </w:p>
    <w:p w14:paraId="5991369C" w14:textId="77777777" w:rsidR="006B4012" w:rsidRPr="00A32662" w:rsidRDefault="006B4012" w:rsidP="00185E12">
      <w:pPr>
        <w:pStyle w:val="NormalWeb"/>
        <w:numPr>
          <w:ilvl w:val="0"/>
          <w:numId w:val="8"/>
        </w:numPr>
        <w:spacing w:before="100" w:beforeAutospacing="1" w:after="100" w:afterAutospacing="1"/>
        <w:rPr>
          <w:rFonts w:ascii="Arial" w:hAnsi="Arial" w:cs="Arial"/>
          <w:sz w:val="22"/>
          <w:szCs w:val="22"/>
        </w:rPr>
      </w:pPr>
      <w:r w:rsidRPr="00A32662">
        <w:rPr>
          <w:rFonts w:ascii="Arial" w:hAnsi="Arial" w:cs="Arial"/>
          <w:sz w:val="22"/>
          <w:szCs w:val="22"/>
        </w:rPr>
        <w:t>A Major Accident Prevention Policy (MAPP)</w:t>
      </w:r>
    </w:p>
    <w:p w14:paraId="32E8E64C" w14:textId="77777777" w:rsidR="006B4012" w:rsidRPr="00A32662" w:rsidRDefault="006B4012" w:rsidP="00185E12">
      <w:pPr>
        <w:pStyle w:val="NormalWeb"/>
        <w:numPr>
          <w:ilvl w:val="0"/>
          <w:numId w:val="8"/>
        </w:numPr>
        <w:spacing w:before="100" w:beforeAutospacing="1" w:after="100" w:afterAutospacing="1"/>
        <w:rPr>
          <w:rFonts w:ascii="Arial" w:hAnsi="Arial" w:cs="Arial"/>
          <w:sz w:val="22"/>
          <w:szCs w:val="22"/>
        </w:rPr>
      </w:pPr>
      <w:r w:rsidRPr="00A32662">
        <w:rPr>
          <w:rFonts w:ascii="Arial" w:hAnsi="Arial" w:cs="Arial"/>
          <w:sz w:val="22"/>
          <w:szCs w:val="22"/>
        </w:rPr>
        <w:t>A Safety Report</w:t>
      </w:r>
    </w:p>
    <w:p w14:paraId="6943BD00" w14:textId="08F4E87F" w:rsidR="006B4012" w:rsidRPr="003266E0" w:rsidRDefault="006B4012" w:rsidP="003266E0">
      <w:pPr>
        <w:pStyle w:val="NormalWeb"/>
        <w:numPr>
          <w:ilvl w:val="0"/>
          <w:numId w:val="8"/>
        </w:numPr>
        <w:spacing w:before="100" w:beforeAutospacing="1" w:after="100" w:afterAutospacing="1"/>
        <w:rPr>
          <w:rFonts w:ascii="Arial" w:hAnsi="Arial" w:cs="Arial"/>
          <w:sz w:val="22"/>
          <w:szCs w:val="22"/>
        </w:rPr>
      </w:pPr>
      <w:r w:rsidRPr="00A32662">
        <w:rPr>
          <w:rFonts w:ascii="Arial" w:hAnsi="Arial" w:cs="Arial"/>
          <w:sz w:val="22"/>
          <w:szCs w:val="22"/>
        </w:rPr>
        <w:t>An Emergency Plan</w:t>
      </w:r>
    </w:p>
    <w:p w14:paraId="259D48E7" w14:textId="7785F638" w:rsidR="008F5BE4" w:rsidRPr="00EA1C6C" w:rsidRDefault="008F5BE4" w:rsidP="008F5BE4">
      <w:pPr>
        <w:spacing w:line="276" w:lineRule="auto"/>
        <w:jc w:val="both"/>
        <w:rPr>
          <w:rFonts w:ascii="Arial" w:hAnsi="Arial" w:cs="Arial"/>
          <w:b/>
          <w:bCs/>
          <w:color w:val="000000" w:themeColor="text1"/>
          <w:sz w:val="22"/>
          <w:szCs w:val="22"/>
        </w:rPr>
      </w:pPr>
      <w:r w:rsidRPr="00EA1C6C">
        <w:rPr>
          <w:rFonts w:ascii="Arial" w:hAnsi="Arial" w:cs="Arial"/>
          <w:b/>
          <w:bCs/>
          <w:color w:val="000000" w:themeColor="text1"/>
          <w:sz w:val="22"/>
          <w:szCs w:val="22"/>
        </w:rPr>
        <w:t>Environmental Impact Assessment (EIA) Screening</w:t>
      </w:r>
    </w:p>
    <w:p w14:paraId="1E0294BF"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64111A28" w14:textId="77777777" w:rsidR="008F5BE4" w:rsidRDefault="008F5BE4" w:rsidP="008F5BE4">
      <w:pPr>
        <w:spacing w:line="276" w:lineRule="auto"/>
        <w:jc w:val="both"/>
        <w:rPr>
          <w:rFonts w:ascii="Arial" w:hAnsi="Arial" w:cs="Arial"/>
          <w:color w:val="000000" w:themeColor="text1"/>
          <w:sz w:val="22"/>
          <w:szCs w:val="22"/>
        </w:rPr>
      </w:pPr>
    </w:p>
    <w:p w14:paraId="69A41EE9" w14:textId="77777777" w:rsidR="008F5BE4" w:rsidRPr="003F13E1" w:rsidRDefault="008F5BE4" w:rsidP="008F5BE4">
      <w:pPr>
        <w:spacing w:line="276" w:lineRule="auto"/>
        <w:jc w:val="both"/>
        <w:rPr>
          <w:rFonts w:ascii="Arial" w:hAnsi="Arial" w:cs="Arial"/>
          <w:i/>
          <w:iCs/>
          <w:color w:val="000000" w:themeColor="text1"/>
          <w:sz w:val="22"/>
          <w:szCs w:val="22"/>
        </w:rPr>
      </w:pPr>
      <w:r w:rsidRPr="00EA1C6C">
        <w:rPr>
          <w:rFonts w:ascii="Arial" w:hAnsi="Arial" w:cs="Arial"/>
          <w:i/>
          <w:iCs/>
          <w:color w:val="000000" w:themeColor="text1"/>
          <w:sz w:val="22"/>
          <w:szCs w:val="22"/>
        </w:rPr>
        <w:t>EIA Screening Opinion Issued – Not EIA Development</w:t>
      </w:r>
    </w:p>
    <w:p w14:paraId="5842C83B" w14:textId="54ED19B1" w:rsidR="008F5BE4" w:rsidRPr="00EE7C23" w:rsidRDefault="006D21A4" w:rsidP="008F5BE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It is considered that</w:t>
      </w:r>
      <w:r w:rsidR="008F5BE4" w:rsidRPr="00EE7C23">
        <w:rPr>
          <w:rFonts w:ascii="Arial" w:hAnsi="Arial" w:cs="Arial"/>
          <w:color w:val="000000" w:themeColor="text1"/>
          <w:sz w:val="22"/>
          <w:szCs w:val="22"/>
        </w:rPr>
        <w:t xml:space="preserve"> the proposal does not constitute EIA development as it does not exceed the relevant thresholds or criteria set out in Schedule 1 or Schedule 2 of the EIA Regulations, and is not likely to have significant effects on the environment by virtue of factors such as its nature, size, or location.</w:t>
      </w:r>
    </w:p>
    <w:p w14:paraId="15085561" w14:textId="77777777" w:rsidR="008F5BE4" w:rsidRPr="00EA1C6C" w:rsidRDefault="008F5BE4" w:rsidP="008F5BE4">
      <w:pPr>
        <w:spacing w:line="276" w:lineRule="auto"/>
        <w:jc w:val="both"/>
        <w:rPr>
          <w:rFonts w:ascii="Arial" w:hAnsi="Arial" w:cs="Arial"/>
          <w:color w:val="000000" w:themeColor="text1"/>
          <w:sz w:val="22"/>
          <w:szCs w:val="22"/>
        </w:rPr>
      </w:pPr>
    </w:p>
    <w:p w14:paraId="1017AE64" w14:textId="110C463B" w:rsidR="00A32662" w:rsidRDefault="00677CCA" w:rsidP="00A32662">
      <w:pPr>
        <w:pStyle w:val="NormalWeb"/>
        <w:rPr>
          <w:rFonts w:ascii="Arial" w:hAnsi="Arial" w:cs="Arial"/>
          <w:b/>
          <w:bCs/>
          <w:sz w:val="22"/>
          <w:szCs w:val="22"/>
        </w:rPr>
      </w:pPr>
      <w:r>
        <w:rPr>
          <w:rFonts w:ascii="Arial" w:hAnsi="Arial" w:cs="Arial"/>
          <w:b/>
          <w:bCs/>
          <w:sz w:val="22"/>
          <w:szCs w:val="22"/>
        </w:rPr>
        <w:t>A</w:t>
      </w:r>
      <w:r w:rsidR="00F81FE5" w:rsidRPr="00F81FE5">
        <w:rPr>
          <w:rFonts w:ascii="Arial" w:hAnsi="Arial" w:cs="Arial"/>
          <w:b/>
          <w:bCs/>
          <w:sz w:val="22"/>
          <w:szCs w:val="22"/>
        </w:rPr>
        <w:t>SSESSMENT</w:t>
      </w:r>
    </w:p>
    <w:p w14:paraId="2649838F" w14:textId="77777777" w:rsidR="00F81FE5" w:rsidRPr="00F81FE5" w:rsidRDefault="00F81FE5" w:rsidP="00A32662">
      <w:pPr>
        <w:pStyle w:val="NormalWeb"/>
        <w:rPr>
          <w:rFonts w:ascii="Arial" w:hAnsi="Arial" w:cs="Arial"/>
          <w:b/>
          <w:bCs/>
          <w:sz w:val="22"/>
          <w:szCs w:val="22"/>
        </w:rPr>
      </w:pPr>
    </w:p>
    <w:p w14:paraId="70CB2976" w14:textId="68125779" w:rsidR="00A243D4" w:rsidRPr="00AC21CD" w:rsidRDefault="00166623" w:rsidP="00B341CC">
      <w:pPr>
        <w:spacing w:line="276" w:lineRule="auto"/>
        <w:jc w:val="both"/>
        <w:rPr>
          <w:rFonts w:ascii="Arial" w:hAnsi="Arial" w:cs="Arial"/>
          <w:sz w:val="22"/>
          <w:szCs w:val="22"/>
        </w:rPr>
      </w:pPr>
      <w:r w:rsidRPr="00AC21CD">
        <w:rPr>
          <w:rFonts w:ascii="Arial" w:hAnsi="Arial" w:cs="Arial"/>
          <w:sz w:val="22"/>
          <w:szCs w:val="22"/>
        </w:rPr>
        <w:t>Amenity, Landscape, Ecology, Highways</w:t>
      </w:r>
      <w:r w:rsidR="005F2830" w:rsidRPr="00AC21CD">
        <w:rPr>
          <w:rFonts w:ascii="Arial" w:hAnsi="Arial" w:cs="Arial"/>
          <w:sz w:val="22"/>
          <w:szCs w:val="22"/>
        </w:rPr>
        <w:t xml:space="preserve"> </w:t>
      </w:r>
      <w:r w:rsidR="005F2830" w:rsidRPr="00AC21CD">
        <w:rPr>
          <w:rFonts w:ascii="Arial" w:hAnsi="Arial" w:cs="Arial"/>
          <w:i/>
          <w:iCs/>
          <w:sz w:val="22"/>
          <w:szCs w:val="22"/>
        </w:rPr>
        <w:t>– These matters are secondary and only relevant where they relate to</w:t>
      </w:r>
      <w:r w:rsidR="00BD5369" w:rsidRPr="00AC21CD">
        <w:rPr>
          <w:rFonts w:ascii="Arial" w:hAnsi="Arial" w:cs="Arial"/>
          <w:i/>
          <w:iCs/>
          <w:sz w:val="22"/>
          <w:szCs w:val="22"/>
        </w:rPr>
        <w:t xml:space="preserve"> the following and do not override the HSE’s risk assessment</w:t>
      </w:r>
      <w:r w:rsidR="005F2830" w:rsidRPr="00AC21CD">
        <w:rPr>
          <w:rFonts w:ascii="Arial" w:hAnsi="Arial" w:cs="Arial"/>
          <w:i/>
          <w:iCs/>
          <w:sz w:val="22"/>
          <w:szCs w:val="22"/>
        </w:rPr>
        <w:t>:</w:t>
      </w:r>
    </w:p>
    <w:p w14:paraId="3186A756" w14:textId="30CB63E7" w:rsidR="008B158F" w:rsidRPr="00AC21CD" w:rsidRDefault="008B158F" w:rsidP="00185E12">
      <w:pPr>
        <w:pStyle w:val="ListParagraph"/>
        <w:numPr>
          <w:ilvl w:val="0"/>
          <w:numId w:val="6"/>
        </w:numPr>
        <w:spacing w:line="276" w:lineRule="auto"/>
        <w:jc w:val="both"/>
        <w:rPr>
          <w:rFonts w:ascii="Arial" w:hAnsi="Arial" w:cs="Arial"/>
          <w:sz w:val="22"/>
          <w:szCs w:val="22"/>
        </w:rPr>
      </w:pPr>
      <w:r w:rsidRPr="00AC21CD">
        <w:rPr>
          <w:rFonts w:ascii="Arial" w:hAnsi="Arial" w:cs="Arial"/>
          <w:sz w:val="22"/>
          <w:szCs w:val="22"/>
        </w:rPr>
        <w:t>Safety</w:t>
      </w:r>
    </w:p>
    <w:p w14:paraId="5AC026D2" w14:textId="2D4F7A32" w:rsidR="008B158F" w:rsidRPr="00AC21CD" w:rsidRDefault="008B158F" w:rsidP="00185E12">
      <w:pPr>
        <w:pStyle w:val="ListParagraph"/>
        <w:numPr>
          <w:ilvl w:val="0"/>
          <w:numId w:val="6"/>
        </w:numPr>
        <w:spacing w:line="276" w:lineRule="auto"/>
        <w:jc w:val="both"/>
        <w:rPr>
          <w:rFonts w:ascii="Arial" w:hAnsi="Arial" w:cs="Arial"/>
          <w:sz w:val="22"/>
          <w:szCs w:val="22"/>
        </w:rPr>
      </w:pPr>
      <w:r w:rsidRPr="00AC21CD">
        <w:rPr>
          <w:rFonts w:ascii="Arial" w:hAnsi="Arial" w:cs="Arial"/>
          <w:sz w:val="22"/>
          <w:szCs w:val="22"/>
        </w:rPr>
        <w:t>Emergency Access</w:t>
      </w:r>
    </w:p>
    <w:p w14:paraId="3C198420" w14:textId="5B02C645" w:rsidR="008B158F" w:rsidRPr="00AC21CD" w:rsidRDefault="008B158F" w:rsidP="00185E12">
      <w:pPr>
        <w:pStyle w:val="ListParagraph"/>
        <w:numPr>
          <w:ilvl w:val="0"/>
          <w:numId w:val="6"/>
        </w:numPr>
        <w:spacing w:line="276" w:lineRule="auto"/>
        <w:jc w:val="both"/>
        <w:rPr>
          <w:rFonts w:ascii="Arial" w:hAnsi="Arial" w:cs="Arial"/>
          <w:sz w:val="22"/>
          <w:szCs w:val="22"/>
        </w:rPr>
      </w:pPr>
      <w:r w:rsidRPr="00AC21CD">
        <w:rPr>
          <w:rFonts w:ascii="Arial" w:hAnsi="Arial" w:cs="Arial"/>
          <w:sz w:val="22"/>
          <w:szCs w:val="22"/>
        </w:rPr>
        <w:t>Environmental Risk</w:t>
      </w:r>
    </w:p>
    <w:p w14:paraId="478FDC3B" w14:textId="6C31AE47" w:rsidR="008B3D6C" w:rsidRPr="00AC21CD" w:rsidRDefault="008B158F" w:rsidP="00E74D81">
      <w:pPr>
        <w:pStyle w:val="ListParagraph"/>
        <w:numPr>
          <w:ilvl w:val="0"/>
          <w:numId w:val="6"/>
        </w:numPr>
        <w:spacing w:line="276" w:lineRule="auto"/>
        <w:jc w:val="both"/>
        <w:rPr>
          <w:rFonts w:ascii="Arial" w:hAnsi="Arial" w:cs="Arial"/>
          <w:b/>
          <w:bCs/>
          <w:color w:val="FF0000"/>
          <w:sz w:val="22"/>
          <w:szCs w:val="22"/>
        </w:rPr>
      </w:pPr>
      <w:r w:rsidRPr="00AC21CD">
        <w:rPr>
          <w:rFonts w:ascii="Arial" w:hAnsi="Arial" w:cs="Arial"/>
          <w:sz w:val="22"/>
          <w:szCs w:val="22"/>
        </w:rPr>
        <w:t>Land-Use Compatibility</w:t>
      </w:r>
    </w:p>
    <w:p w14:paraId="13268EBD" w14:textId="5B27D445" w:rsidR="00B75109" w:rsidRDefault="008F720C" w:rsidP="008B3D6C">
      <w:pPr>
        <w:spacing w:before="100" w:beforeAutospacing="1" w:after="100" w:afterAutospacing="1"/>
        <w:rPr>
          <w:rFonts w:ascii="Arial" w:hAnsi="Arial" w:cs="Arial"/>
          <w:b/>
          <w:bCs/>
          <w:sz w:val="22"/>
          <w:szCs w:val="22"/>
        </w:rPr>
      </w:pPr>
      <w:r w:rsidRPr="008F720C">
        <w:rPr>
          <w:rFonts w:ascii="Arial" w:hAnsi="Arial" w:cs="Arial"/>
          <w:b/>
          <w:bCs/>
          <w:i/>
          <w:iCs/>
          <w:sz w:val="22"/>
          <w:szCs w:val="22"/>
        </w:rPr>
        <w:t>Safety</w:t>
      </w:r>
      <w:r>
        <w:rPr>
          <w:rFonts w:ascii="Arial" w:hAnsi="Arial" w:cs="Arial"/>
          <w:b/>
          <w:bCs/>
          <w:sz w:val="22"/>
          <w:szCs w:val="22"/>
        </w:rPr>
        <w:t>/</w:t>
      </w:r>
      <w:r w:rsidR="005A4D4C">
        <w:rPr>
          <w:rFonts w:ascii="Arial" w:hAnsi="Arial" w:cs="Arial"/>
          <w:b/>
          <w:bCs/>
          <w:sz w:val="22"/>
          <w:szCs w:val="22"/>
        </w:rPr>
        <w:t xml:space="preserve">Risk to </w:t>
      </w:r>
      <w:r w:rsidR="002323BF">
        <w:rPr>
          <w:rFonts w:ascii="Arial" w:hAnsi="Arial" w:cs="Arial"/>
          <w:b/>
          <w:bCs/>
          <w:sz w:val="22"/>
          <w:szCs w:val="22"/>
        </w:rPr>
        <w:t>Human Health/</w:t>
      </w:r>
      <w:r w:rsidR="00F56B58" w:rsidRPr="00F56B58">
        <w:rPr>
          <w:rFonts w:ascii="Arial" w:hAnsi="Arial" w:cs="Arial"/>
          <w:b/>
          <w:bCs/>
          <w:sz w:val="22"/>
          <w:szCs w:val="22"/>
        </w:rPr>
        <w:t>Residential Amenity</w:t>
      </w:r>
    </w:p>
    <w:p w14:paraId="1D69E97E" w14:textId="3F9E3EC7" w:rsidR="008F720C" w:rsidRPr="008F720C" w:rsidRDefault="008F720C" w:rsidP="008F4E57">
      <w:pPr>
        <w:spacing w:before="100" w:beforeAutospacing="1" w:after="100" w:afterAutospacing="1"/>
        <w:rPr>
          <w:rFonts w:ascii="Arial" w:hAnsi="Arial" w:cs="Arial"/>
          <w:i/>
          <w:iCs/>
          <w:sz w:val="22"/>
          <w:szCs w:val="22"/>
        </w:rPr>
      </w:pPr>
      <w:r w:rsidRPr="008F720C">
        <w:rPr>
          <w:rFonts w:ascii="Arial" w:hAnsi="Arial" w:cs="Arial"/>
          <w:i/>
          <w:iCs/>
          <w:sz w:val="22"/>
          <w:szCs w:val="22"/>
        </w:rPr>
        <w:t>Policy</w:t>
      </w:r>
    </w:p>
    <w:p w14:paraId="7F606C4E" w14:textId="1CEBCED1" w:rsidR="008F4E57" w:rsidRDefault="008F4E57" w:rsidP="008F4E57">
      <w:pPr>
        <w:spacing w:before="100" w:beforeAutospacing="1" w:after="100" w:afterAutospacing="1"/>
        <w:rPr>
          <w:rFonts w:ascii="Arial" w:hAnsi="Arial" w:cs="Arial"/>
          <w:sz w:val="22"/>
          <w:szCs w:val="22"/>
        </w:rPr>
      </w:pPr>
      <w:r w:rsidRPr="008B3D6C">
        <w:rPr>
          <w:rFonts w:ascii="Arial" w:hAnsi="Arial" w:cs="Arial"/>
          <w:sz w:val="22"/>
          <w:szCs w:val="22"/>
        </w:rPr>
        <w:t>Core Policy 55 supports consideration of airborne risks, including vapour release, odour, or combustion products.</w:t>
      </w:r>
    </w:p>
    <w:p w14:paraId="7147B959" w14:textId="77777777" w:rsidR="008F4E57" w:rsidRPr="008B3D6C" w:rsidRDefault="008F4E57" w:rsidP="008F4E57">
      <w:pPr>
        <w:spacing w:before="100" w:beforeAutospacing="1" w:after="100" w:afterAutospacing="1"/>
        <w:rPr>
          <w:rFonts w:ascii="Arial" w:hAnsi="Arial" w:cs="Arial"/>
          <w:sz w:val="22"/>
          <w:szCs w:val="22"/>
        </w:rPr>
      </w:pPr>
      <w:r w:rsidRPr="008B3D6C">
        <w:rPr>
          <w:rFonts w:ascii="Arial" w:hAnsi="Arial" w:cs="Arial"/>
          <w:sz w:val="22"/>
          <w:szCs w:val="22"/>
        </w:rPr>
        <w:t>Core Policy 57 supports assessment of whether hazardous substances are compatible with neighbouring uses and whether the site layout provides safe access and emergency response capability.</w:t>
      </w:r>
    </w:p>
    <w:p w14:paraId="307C5214" w14:textId="24FC46B0" w:rsidR="004052B4" w:rsidRPr="008F720C" w:rsidRDefault="008F720C" w:rsidP="008B3D6C">
      <w:pPr>
        <w:spacing w:before="100" w:beforeAutospacing="1" w:after="100" w:afterAutospacing="1"/>
        <w:rPr>
          <w:rFonts w:ascii="Arial" w:hAnsi="Arial" w:cs="Arial"/>
          <w:i/>
          <w:iCs/>
          <w:sz w:val="22"/>
          <w:szCs w:val="22"/>
        </w:rPr>
      </w:pPr>
      <w:r w:rsidRPr="008F720C">
        <w:rPr>
          <w:rFonts w:ascii="Arial" w:hAnsi="Arial" w:cs="Arial"/>
          <w:i/>
          <w:iCs/>
          <w:sz w:val="22"/>
          <w:szCs w:val="22"/>
        </w:rPr>
        <w:t>Assessment</w:t>
      </w:r>
    </w:p>
    <w:p w14:paraId="4DFA9677" w14:textId="098714AC" w:rsidR="008F720C" w:rsidRPr="008F720C" w:rsidRDefault="00535483" w:rsidP="00C02293">
      <w:pPr>
        <w:spacing w:before="100" w:beforeAutospacing="1" w:after="100" w:afterAutospacing="1"/>
        <w:jc w:val="both"/>
        <w:rPr>
          <w:rFonts w:ascii="Arial" w:hAnsi="Arial" w:cs="Arial"/>
          <w:sz w:val="22"/>
          <w:szCs w:val="22"/>
        </w:rPr>
      </w:pPr>
      <w:r>
        <w:rPr>
          <w:rFonts w:ascii="Arial" w:hAnsi="Arial" w:cs="Arial"/>
          <w:sz w:val="22"/>
          <w:szCs w:val="22"/>
        </w:rPr>
        <w:t xml:space="preserve">All dangerous goods are considered finished goods and </w:t>
      </w:r>
      <w:r w:rsidRPr="00680E9B">
        <w:rPr>
          <w:rFonts w:ascii="Arial" w:hAnsi="Arial" w:cs="Arial"/>
          <w:sz w:val="22"/>
          <w:szCs w:val="22"/>
        </w:rPr>
        <w:t>handled transport and stored in strong outer packaging (where required UN approved packaging is used)</w:t>
      </w:r>
      <w:r>
        <w:rPr>
          <w:rFonts w:ascii="Arial" w:hAnsi="Arial" w:cs="Arial"/>
          <w:sz w:val="22"/>
          <w:szCs w:val="22"/>
        </w:rPr>
        <w:t>. Ground level storage and racking systems are used which are maintained regularly. The site has incident management procedures in place and all operators of fork</w:t>
      </w:r>
      <w:r w:rsidR="00F5074B">
        <w:rPr>
          <w:rFonts w:ascii="Arial" w:hAnsi="Arial" w:cs="Arial"/>
          <w:sz w:val="22"/>
          <w:szCs w:val="22"/>
        </w:rPr>
        <w:t>-</w:t>
      </w:r>
      <w:r>
        <w:rPr>
          <w:rFonts w:ascii="Arial" w:hAnsi="Arial" w:cs="Arial"/>
          <w:sz w:val="22"/>
          <w:szCs w:val="22"/>
        </w:rPr>
        <w:t xml:space="preserve">lift equipment are trained in spillage procedures and response procedures. </w:t>
      </w:r>
      <w:r w:rsidR="00A60842">
        <w:rPr>
          <w:rFonts w:ascii="Arial" w:hAnsi="Arial" w:cs="Arial"/>
          <w:sz w:val="22"/>
          <w:szCs w:val="22"/>
        </w:rPr>
        <w:t>Furthermore, the material is to be stored within an existing building and as such any impact to human health and residential amenity is minimal</w:t>
      </w:r>
      <w:r w:rsidR="00754D2A">
        <w:rPr>
          <w:rFonts w:ascii="Arial" w:hAnsi="Arial" w:cs="Arial"/>
          <w:sz w:val="22"/>
          <w:szCs w:val="22"/>
        </w:rPr>
        <w:t xml:space="preserve"> especially given that the nearest residential dwelling is approximately 200 metres away from the existing building. </w:t>
      </w:r>
    </w:p>
    <w:p w14:paraId="28EECEBA" w14:textId="27398A61" w:rsidR="008F720C" w:rsidRDefault="008F720C" w:rsidP="008B3D6C">
      <w:pPr>
        <w:spacing w:before="100" w:beforeAutospacing="1" w:after="100" w:afterAutospacing="1"/>
        <w:rPr>
          <w:rFonts w:ascii="Arial" w:hAnsi="Arial" w:cs="Arial"/>
          <w:i/>
          <w:iCs/>
          <w:sz w:val="22"/>
          <w:szCs w:val="22"/>
        </w:rPr>
      </w:pPr>
      <w:r w:rsidRPr="008F720C">
        <w:rPr>
          <w:rFonts w:ascii="Arial" w:hAnsi="Arial" w:cs="Arial"/>
          <w:i/>
          <w:iCs/>
          <w:sz w:val="22"/>
          <w:szCs w:val="22"/>
        </w:rPr>
        <w:t>Conclusion</w:t>
      </w:r>
    </w:p>
    <w:p w14:paraId="3EE722EA" w14:textId="6EF43061" w:rsidR="008F720C" w:rsidRPr="008F720C" w:rsidRDefault="00F26924" w:rsidP="008B3D6C">
      <w:pPr>
        <w:spacing w:before="100" w:beforeAutospacing="1" w:after="100" w:afterAutospacing="1"/>
        <w:rPr>
          <w:rFonts w:ascii="Arial" w:hAnsi="Arial" w:cs="Arial"/>
          <w:sz w:val="22"/>
          <w:szCs w:val="22"/>
        </w:rPr>
      </w:pPr>
      <w:r>
        <w:rPr>
          <w:rFonts w:ascii="Arial" w:hAnsi="Arial" w:cs="Arial"/>
          <w:sz w:val="22"/>
          <w:szCs w:val="22"/>
        </w:rPr>
        <w:t xml:space="preserve">The proposal </w:t>
      </w:r>
      <w:r w:rsidR="00206AD9">
        <w:rPr>
          <w:rFonts w:ascii="Arial" w:hAnsi="Arial" w:cs="Arial"/>
          <w:sz w:val="22"/>
          <w:szCs w:val="22"/>
        </w:rPr>
        <w:t>is considered to comply with the relevant policies.</w:t>
      </w:r>
    </w:p>
    <w:p w14:paraId="51B939C8" w14:textId="2163BA33" w:rsidR="004052B4" w:rsidRDefault="004052B4" w:rsidP="008B3D6C">
      <w:pPr>
        <w:spacing w:before="100" w:beforeAutospacing="1" w:after="100" w:afterAutospacing="1"/>
        <w:rPr>
          <w:rFonts w:ascii="Arial" w:hAnsi="Arial" w:cs="Arial"/>
          <w:b/>
          <w:bCs/>
          <w:sz w:val="22"/>
          <w:szCs w:val="22"/>
        </w:rPr>
      </w:pPr>
      <w:r>
        <w:rPr>
          <w:rFonts w:ascii="Arial" w:hAnsi="Arial" w:cs="Arial"/>
          <w:b/>
          <w:bCs/>
          <w:sz w:val="22"/>
          <w:szCs w:val="22"/>
        </w:rPr>
        <w:t>Emergency Access</w:t>
      </w:r>
      <w:r w:rsidR="00C17D44">
        <w:rPr>
          <w:rFonts w:ascii="Arial" w:hAnsi="Arial" w:cs="Arial"/>
          <w:b/>
          <w:bCs/>
          <w:sz w:val="22"/>
          <w:szCs w:val="22"/>
        </w:rPr>
        <w:t>/Highway Safety</w:t>
      </w:r>
    </w:p>
    <w:p w14:paraId="26F33362" w14:textId="77777777" w:rsidR="008F720C" w:rsidRPr="008F720C" w:rsidRDefault="008F720C" w:rsidP="008F720C">
      <w:pPr>
        <w:spacing w:before="100" w:beforeAutospacing="1" w:after="100" w:afterAutospacing="1"/>
        <w:rPr>
          <w:rFonts w:ascii="Arial" w:hAnsi="Arial" w:cs="Arial"/>
          <w:i/>
          <w:iCs/>
          <w:sz w:val="22"/>
          <w:szCs w:val="22"/>
        </w:rPr>
      </w:pPr>
      <w:r w:rsidRPr="008F720C">
        <w:rPr>
          <w:rFonts w:ascii="Arial" w:hAnsi="Arial" w:cs="Arial"/>
          <w:i/>
          <w:iCs/>
          <w:sz w:val="22"/>
          <w:szCs w:val="22"/>
        </w:rPr>
        <w:t>Policy</w:t>
      </w:r>
    </w:p>
    <w:p w14:paraId="0EB9C2B8" w14:textId="0015914A" w:rsidR="008F4E57" w:rsidRPr="008B3D6C" w:rsidRDefault="008F4E57" w:rsidP="008F4E57">
      <w:pPr>
        <w:spacing w:before="100" w:beforeAutospacing="1" w:after="100" w:afterAutospacing="1"/>
        <w:rPr>
          <w:rFonts w:ascii="Arial" w:hAnsi="Arial" w:cs="Arial"/>
          <w:sz w:val="22"/>
          <w:szCs w:val="22"/>
        </w:rPr>
      </w:pPr>
      <w:r w:rsidRPr="008B3D6C">
        <w:rPr>
          <w:rFonts w:ascii="Arial" w:hAnsi="Arial" w:cs="Arial"/>
          <w:sz w:val="22"/>
          <w:szCs w:val="22"/>
        </w:rPr>
        <w:t>Core Policies 60–64 support assessment of safe access, tanker routing, and the ability of emergency vehicles to reach the site.</w:t>
      </w:r>
    </w:p>
    <w:p w14:paraId="0502A592" w14:textId="77777777" w:rsidR="008F720C" w:rsidRPr="008F720C" w:rsidRDefault="008F720C" w:rsidP="008F720C">
      <w:pPr>
        <w:spacing w:before="100" w:beforeAutospacing="1" w:after="100" w:afterAutospacing="1"/>
        <w:rPr>
          <w:rFonts w:ascii="Arial" w:hAnsi="Arial" w:cs="Arial"/>
          <w:i/>
          <w:iCs/>
          <w:sz w:val="22"/>
          <w:szCs w:val="22"/>
        </w:rPr>
      </w:pPr>
      <w:r w:rsidRPr="008F720C">
        <w:rPr>
          <w:rFonts w:ascii="Arial" w:hAnsi="Arial" w:cs="Arial"/>
          <w:i/>
          <w:iCs/>
          <w:sz w:val="22"/>
          <w:szCs w:val="22"/>
        </w:rPr>
        <w:t>Assessment</w:t>
      </w:r>
    </w:p>
    <w:p w14:paraId="51968823" w14:textId="09652FE2" w:rsidR="008F720C" w:rsidRPr="008F720C" w:rsidRDefault="00543928" w:rsidP="008F720C">
      <w:pPr>
        <w:spacing w:before="100" w:beforeAutospacing="1" w:after="100" w:afterAutospacing="1"/>
        <w:rPr>
          <w:rFonts w:ascii="Arial" w:hAnsi="Arial" w:cs="Arial"/>
          <w:sz w:val="22"/>
          <w:szCs w:val="22"/>
        </w:rPr>
      </w:pPr>
      <w:r>
        <w:rPr>
          <w:rFonts w:ascii="Arial" w:hAnsi="Arial" w:cs="Arial"/>
          <w:sz w:val="22"/>
          <w:szCs w:val="22"/>
        </w:rPr>
        <w:t xml:space="preserve">The site is easily accessible </w:t>
      </w:r>
      <w:r w:rsidR="001B7CEA">
        <w:rPr>
          <w:rFonts w:ascii="Arial" w:hAnsi="Arial" w:cs="Arial"/>
          <w:sz w:val="22"/>
          <w:szCs w:val="22"/>
        </w:rPr>
        <w:t xml:space="preserve">via the existing road network and </w:t>
      </w:r>
      <w:r w:rsidR="001A6010">
        <w:rPr>
          <w:rFonts w:ascii="Arial" w:hAnsi="Arial" w:cs="Arial"/>
          <w:sz w:val="22"/>
          <w:szCs w:val="22"/>
        </w:rPr>
        <w:t>Warminster Fire and Rescue are approximately 4 minutes from the site</w:t>
      </w:r>
      <w:r w:rsidR="0006131C">
        <w:rPr>
          <w:rFonts w:ascii="Arial" w:hAnsi="Arial" w:cs="Arial"/>
          <w:sz w:val="22"/>
          <w:szCs w:val="22"/>
        </w:rPr>
        <w:t xml:space="preserve"> but fire detection and suppression systems are in place in the event of a fire. </w:t>
      </w:r>
    </w:p>
    <w:p w14:paraId="16F1861A" w14:textId="77777777" w:rsidR="008F720C" w:rsidRDefault="008F720C" w:rsidP="008F720C">
      <w:pPr>
        <w:spacing w:before="100" w:beforeAutospacing="1" w:after="100" w:afterAutospacing="1"/>
        <w:rPr>
          <w:rFonts w:ascii="Arial" w:hAnsi="Arial" w:cs="Arial"/>
          <w:i/>
          <w:iCs/>
          <w:sz w:val="22"/>
          <w:szCs w:val="22"/>
        </w:rPr>
      </w:pPr>
      <w:r w:rsidRPr="008F720C">
        <w:rPr>
          <w:rFonts w:ascii="Arial" w:hAnsi="Arial" w:cs="Arial"/>
          <w:i/>
          <w:iCs/>
          <w:sz w:val="22"/>
          <w:szCs w:val="22"/>
        </w:rPr>
        <w:t>Conclusion</w:t>
      </w:r>
    </w:p>
    <w:p w14:paraId="03FB755A" w14:textId="77777777" w:rsidR="00206AD9" w:rsidRPr="008F720C" w:rsidRDefault="00206AD9" w:rsidP="00206AD9">
      <w:pPr>
        <w:spacing w:before="100" w:beforeAutospacing="1" w:after="100" w:afterAutospacing="1"/>
        <w:rPr>
          <w:rFonts w:ascii="Arial" w:hAnsi="Arial" w:cs="Arial"/>
          <w:sz w:val="22"/>
          <w:szCs w:val="22"/>
        </w:rPr>
      </w:pPr>
      <w:r>
        <w:rPr>
          <w:rFonts w:ascii="Arial" w:hAnsi="Arial" w:cs="Arial"/>
          <w:sz w:val="22"/>
          <w:szCs w:val="22"/>
        </w:rPr>
        <w:t>The proposal is considered to comply with the relevant policies.</w:t>
      </w:r>
    </w:p>
    <w:p w14:paraId="5277B624" w14:textId="51CCB23A" w:rsidR="004052B4" w:rsidRDefault="004052B4" w:rsidP="008B3D6C">
      <w:pPr>
        <w:spacing w:before="100" w:beforeAutospacing="1" w:after="100" w:afterAutospacing="1"/>
        <w:rPr>
          <w:rFonts w:ascii="Arial" w:hAnsi="Arial" w:cs="Arial"/>
          <w:b/>
          <w:bCs/>
          <w:sz w:val="22"/>
          <w:szCs w:val="22"/>
        </w:rPr>
      </w:pPr>
      <w:r>
        <w:rPr>
          <w:rFonts w:ascii="Arial" w:hAnsi="Arial" w:cs="Arial"/>
          <w:b/>
          <w:bCs/>
          <w:sz w:val="22"/>
          <w:szCs w:val="22"/>
        </w:rPr>
        <w:t>Environmental Risk</w:t>
      </w:r>
      <w:r w:rsidR="008F720C">
        <w:rPr>
          <w:rFonts w:ascii="Arial" w:hAnsi="Arial" w:cs="Arial"/>
          <w:b/>
          <w:bCs/>
          <w:sz w:val="22"/>
          <w:szCs w:val="22"/>
        </w:rPr>
        <w:t>/Pollution Control</w:t>
      </w:r>
    </w:p>
    <w:p w14:paraId="1E3B1C50" w14:textId="77777777" w:rsidR="008F720C" w:rsidRPr="008F720C" w:rsidRDefault="008F720C" w:rsidP="008F720C">
      <w:pPr>
        <w:spacing w:before="100" w:beforeAutospacing="1" w:after="100" w:afterAutospacing="1"/>
        <w:rPr>
          <w:rFonts w:ascii="Arial" w:hAnsi="Arial" w:cs="Arial"/>
          <w:i/>
          <w:iCs/>
          <w:sz w:val="22"/>
          <w:szCs w:val="22"/>
        </w:rPr>
      </w:pPr>
      <w:r w:rsidRPr="008F720C">
        <w:rPr>
          <w:rFonts w:ascii="Arial" w:hAnsi="Arial" w:cs="Arial"/>
          <w:i/>
          <w:iCs/>
          <w:sz w:val="22"/>
          <w:szCs w:val="22"/>
        </w:rPr>
        <w:t>Policy</w:t>
      </w:r>
    </w:p>
    <w:p w14:paraId="182E5571" w14:textId="7715871D" w:rsidR="008F4E57" w:rsidRDefault="008F4E57" w:rsidP="008F4E57">
      <w:pPr>
        <w:spacing w:before="100" w:beforeAutospacing="1" w:after="100" w:afterAutospacing="1"/>
        <w:rPr>
          <w:rFonts w:ascii="Arial" w:hAnsi="Arial" w:cs="Arial"/>
          <w:sz w:val="22"/>
          <w:szCs w:val="22"/>
        </w:rPr>
      </w:pPr>
      <w:r w:rsidRPr="008B3D6C">
        <w:rPr>
          <w:rFonts w:ascii="Arial" w:hAnsi="Arial" w:cs="Arial"/>
          <w:sz w:val="22"/>
          <w:szCs w:val="22"/>
        </w:rPr>
        <w:t>Core Policy 50 is relevant where hazardous substances could affect ecological receptors, watercourses, or priority habitats.</w:t>
      </w:r>
    </w:p>
    <w:p w14:paraId="282AE4C9" w14:textId="77777777" w:rsidR="008F4E57" w:rsidRDefault="008F4E57" w:rsidP="008F4E57">
      <w:pPr>
        <w:spacing w:before="100" w:beforeAutospacing="1" w:after="100" w:afterAutospacing="1"/>
        <w:rPr>
          <w:rFonts w:ascii="Arial" w:hAnsi="Arial" w:cs="Arial"/>
          <w:sz w:val="22"/>
          <w:szCs w:val="22"/>
        </w:rPr>
      </w:pPr>
      <w:r w:rsidRPr="008B3D6C">
        <w:rPr>
          <w:rFonts w:ascii="Arial" w:hAnsi="Arial" w:cs="Arial"/>
          <w:sz w:val="22"/>
          <w:szCs w:val="22"/>
        </w:rPr>
        <w:t>Core Policy 56 is relevant to risks of soil or groundwater contamination, spill containment, and long</w:t>
      </w:r>
      <w:r w:rsidRPr="008B3D6C">
        <w:rPr>
          <w:rFonts w:ascii="Arial" w:hAnsi="Arial" w:cs="Arial"/>
          <w:sz w:val="22"/>
          <w:szCs w:val="22"/>
        </w:rPr>
        <w:noBreakHyphen/>
        <w:t>term environmental safety.</w:t>
      </w:r>
    </w:p>
    <w:p w14:paraId="7EF5205B" w14:textId="77777777" w:rsidR="008F720C" w:rsidRDefault="008F720C" w:rsidP="008F720C">
      <w:pPr>
        <w:spacing w:before="100" w:beforeAutospacing="1" w:after="100" w:afterAutospacing="1"/>
        <w:rPr>
          <w:rFonts w:ascii="Arial" w:hAnsi="Arial" w:cs="Arial"/>
          <w:sz w:val="22"/>
          <w:szCs w:val="22"/>
        </w:rPr>
      </w:pPr>
      <w:r w:rsidRPr="008B3D6C">
        <w:rPr>
          <w:rFonts w:ascii="Arial" w:hAnsi="Arial" w:cs="Arial"/>
          <w:sz w:val="22"/>
          <w:szCs w:val="22"/>
        </w:rPr>
        <w:t>Core Policy 67 is relevant where flooding could increase the risk of hazardous substance release or pollution.</w:t>
      </w:r>
    </w:p>
    <w:p w14:paraId="7FF6F91C" w14:textId="77777777" w:rsidR="005E6AE9" w:rsidRDefault="008F720C" w:rsidP="005E6AE9">
      <w:pPr>
        <w:spacing w:before="100" w:beforeAutospacing="1" w:after="100" w:afterAutospacing="1"/>
        <w:rPr>
          <w:rFonts w:ascii="Arial" w:hAnsi="Arial" w:cs="Arial"/>
          <w:i/>
          <w:iCs/>
          <w:sz w:val="22"/>
          <w:szCs w:val="22"/>
        </w:rPr>
      </w:pPr>
      <w:r w:rsidRPr="008F720C">
        <w:rPr>
          <w:rFonts w:ascii="Arial" w:hAnsi="Arial" w:cs="Arial"/>
          <w:i/>
          <w:iCs/>
          <w:sz w:val="22"/>
          <w:szCs w:val="22"/>
        </w:rPr>
        <w:t>Assessment</w:t>
      </w:r>
    </w:p>
    <w:p w14:paraId="0BD41BF1" w14:textId="5191FEAA" w:rsidR="00BA5893" w:rsidRDefault="003C60B8" w:rsidP="00075098">
      <w:pPr>
        <w:spacing w:before="100" w:beforeAutospacing="1" w:after="100" w:afterAutospacing="1"/>
        <w:jc w:val="both"/>
        <w:rPr>
          <w:rFonts w:ascii="Arial" w:hAnsi="Arial" w:cs="Arial"/>
          <w:sz w:val="22"/>
          <w:szCs w:val="22"/>
        </w:rPr>
      </w:pPr>
      <w:r>
        <w:rPr>
          <w:rFonts w:ascii="Arial" w:hAnsi="Arial" w:cs="Arial"/>
          <w:sz w:val="22"/>
          <w:szCs w:val="22"/>
        </w:rPr>
        <w:t xml:space="preserve">Hazardous material is stored </w:t>
      </w:r>
      <w:r w:rsidR="00AC6035">
        <w:rPr>
          <w:rFonts w:ascii="Arial" w:hAnsi="Arial" w:cs="Arial"/>
          <w:sz w:val="22"/>
          <w:szCs w:val="22"/>
        </w:rPr>
        <w:t xml:space="preserve">within an existing building. </w:t>
      </w:r>
      <w:r w:rsidR="00111DAB" w:rsidRPr="00111DAB">
        <w:rPr>
          <w:rFonts w:ascii="Arial" w:hAnsi="Arial" w:cs="Arial"/>
          <w:sz w:val="22"/>
          <w:szCs w:val="22"/>
        </w:rPr>
        <w:t>The</w:t>
      </w:r>
      <w:r w:rsidR="00111DAB" w:rsidRPr="00111DAB">
        <w:rPr>
          <w:rFonts w:ascii="Arial" w:hAnsi="Arial" w:cs="Arial"/>
          <w:spacing w:val="-4"/>
          <w:sz w:val="22"/>
          <w:szCs w:val="22"/>
        </w:rPr>
        <w:t xml:space="preserve"> </w:t>
      </w:r>
      <w:r w:rsidR="00111DAB" w:rsidRPr="00111DAB">
        <w:rPr>
          <w:rFonts w:ascii="Arial" w:hAnsi="Arial" w:cs="Arial"/>
          <w:sz w:val="22"/>
          <w:szCs w:val="22"/>
        </w:rPr>
        <w:t>maximum</w:t>
      </w:r>
      <w:r w:rsidR="00111DAB" w:rsidRPr="00111DAB">
        <w:rPr>
          <w:rFonts w:ascii="Arial" w:hAnsi="Arial" w:cs="Arial"/>
          <w:spacing w:val="-4"/>
          <w:sz w:val="22"/>
          <w:szCs w:val="22"/>
        </w:rPr>
        <w:t xml:space="preserve"> </w:t>
      </w:r>
      <w:r w:rsidR="00111DAB" w:rsidRPr="00111DAB">
        <w:rPr>
          <w:rFonts w:ascii="Arial" w:hAnsi="Arial" w:cs="Arial"/>
          <w:sz w:val="22"/>
          <w:szCs w:val="22"/>
        </w:rPr>
        <w:t>packaging</w:t>
      </w:r>
      <w:r w:rsidR="00111DAB" w:rsidRPr="00111DAB">
        <w:rPr>
          <w:rFonts w:ascii="Arial" w:hAnsi="Arial" w:cs="Arial"/>
          <w:spacing w:val="-4"/>
          <w:sz w:val="22"/>
          <w:szCs w:val="22"/>
        </w:rPr>
        <w:t xml:space="preserve"> </w:t>
      </w:r>
      <w:r w:rsidR="00111DAB" w:rsidRPr="00111DAB">
        <w:rPr>
          <w:rFonts w:ascii="Arial" w:hAnsi="Arial" w:cs="Arial"/>
          <w:sz w:val="22"/>
          <w:szCs w:val="22"/>
        </w:rPr>
        <w:t>size</w:t>
      </w:r>
      <w:r w:rsidR="00111DAB" w:rsidRPr="00111DAB">
        <w:rPr>
          <w:rFonts w:ascii="Arial" w:hAnsi="Arial" w:cs="Arial"/>
          <w:spacing w:val="-3"/>
          <w:sz w:val="22"/>
          <w:szCs w:val="22"/>
        </w:rPr>
        <w:t xml:space="preserve"> </w:t>
      </w:r>
      <w:r w:rsidR="00111DAB" w:rsidRPr="00111DAB">
        <w:rPr>
          <w:rFonts w:ascii="Arial" w:hAnsi="Arial" w:cs="Arial"/>
          <w:sz w:val="22"/>
          <w:szCs w:val="22"/>
        </w:rPr>
        <w:t>used</w:t>
      </w:r>
      <w:r w:rsidR="00111DAB" w:rsidRPr="00111DAB">
        <w:rPr>
          <w:rFonts w:ascii="Arial" w:hAnsi="Arial" w:cs="Arial"/>
          <w:spacing w:val="-3"/>
          <w:sz w:val="22"/>
          <w:szCs w:val="22"/>
        </w:rPr>
        <w:t xml:space="preserve"> </w:t>
      </w:r>
      <w:r w:rsidR="00111DAB" w:rsidRPr="00111DAB">
        <w:rPr>
          <w:rFonts w:ascii="Arial" w:hAnsi="Arial" w:cs="Arial"/>
          <w:sz w:val="22"/>
          <w:szCs w:val="22"/>
        </w:rPr>
        <w:t>for</w:t>
      </w:r>
      <w:r w:rsidR="00111DAB" w:rsidRPr="00111DAB">
        <w:rPr>
          <w:rFonts w:ascii="Arial" w:hAnsi="Arial" w:cs="Arial"/>
          <w:spacing w:val="-3"/>
          <w:sz w:val="22"/>
          <w:szCs w:val="22"/>
        </w:rPr>
        <w:t xml:space="preserve"> </w:t>
      </w:r>
      <w:r w:rsidR="00111DAB" w:rsidRPr="00111DAB">
        <w:rPr>
          <w:rFonts w:ascii="Arial" w:hAnsi="Arial" w:cs="Arial"/>
          <w:sz w:val="22"/>
          <w:szCs w:val="22"/>
        </w:rPr>
        <w:t>dangerous</w:t>
      </w:r>
      <w:r w:rsidR="00111DAB" w:rsidRPr="00111DAB">
        <w:rPr>
          <w:rFonts w:ascii="Arial" w:hAnsi="Arial" w:cs="Arial"/>
          <w:spacing w:val="-3"/>
          <w:sz w:val="22"/>
          <w:szCs w:val="22"/>
        </w:rPr>
        <w:t xml:space="preserve"> </w:t>
      </w:r>
      <w:r w:rsidR="00111DAB" w:rsidRPr="00111DAB">
        <w:rPr>
          <w:rFonts w:ascii="Arial" w:hAnsi="Arial" w:cs="Arial"/>
          <w:sz w:val="22"/>
          <w:szCs w:val="22"/>
        </w:rPr>
        <w:t>goods</w:t>
      </w:r>
      <w:r w:rsidR="00111DAB" w:rsidRPr="00111DAB">
        <w:rPr>
          <w:rFonts w:ascii="Arial" w:hAnsi="Arial" w:cs="Arial"/>
          <w:spacing w:val="-3"/>
          <w:sz w:val="22"/>
          <w:szCs w:val="22"/>
        </w:rPr>
        <w:t xml:space="preserve"> </w:t>
      </w:r>
      <w:r w:rsidR="00111DAB" w:rsidRPr="00111DAB">
        <w:rPr>
          <w:rFonts w:ascii="Arial" w:hAnsi="Arial" w:cs="Arial"/>
          <w:sz w:val="22"/>
          <w:szCs w:val="22"/>
        </w:rPr>
        <w:t>is</w:t>
      </w:r>
      <w:r w:rsidR="00111DAB" w:rsidRPr="00111DAB">
        <w:rPr>
          <w:rFonts w:ascii="Arial" w:hAnsi="Arial" w:cs="Arial"/>
          <w:spacing w:val="-3"/>
          <w:sz w:val="22"/>
          <w:szCs w:val="22"/>
        </w:rPr>
        <w:t xml:space="preserve"> </w:t>
      </w:r>
      <w:r w:rsidR="00111DAB" w:rsidRPr="00111DAB">
        <w:rPr>
          <w:rFonts w:ascii="Arial" w:hAnsi="Arial" w:cs="Arial"/>
          <w:sz w:val="22"/>
          <w:szCs w:val="22"/>
        </w:rPr>
        <w:t>1.000</w:t>
      </w:r>
      <w:r w:rsidR="00111DAB" w:rsidRPr="00111DAB">
        <w:rPr>
          <w:rFonts w:ascii="Arial" w:hAnsi="Arial" w:cs="Arial"/>
          <w:spacing w:val="-3"/>
          <w:sz w:val="22"/>
          <w:szCs w:val="22"/>
        </w:rPr>
        <w:t xml:space="preserve"> </w:t>
      </w:r>
      <w:r w:rsidR="00111DAB" w:rsidRPr="00111DAB">
        <w:rPr>
          <w:rFonts w:ascii="Arial" w:hAnsi="Arial" w:cs="Arial"/>
          <w:sz w:val="22"/>
          <w:szCs w:val="22"/>
        </w:rPr>
        <w:t>cubic</w:t>
      </w:r>
      <w:r w:rsidR="00111DAB" w:rsidRPr="00111DAB">
        <w:rPr>
          <w:rFonts w:ascii="Arial" w:hAnsi="Arial" w:cs="Arial"/>
          <w:spacing w:val="-4"/>
          <w:sz w:val="22"/>
          <w:szCs w:val="22"/>
        </w:rPr>
        <w:t xml:space="preserve"> </w:t>
      </w:r>
      <w:r w:rsidR="00111DAB" w:rsidRPr="00111DAB">
        <w:rPr>
          <w:rFonts w:ascii="Arial" w:hAnsi="Arial" w:cs="Arial"/>
          <w:sz w:val="22"/>
          <w:szCs w:val="22"/>
        </w:rPr>
        <w:t>meter</w:t>
      </w:r>
      <w:r w:rsidR="00111DAB" w:rsidRPr="00111DAB">
        <w:rPr>
          <w:rFonts w:ascii="Arial" w:hAnsi="Arial" w:cs="Arial"/>
          <w:spacing w:val="-5"/>
          <w:sz w:val="22"/>
          <w:szCs w:val="22"/>
        </w:rPr>
        <w:t xml:space="preserve"> </w:t>
      </w:r>
      <w:r w:rsidR="00111DAB" w:rsidRPr="00111DAB">
        <w:rPr>
          <w:rFonts w:ascii="Arial" w:hAnsi="Arial" w:cs="Arial"/>
          <w:sz w:val="22"/>
          <w:szCs w:val="22"/>
        </w:rPr>
        <w:t>and can</w:t>
      </w:r>
      <w:r w:rsidR="00111DAB" w:rsidRPr="00111DAB">
        <w:rPr>
          <w:rFonts w:ascii="Arial" w:hAnsi="Arial" w:cs="Arial"/>
          <w:spacing w:val="-3"/>
          <w:sz w:val="22"/>
          <w:szCs w:val="22"/>
        </w:rPr>
        <w:t xml:space="preserve"> </w:t>
      </w:r>
      <w:r w:rsidR="00111DAB" w:rsidRPr="00111DAB">
        <w:rPr>
          <w:rFonts w:ascii="Arial" w:hAnsi="Arial" w:cs="Arial"/>
          <w:sz w:val="22"/>
          <w:szCs w:val="22"/>
        </w:rPr>
        <w:t xml:space="preserve">range from 0.001 to 1.000 cubic meters, reducing the risk of significant loss of containment in the event of a spillage or failure. No bulk storage of hazardous liquids (including E1 and E2) </w:t>
      </w:r>
      <w:r w:rsidR="00AC6035">
        <w:rPr>
          <w:rFonts w:ascii="Arial" w:hAnsi="Arial" w:cs="Arial"/>
          <w:sz w:val="22"/>
          <w:szCs w:val="22"/>
        </w:rPr>
        <w:t xml:space="preserve">would be </w:t>
      </w:r>
      <w:r w:rsidR="00111DAB" w:rsidRPr="00111DAB">
        <w:rPr>
          <w:rFonts w:ascii="Arial" w:hAnsi="Arial" w:cs="Arial"/>
          <w:sz w:val="22"/>
          <w:szCs w:val="22"/>
        </w:rPr>
        <w:t>stored in packages greater than 1.000 cubic metres.</w:t>
      </w:r>
      <w:r w:rsidR="005A4370">
        <w:rPr>
          <w:rFonts w:ascii="Arial" w:hAnsi="Arial" w:cs="Arial"/>
          <w:sz w:val="22"/>
          <w:szCs w:val="22"/>
        </w:rPr>
        <w:t xml:space="preserve"> </w:t>
      </w:r>
    </w:p>
    <w:p w14:paraId="5DF17FB1" w14:textId="77777777" w:rsidR="00930A0C" w:rsidRPr="00930A0C" w:rsidRDefault="003C60B8" w:rsidP="00930A0C">
      <w:pPr>
        <w:spacing w:before="100" w:beforeAutospacing="1" w:after="100" w:afterAutospacing="1"/>
        <w:jc w:val="both"/>
        <w:rPr>
          <w:rFonts w:ascii="Arial" w:hAnsi="Arial" w:cs="Arial"/>
          <w:sz w:val="22"/>
          <w:szCs w:val="22"/>
        </w:rPr>
      </w:pPr>
      <w:r>
        <w:rPr>
          <w:rFonts w:ascii="Arial" w:hAnsi="Arial" w:cs="Arial"/>
          <w:sz w:val="22"/>
          <w:szCs w:val="22"/>
        </w:rPr>
        <w:t xml:space="preserve">The site has incident management procedures in </w:t>
      </w:r>
      <w:proofErr w:type="gramStart"/>
      <w:r>
        <w:rPr>
          <w:rFonts w:ascii="Arial" w:hAnsi="Arial" w:cs="Arial"/>
          <w:sz w:val="22"/>
          <w:szCs w:val="22"/>
        </w:rPr>
        <w:t>place</w:t>
      </w:r>
      <w:proofErr w:type="gramEnd"/>
      <w:r>
        <w:rPr>
          <w:rFonts w:ascii="Arial" w:hAnsi="Arial" w:cs="Arial"/>
          <w:sz w:val="22"/>
          <w:szCs w:val="22"/>
        </w:rPr>
        <w:t xml:space="preserve"> and all operators of fork-lift equipment are trained in spillage procedures and response procedures. </w:t>
      </w:r>
    </w:p>
    <w:p w14:paraId="41A3AEED" w14:textId="77777777" w:rsidR="00930A0C" w:rsidRPr="00930A0C" w:rsidRDefault="00930A0C" w:rsidP="00930A0C">
      <w:pPr>
        <w:spacing w:before="100" w:beforeAutospacing="1" w:after="100" w:afterAutospacing="1"/>
        <w:jc w:val="both"/>
        <w:rPr>
          <w:rFonts w:ascii="Arial" w:hAnsi="Arial" w:cs="Arial"/>
          <w:sz w:val="22"/>
          <w:szCs w:val="22"/>
        </w:rPr>
      </w:pPr>
      <w:r w:rsidRPr="00930A0C">
        <w:rPr>
          <w:rFonts w:ascii="Arial" w:hAnsi="Arial" w:cs="Arial"/>
          <w:sz w:val="22"/>
          <w:szCs w:val="22"/>
        </w:rPr>
        <w:t>The Environment Agency has raised no objection subject to a condition requiring the implementation of a pollution prevention scheme. This condition is necessary to ensure environmental protection and is considered to meet the relevant tests.</w:t>
      </w:r>
    </w:p>
    <w:p w14:paraId="35EB1A2C" w14:textId="65E136E2" w:rsidR="003C60B8" w:rsidRPr="008F720C" w:rsidRDefault="00030535" w:rsidP="00075098">
      <w:pPr>
        <w:spacing w:before="100" w:beforeAutospacing="1" w:after="100" w:afterAutospacing="1"/>
        <w:jc w:val="both"/>
        <w:rPr>
          <w:rFonts w:ascii="Arial" w:hAnsi="Arial" w:cs="Arial"/>
          <w:sz w:val="22"/>
          <w:szCs w:val="22"/>
        </w:rPr>
      </w:pPr>
      <w:r>
        <w:rPr>
          <w:rFonts w:ascii="Arial" w:hAnsi="Arial" w:cs="Arial"/>
          <w:sz w:val="22"/>
          <w:szCs w:val="22"/>
        </w:rPr>
        <w:t xml:space="preserve"> </w:t>
      </w:r>
      <w:r w:rsidR="00E35849">
        <w:rPr>
          <w:rFonts w:ascii="Arial" w:hAnsi="Arial" w:cs="Arial"/>
          <w:sz w:val="22"/>
          <w:szCs w:val="22"/>
        </w:rPr>
        <w:t xml:space="preserve">This scheme has been submitted </w:t>
      </w:r>
      <w:r w:rsidR="00AC6E13">
        <w:rPr>
          <w:rFonts w:ascii="Arial" w:hAnsi="Arial" w:cs="Arial"/>
          <w:sz w:val="22"/>
          <w:szCs w:val="22"/>
        </w:rPr>
        <w:t xml:space="preserve">and approved by the Environment Agency and as such </w:t>
      </w:r>
      <w:r w:rsidR="00930A0C">
        <w:rPr>
          <w:rFonts w:ascii="Arial" w:hAnsi="Arial" w:cs="Arial"/>
          <w:sz w:val="22"/>
          <w:szCs w:val="22"/>
        </w:rPr>
        <w:t>can be</w:t>
      </w:r>
      <w:r w:rsidR="00AC6E13">
        <w:rPr>
          <w:rFonts w:ascii="Arial" w:hAnsi="Arial" w:cs="Arial"/>
          <w:sz w:val="22"/>
          <w:szCs w:val="22"/>
        </w:rPr>
        <w:t xml:space="preserve"> conditioned appropriately. </w:t>
      </w:r>
    </w:p>
    <w:p w14:paraId="0E9CDAC6" w14:textId="77777777" w:rsidR="008F720C" w:rsidRDefault="008F720C" w:rsidP="00075098">
      <w:pPr>
        <w:spacing w:before="100" w:beforeAutospacing="1" w:after="100" w:afterAutospacing="1"/>
        <w:jc w:val="both"/>
        <w:rPr>
          <w:rFonts w:ascii="Arial" w:hAnsi="Arial" w:cs="Arial"/>
          <w:i/>
          <w:iCs/>
          <w:sz w:val="22"/>
          <w:szCs w:val="22"/>
        </w:rPr>
      </w:pPr>
      <w:r w:rsidRPr="008F720C">
        <w:rPr>
          <w:rFonts w:ascii="Arial" w:hAnsi="Arial" w:cs="Arial"/>
          <w:i/>
          <w:iCs/>
          <w:sz w:val="22"/>
          <w:szCs w:val="22"/>
        </w:rPr>
        <w:t>Conclusion</w:t>
      </w:r>
    </w:p>
    <w:p w14:paraId="516B978B" w14:textId="0925E874" w:rsidR="008F720C" w:rsidRPr="008B3D6C" w:rsidRDefault="00BA5893" w:rsidP="00075098">
      <w:pPr>
        <w:spacing w:before="100" w:beforeAutospacing="1" w:after="100" w:afterAutospacing="1"/>
        <w:jc w:val="both"/>
        <w:rPr>
          <w:rFonts w:ascii="Arial" w:hAnsi="Arial" w:cs="Arial"/>
          <w:sz w:val="22"/>
          <w:szCs w:val="22"/>
        </w:rPr>
      </w:pPr>
      <w:r>
        <w:rPr>
          <w:rFonts w:ascii="Arial" w:hAnsi="Arial" w:cs="Arial"/>
          <w:sz w:val="22"/>
          <w:szCs w:val="22"/>
        </w:rPr>
        <w:t xml:space="preserve">Given the site location and the material being stored within an existing building it is considered that there would be </w:t>
      </w:r>
      <w:r w:rsidR="00F93988">
        <w:rPr>
          <w:rFonts w:ascii="Arial" w:hAnsi="Arial" w:cs="Arial"/>
          <w:sz w:val="22"/>
          <w:szCs w:val="22"/>
        </w:rPr>
        <w:t xml:space="preserve">no impact upon ecological receptors, watercourses and/or priority habitats. As such the proposal would comply with the relevant policies. </w:t>
      </w:r>
    </w:p>
    <w:p w14:paraId="7BC5BAD7" w14:textId="05B8CF82" w:rsidR="00107CA3" w:rsidRDefault="00107CA3" w:rsidP="008B3D6C">
      <w:pPr>
        <w:spacing w:before="100" w:beforeAutospacing="1" w:after="100" w:afterAutospacing="1"/>
        <w:rPr>
          <w:rFonts w:ascii="Arial" w:hAnsi="Arial" w:cs="Arial"/>
          <w:b/>
          <w:bCs/>
          <w:sz w:val="22"/>
          <w:szCs w:val="22"/>
        </w:rPr>
      </w:pPr>
      <w:r>
        <w:rPr>
          <w:rFonts w:ascii="Arial" w:hAnsi="Arial" w:cs="Arial"/>
          <w:b/>
          <w:bCs/>
          <w:sz w:val="22"/>
          <w:szCs w:val="22"/>
        </w:rPr>
        <w:t>Land-Use Compatibility</w:t>
      </w:r>
    </w:p>
    <w:p w14:paraId="49136F85" w14:textId="77777777" w:rsidR="008F720C" w:rsidRPr="008F720C" w:rsidRDefault="008F720C" w:rsidP="008F720C">
      <w:pPr>
        <w:spacing w:before="100" w:beforeAutospacing="1" w:after="100" w:afterAutospacing="1"/>
        <w:rPr>
          <w:rFonts w:ascii="Arial" w:hAnsi="Arial" w:cs="Arial"/>
          <w:i/>
          <w:iCs/>
          <w:sz w:val="22"/>
          <w:szCs w:val="22"/>
        </w:rPr>
      </w:pPr>
      <w:r w:rsidRPr="008F720C">
        <w:rPr>
          <w:rFonts w:ascii="Arial" w:hAnsi="Arial" w:cs="Arial"/>
          <w:i/>
          <w:iCs/>
          <w:sz w:val="22"/>
          <w:szCs w:val="22"/>
        </w:rPr>
        <w:t>Policy</w:t>
      </w:r>
    </w:p>
    <w:p w14:paraId="689254C5" w14:textId="1AF971D6" w:rsidR="008F720C" w:rsidRPr="008B3D6C" w:rsidRDefault="008F720C" w:rsidP="008F720C">
      <w:pPr>
        <w:spacing w:before="100" w:beforeAutospacing="1" w:after="100" w:afterAutospacing="1"/>
        <w:rPr>
          <w:rFonts w:ascii="Arial" w:hAnsi="Arial" w:cs="Arial"/>
          <w:sz w:val="22"/>
          <w:szCs w:val="22"/>
        </w:rPr>
      </w:pPr>
      <w:r w:rsidRPr="008B3D6C">
        <w:rPr>
          <w:rFonts w:ascii="Arial" w:hAnsi="Arial" w:cs="Arial"/>
          <w:sz w:val="22"/>
          <w:szCs w:val="22"/>
        </w:rPr>
        <w:t>Core Policy 51 may apply where safety</w:t>
      </w:r>
      <w:r w:rsidRPr="008B3D6C">
        <w:rPr>
          <w:rFonts w:ascii="Arial" w:hAnsi="Arial" w:cs="Arial"/>
          <w:sz w:val="22"/>
          <w:szCs w:val="22"/>
        </w:rPr>
        <w:noBreakHyphen/>
        <w:t>related structures (bunds, blast walls) have landscape implications.</w:t>
      </w:r>
    </w:p>
    <w:p w14:paraId="2EBB91C9" w14:textId="77777777" w:rsidR="008F720C" w:rsidRPr="008F720C" w:rsidRDefault="008F720C" w:rsidP="008F720C">
      <w:pPr>
        <w:spacing w:before="100" w:beforeAutospacing="1" w:after="100" w:afterAutospacing="1"/>
        <w:rPr>
          <w:rFonts w:ascii="Arial" w:hAnsi="Arial" w:cs="Arial"/>
          <w:i/>
          <w:iCs/>
          <w:sz w:val="22"/>
          <w:szCs w:val="22"/>
        </w:rPr>
      </w:pPr>
      <w:r w:rsidRPr="008F720C">
        <w:rPr>
          <w:rFonts w:ascii="Arial" w:hAnsi="Arial" w:cs="Arial"/>
          <w:i/>
          <w:iCs/>
          <w:sz w:val="22"/>
          <w:szCs w:val="22"/>
        </w:rPr>
        <w:t>Assessment</w:t>
      </w:r>
    </w:p>
    <w:p w14:paraId="6CD492D3" w14:textId="70C977A6" w:rsidR="008F720C" w:rsidRPr="008F720C" w:rsidRDefault="002A7916" w:rsidP="00075098">
      <w:pPr>
        <w:spacing w:before="100" w:beforeAutospacing="1" w:after="100" w:afterAutospacing="1"/>
        <w:jc w:val="both"/>
        <w:rPr>
          <w:rFonts w:ascii="Arial" w:hAnsi="Arial" w:cs="Arial"/>
          <w:sz w:val="22"/>
          <w:szCs w:val="22"/>
        </w:rPr>
      </w:pPr>
      <w:r>
        <w:rPr>
          <w:rFonts w:ascii="Arial" w:hAnsi="Arial" w:cs="Arial"/>
          <w:sz w:val="22"/>
          <w:szCs w:val="22"/>
        </w:rPr>
        <w:t xml:space="preserve">The hazardous substances are being stored in existing buildings </w:t>
      </w:r>
      <w:r w:rsidR="00E51C13">
        <w:rPr>
          <w:rFonts w:ascii="Arial" w:hAnsi="Arial" w:cs="Arial"/>
          <w:sz w:val="22"/>
          <w:szCs w:val="22"/>
        </w:rPr>
        <w:t xml:space="preserve">that are adjacent to other existing buildings </w:t>
      </w:r>
      <w:r>
        <w:rPr>
          <w:rFonts w:ascii="Arial" w:hAnsi="Arial" w:cs="Arial"/>
          <w:sz w:val="22"/>
          <w:szCs w:val="22"/>
        </w:rPr>
        <w:t xml:space="preserve">and therefore would not have an adverse impact upon the wider area. </w:t>
      </w:r>
    </w:p>
    <w:p w14:paraId="32119B72" w14:textId="77777777" w:rsidR="008F720C" w:rsidRDefault="008F720C" w:rsidP="008F720C">
      <w:pPr>
        <w:spacing w:before="100" w:beforeAutospacing="1" w:after="100" w:afterAutospacing="1"/>
        <w:rPr>
          <w:rFonts w:ascii="Arial" w:hAnsi="Arial" w:cs="Arial"/>
          <w:i/>
          <w:iCs/>
          <w:sz w:val="22"/>
          <w:szCs w:val="22"/>
        </w:rPr>
      </w:pPr>
      <w:r w:rsidRPr="008F720C">
        <w:rPr>
          <w:rFonts w:ascii="Arial" w:hAnsi="Arial" w:cs="Arial"/>
          <w:i/>
          <w:iCs/>
          <w:sz w:val="22"/>
          <w:szCs w:val="22"/>
        </w:rPr>
        <w:t>Conclusion</w:t>
      </w:r>
    </w:p>
    <w:p w14:paraId="5A7DE78E" w14:textId="2B877F1E" w:rsidR="00930A0C" w:rsidRPr="008F720C" w:rsidRDefault="00F93988" w:rsidP="00206AD9">
      <w:pPr>
        <w:spacing w:before="100" w:beforeAutospacing="1" w:after="100" w:afterAutospacing="1"/>
        <w:rPr>
          <w:rFonts w:ascii="Arial" w:hAnsi="Arial" w:cs="Arial"/>
          <w:sz w:val="22"/>
          <w:szCs w:val="22"/>
        </w:rPr>
      </w:pPr>
      <w:r w:rsidRPr="005E6AE9">
        <w:rPr>
          <w:rFonts w:ascii="Arial" w:hAnsi="Arial" w:cs="Arial"/>
          <w:sz w:val="22"/>
          <w:szCs w:val="22"/>
        </w:rPr>
        <w:t xml:space="preserve"> </w:t>
      </w:r>
      <w:r w:rsidR="00206AD9">
        <w:rPr>
          <w:rFonts w:ascii="Arial" w:hAnsi="Arial" w:cs="Arial"/>
          <w:sz w:val="22"/>
          <w:szCs w:val="22"/>
        </w:rPr>
        <w:t>The proposal is considered to comply with the relevant policies.</w:t>
      </w:r>
    </w:p>
    <w:p w14:paraId="2C3EDA3A" w14:textId="77777777" w:rsidR="00314006" w:rsidRDefault="00314006" w:rsidP="00942BFA">
      <w:pPr>
        <w:spacing w:line="276" w:lineRule="auto"/>
        <w:jc w:val="both"/>
        <w:rPr>
          <w:rFonts w:ascii="Arial" w:hAnsi="Arial" w:cs="Arial"/>
          <w:b/>
          <w:bCs/>
          <w:color w:val="000000" w:themeColor="text1"/>
          <w:sz w:val="22"/>
          <w:szCs w:val="22"/>
        </w:rPr>
      </w:pPr>
      <w:r>
        <w:rPr>
          <w:rFonts w:ascii="Arial" w:hAnsi="Arial" w:cs="Arial"/>
          <w:b/>
          <w:bCs/>
          <w:color w:val="000000" w:themeColor="text1"/>
          <w:sz w:val="22"/>
          <w:szCs w:val="22"/>
        </w:rPr>
        <w:t>CONCLUSION</w:t>
      </w:r>
    </w:p>
    <w:p w14:paraId="7AFBA965" w14:textId="77777777" w:rsidR="00930A0C" w:rsidRPr="00930A0C" w:rsidRDefault="00930A0C" w:rsidP="00930A0C">
      <w:pPr>
        <w:spacing w:before="100" w:beforeAutospacing="1" w:after="100" w:afterAutospacing="1"/>
        <w:jc w:val="both"/>
        <w:rPr>
          <w:rFonts w:ascii="Arial" w:hAnsi="Arial" w:cs="Arial"/>
          <w:sz w:val="22"/>
          <w:szCs w:val="22"/>
        </w:rPr>
      </w:pPr>
      <w:r w:rsidRPr="00930A0C">
        <w:rPr>
          <w:rFonts w:ascii="Arial" w:hAnsi="Arial" w:cs="Arial"/>
          <w:sz w:val="22"/>
          <w:szCs w:val="22"/>
        </w:rPr>
        <w:t>In overall terms, while the presence of hazardous substances gives rise to inherent risks, these are limited by the form of storage, operational controls, and the absence of objection from statutory consultees. These considerations are considered to outweigh any residual harm identified.</w:t>
      </w:r>
    </w:p>
    <w:p w14:paraId="0F2A59BF" w14:textId="396CB7CB" w:rsidR="00930A0C" w:rsidRPr="00930A0C" w:rsidRDefault="00930A0C" w:rsidP="00E673EC">
      <w:pPr>
        <w:spacing w:before="100" w:beforeAutospacing="1" w:after="100" w:afterAutospacing="1"/>
        <w:jc w:val="both"/>
        <w:rPr>
          <w:rFonts w:ascii="Arial" w:hAnsi="Arial" w:cs="Arial"/>
          <w:sz w:val="22"/>
          <w:szCs w:val="22"/>
        </w:rPr>
      </w:pPr>
      <w:r w:rsidRPr="00930A0C">
        <w:rPr>
          <w:rFonts w:ascii="Arial" w:hAnsi="Arial" w:cs="Arial"/>
          <w:sz w:val="22"/>
          <w:szCs w:val="22"/>
        </w:rPr>
        <w:t>Having regard to the requirements of Regulation 5 of the Planning (Hazardous Substances) Regulations 2015, it is considered that:</w:t>
      </w:r>
    </w:p>
    <w:p w14:paraId="2EDB94C0" w14:textId="77777777" w:rsidR="00930A0C" w:rsidRPr="00E673EC" w:rsidRDefault="00930A0C" w:rsidP="00E673EC">
      <w:pPr>
        <w:pStyle w:val="ListParagraph"/>
        <w:numPr>
          <w:ilvl w:val="0"/>
          <w:numId w:val="10"/>
        </w:numPr>
        <w:spacing w:before="100" w:beforeAutospacing="1" w:after="100" w:afterAutospacing="1"/>
        <w:jc w:val="both"/>
        <w:rPr>
          <w:rFonts w:ascii="Arial" w:hAnsi="Arial" w:cs="Arial"/>
          <w:sz w:val="22"/>
          <w:szCs w:val="22"/>
        </w:rPr>
      </w:pPr>
      <w:r w:rsidRPr="00E673EC">
        <w:rPr>
          <w:rFonts w:ascii="Arial" w:hAnsi="Arial" w:cs="Arial"/>
          <w:sz w:val="22"/>
          <w:szCs w:val="22"/>
        </w:rPr>
        <w:t>the risks to human health and the environment are acceptably low;</w:t>
      </w:r>
    </w:p>
    <w:p w14:paraId="38E65D25" w14:textId="77777777" w:rsidR="00930A0C" w:rsidRPr="00E673EC" w:rsidRDefault="00930A0C" w:rsidP="00E673EC">
      <w:pPr>
        <w:pStyle w:val="ListParagraph"/>
        <w:numPr>
          <w:ilvl w:val="0"/>
          <w:numId w:val="10"/>
        </w:numPr>
        <w:spacing w:before="100" w:beforeAutospacing="1" w:after="100" w:afterAutospacing="1"/>
        <w:jc w:val="both"/>
        <w:rPr>
          <w:rFonts w:ascii="Arial" w:hAnsi="Arial" w:cs="Arial"/>
          <w:sz w:val="22"/>
          <w:szCs w:val="22"/>
        </w:rPr>
      </w:pPr>
      <w:r w:rsidRPr="00E673EC">
        <w:rPr>
          <w:rFonts w:ascii="Arial" w:hAnsi="Arial" w:cs="Arial"/>
          <w:sz w:val="22"/>
          <w:szCs w:val="22"/>
        </w:rPr>
        <w:t>the siting of the hazardous substances is compatible with surrounding land uses;</w:t>
      </w:r>
    </w:p>
    <w:p w14:paraId="789034A5" w14:textId="77777777" w:rsidR="00930A0C" w:rsidRPr="00E673EC" w:rsidRDefault="00930A0C" w:rsidP="00E673EC">
      <w:pPr>
        <w:pStyle w:val="ListParagraph"/>
        <w:numPr>
          <w:ilvl w:val="0"/>
          <w:numId w:val="10"/>
        </w:numPr>
        <w:spacing w:before="100" w:beforeAutospacing="1" w:after="100" w:afterAutospacing="1"/>
        <w:jc w:val="both"/>
        <w:rPr>
          <w:rFonts w:ascii="Arial" w:hAnsi="Arial" w:cs="Arial"/>
          <w:sz w:val="22"/>
          <w:szCs w:val="22"/>
        </w:rPr>
      </w:pPr>
      <w:r w:rsidRPr="00E673EC">
        <w:rPr>
          <w:rFonts w:ascii="Arial" w:hAnsi="Arial" w:cs="Arial"/>
          <w:sz w:val="22"/>
          <w:szCs w:val="22"/>
        </w:rPr>
        <w:t>the potential for major accidents is mitigated through the nature of storage and operational controls; and</w:t>
      </w:r>
    </w:p>
    <w:p w14:paraId="4F40A6D6" w14:textId="77777777" w:rsidR="00930A0C" w:rsidRPr="00E673EC" w:rsidRDefault="00930A0C" w:rsidP="00E673EC">
      <w:pPr>
        <w:pStyle w:val="ListParagraph"/>
        <w:numPr>
          <w:ilvl w:val="0"/>
          <w:numId w:val="10"/>
        </w:numPr>
        <w:spacing w:before="100" w:beforeAutospacing="1" w:after="100" w:afterAutospacing="1"/>
        <w:jc w:val="both"/>
        <w:rPr>
          <w:rFonts w:ascii="Arial" w:hAnsi="Arial" w:cs="Arial"/>
          <w:sz w:val="22"/>
          <w:szCs w:val="22"/>
        </w:rPr>
      </w:pPr>
      <w:r w:rsidRPr="00E673EC">
        <w:rPr>
          <w:rFonts w:ascii="Arial" w:hAnsi="Arial" w:cs="Arial"/>
          <w:sz w:val="22"/>
          <w:szCs w:val="22"/>
        </w:rPr>
        <w:t>appropriate mitigation measures are in place.</w:t>
      </w:r>
    </w:p>
    <w:p w14:paraId="71933BF5" w14:textId="7E4D342F" w:rsidR="00930A0C" w:rsidRPr="00E673EC" w:rsidRDefault="00930A0C" w:rsidP="00E673EC">
      <w:pPr>
        <w:spacing w:before="100" w:beforeAutospacing="1" w:after="100" w:afterAutospacing="1"/>
        <w:jc w:val="both"/>
        <w:rPr>
          <w:rFonts w:ascii="Arial" w:hAnsi="Arial" w:cs="Arial"/>
          <w:sz w:val="22"/>
          <w:szCs w:val="22"/>
        </w:rPr>
      </w:pPr>
      <w:r w:rsidRPr="00E673EC">
        <w:rPr>
          <w:rFonts w:ascii="Arial" w:hAnsi="Arial" w:cs="Arial"/>
          <w:sz w:val="22"/>
          <w:szCs w:val="22"/>
        </w:rPr>
        <w:t>Accordingly, the statutory test is satisfied.</w:t>
      </w:r>
    </w:p>
    <w:p w14:paraId="7119C34E" w14:textId="23B59BFE" w:rsidR="00930A0C" w:rsidRDefault="00930A0C" w:rsidP="00E673EC">
      <w:pPr>
        <w:spacing w:before="100" w:beforeAutospacing="1" w:after="100" w:afterAutospacing="1"/>
        <w:jc w:val="both"/>
        <w:rPr>
          <w:rFonts w:ascii="Arial" w:hAnsi="Arial" w:cs="Arial"/>
          <w:sz w:val="22"/>
          <w:szCs w:val="22"/>
        </w:rPr>
      </w:pPr>
      <w:r w:rsidRPr="00930A0C">
        <w:rPr>
          <w:rFonts w:ascii="Arial" w:hAnsi="Arial" w:cs="Arial"/>
          <w:sz w:val="22"/>
          <w:szCs w:val="22"/>
        </w:rPr>
        <w:t>The Health and Safety Executive has raised no objection following application of its Land Use Planning methodology. This is a significant material consideration indicating that the level of risk to the surrounding area is acceptable, however the Local Planning Authority has also exercised its own judgement in reaching this conclusion.</w:t>
      </w:r>
    </w:p>
    <w:p w14:paraId="0F1ED27E" w14:textId="05E64CCF" w:rsidR="00FF6262" w:rsidRDefault="00FF6262" w:rsidP="00314006">
      <w:pPr>
        <w:spacing w:before="100" w:beforeAutospacing="1" w:after="100" w:afterAutospacing="1"/>
        <w:rPr>
          <w:rFonts w:ascii="Arial" w:hAnsi="Arial" w:cs="Arial"/>
          <w:sz w:val="22"/>
          <w:szCs w:val="22"/>
        </w:rPr>
      </w:pPr>
      <w:r>
        <w:rPr>
          <w:rFonts w:ascii="Arial" w:hAnsi="Arial" w:cs="Arial"/>
          <w:sz w:val="22"/>
          <w:szCs w:val="22"/>
        </w:rPr>
        <w:t>It is considered that the presence of hazardous substances is acceptable, the risks are tolerable</w:t>
      </w:r>
      <w:r w:rsidR="006F779C">
        <w:rPr>
          <w:rFonts w:ascii="Arial" w:hAnsi="Arial" w:cs="Arial"/>
          <w:sz w:val="22"/>
          <w:szCs w:val="22"/>
        </w:rPr>
        <w:t xml:space="preserve"> and the </w:t>
      </w:r>
      <w:r>
        <w:rPr>
          <w:rFonts w:ascii="Arial" w:hAnsi="Arial" w:cs="Arial"/>
          <w:sz w:val="22"/>
          <w:szCs w:val="22"/>
        </w:rPr>
        <w:t>mitigation is adequate</w:t>
      </w:r>
      <w:r w:rsidR="006F779C">
        <w:rPr>
          <w:rFonts w:ascii="Arial" w:hAnsi="Arial" w:cs="Arial"/>
          <w:sz w:val="22"/>
          <w:szCs w:val="22"/>
        </w:rPr>
        <w:t xml:space="preserve">. Furthermore, </w:t>
      </w:r>
      <w:r>
        <w:rPr>
          <w:rFonts w:ascii="Arial" w:hAnsi="Arial" w:cs="Arial"/>
          <w:sz w:val="22"/>
          <w:szCs w:val="22"/>
        </w:rPr>
        <w:t xml:space="preserve">HSE supports granting consent. </w:t>
      </w:r>
    </w:p>
    <w:p w14:paraId="7AEBB7B4" w14:textId="77777777" w:rsidR="00314006" w:rsidRDefault="00314006" w:rsidP="00942BFA">
      <w:pPr>
        <w:spacing w:line="276" w:lineRule="auto"/>
        <w:jc w:val="both"/>
        <w:rPr>
          <w:rFonts w:ascii="Arial" w:hAnsi="Arial" w:cs="Arial"/>
          <w:b/>
          <w:bCs/>
          <w:color w:val="000000" w:themeColor="text1"/>
          <w:sz w:val="22"/>
          <w:szCs w:val="22"/>
        </w:rPr>
      </w:pPr>
    </w:p>
    <w:p w14:paraId="5AC7BEA0" w14:textId="4FF7678F" w:rsidR="00D428D4" w:rsidRDefault="00F2151B"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That </w:t>
      </w:r>
      <w:r w:rsidR="00473845" w:rsidRPr="00473845">
        <w:rPr>
          <w:rFonts w:ascii="Arial" w:hAnsi="Arial" w:cs="Arial"/>
          <w:b/>
          <w:bCs/>
          <w:color w:val="000000" w:themeColor="text1"/>
          <w:sz w:val="22"/>
          <w:szCs w:val="22"/>
        </w:rPr>
        <w:t xml:space="preserve">Hazardous Substances Consent </w:t>
      </w:r>
      <w:r w:rsidR="00830D0D">
        <w:rPr>
          <w:rFonts w:ascii="Arial" w:hAnsi="Arial" w:cs="Arial"/>
          <w:b/>
          <w:bCs/>
          <w:color w:val="000000" w:themeColor="text1"/>
          <w:sz w:val="22"/>
          <w:szCs w:val="22"/>
        </w:rPr>
        <w:t xml:space="preserve">be </w:t>
      </w:r>
      <w:r w:rsidR="00473845" w:rsidRPr="00473845">
        <w:rPr>
          <w:rFonts w:ascii="Arial" w:hAnsi="Arial" w:cs="Arial"/>
          <w:b/>
          <w:bCs/>
          <w:color w:val="000000" w:themeColor="text1"/>
          <w:sz w:val="22"/>
          <w:szCs w:val="22"/>
        </w:rPr>
        <w:t>GRANTED</w:t>
      </w:r>
    </w:p>
    <w:p w14:paraId="69459F9C" w14:textId="20AF9DE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A087E"/>
    <w:multiLevelType w:val="hybridMultilevel"/>
    <w:tmpl w:val="FA02B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996A01"/>
    <w:multiLevelType w:val="multilevel"/>
    <w:tmpl w:val="D6480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D0670D"/>
    <w:multiLevelType w:val="multilevel"/>
    <w:tmpl w:val="45181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6537F2"/>
    <w:multiLevelType w:val="hybridMultilevel"/>
    <w:tmpl w:val="08002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457C19"/>
    <w:multiLevelType w:val="multilevel"/>
    <w:tmpl w:val="3086E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4B02E5"/>
    <w:multiLevelType w:val="hybridMultilevel"/>
    <w:tmpl w:val="79CE497A"/>
    <w:lvl w:ilvl="0" w:tplc="3FACFB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9C3C06"/>
    <w:multiLevelType w:val="hybridMultilevel"/>
    <w:tmpl w:val="705E35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2813D5"/>
    <w:multiLevelType w:val="multilevel"/>
    <w:tmpl w:val="0F3C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7A73B1"/>
    <w:multiLevelType w:val="hybridMultilevel"/>
    <w:tmpl w:val="31D06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8B5695"/>
    <w:multiLevelType w:val="hybridMultilevel"/>
    <w:tmpl w:val="44B89850"/>
    <w:lvl w:ilvl="0" w:tplc="DE0E7ACC">
      <w:numFmt w:val="bullet"/>
      <w:lvlText w:val="-"/>
      <w:lvlJc w:val="left"/>
      <w:pPr>
        <w:ind w:left="823" w:hanging="360"/>
      </w:pPr>
      <w:rPr>
        <w:rFonts w:ascii="Calibri" w:eastAsia="Calibri" w:hAnsi="Calibri" w:cs="Calibri" w:hint="default"/>
        <w:b w:val="0"/>
        <w:bCs w:val="0"/>
        <w:i w:val="0"/>
        <w:iCs w:val="0"/>
        <w:spacing w:val="0"/>
        <w:w w:val="100"/>
        <w:sz w:val="22"/>
        <w:szCs w:val="22"/>
        <w:lang w:val="en-US" w:eastAsia="en-US" w:bidi="ar-SA"/>
      </w:rPr>
    </w:lvl>
    <w:lvl w:ilvl="1" w:tplc="702264C2">
      <w:numFmt w:val="bullet"/>
      <w:lvlText w:val="•"/>
      <w:lvlJc w:val="left"/>
      <w:pPr>
        <w:ind w:left="1596" w:hanging="360"/>
      </w:pPr>
      <w:rPr>
        <w:lang w:val="en-US" w:eastAsia="en-US" w:bidi="ar-SA"/>
      </w:rPr>
    </w:lvl>
    <w:lvl w:ilvl="2" w:tplc="01742032">
      <w:numFmt w:val="bullet"/>
      <w:lvlText w:val="•"/>
      <w:lvlJc w:val="left"/>
      <w:pPr>
        <w:ind w:left="2372" w:hanging="360"/>
      </w:pPr>
      <w:rPr>
        <w:lang w:val="en-US" w:eastAsia="en-US" w:bidi="ar-SA"/>
      </w:rPr>
    </w:lvl>
    <w:lvl w:ilvl="3" w:tplc="951616BC">
      <w:numFmt w:val="bullet"/>
      <w:lvlText w:val="•"/>
      <w:lvlJc w:val="left"/>
      <w:pPr>
        <w:ind w:left="3148" w:hanging="360"/>
      </w:pPr>
      <w:rPr>
        <w:lang w:val="en-US" w:eastAsia="en-US" w:bidi="ar-SA"/>
      </w:rPr>
    </w:lvl>
    <w:lvl w:ilvl="4" w:tplc="84B44DC0">
      <w:numFmt w:val="bullet"/>
      <w:lvlText w:val="•"/>
      <w:lvlJc w:val="left"/>
      <w:pPr>
        <w:ind w:left="3924" w:hanging="360"/>
      </w:pPr>
      <w:rPr>
        <w:lang w:val="en-US" w:eastAsia="en-US" w:bidi="ar-SA"/>
      </w:rPr>
    </w:lvl>
    <w:lvl w:ilvl="5" w:tplc="0EB47540">
      <w:numFmt w:val="bullet"/>
      <w:lvlText w:val="•"/>
      <w:lvlJc w:val="left"/>
      <w:pPr>
        <w:ind w:left="4700" w:hanging="360"/>
      </w:pPr>
      <w:rPr>
        <w:lang w:val="en-US" w:eastAsia="en-US" w:bidi="ar-SA"/>
      </w:rPr>
    </w:lvl>
    <w:lvl w:ilvl="6" w:tplc="B5868158">
      <w:numFmt w:val="bullet"/>
      <w:lvlText w:val="•"/>
      <w:lvlJc w:val="left"/>
      <w:pPr>
        <w:ind w:left="5476" w:hanging="360"/>
      </w:pPr>
      <w:rPr>
        <w:lang w:val="en-US" w:eastAsia="en-US" w:bidi="ar-SA"/>
      </w:rPr>
    </w:lvl>
    <w:lvl w:ilvl="7" w:tplc="AA8EB352">
      <w:numFmt w:val="bullet"/>
      <w:lvlText w:val="•"/>
      <w:lvlJc w:val="left"/>
      <w:pPr>
        <w:ind w:left="6253" w:hanging="360"/>
      </w:pPr>
      <w:rPr>
        <w:lang w:val="en-US" w:eastAsia="en-US" w:bidi="ar-SA"/>
      </w:rPr>
    </w:lvl>
    <w:lvl w:ilvl="8" w:tplc="DB7A5A64">
      <w:numFmt w:val="bullet"/>
      <w:lvlText w:val="•"/>
      <w:lvlJc w:val="left"/>
      <w:pPr>
        <w:ind w:left="7029" w:hanging="360"/>
      </w:pPr>
      <w:rPr>
        <w:lang w:val="en-US" w:eastAsia="en-US" w:bidi="ar-SA"/>
      </w:rPr>
    </w:lvl>
  </w:abstractNum>
  <w:abstractNum w:abstractNumId="10" w15:restartNumberingAfterBreak="0">
    <w:nsid w:val="60BC5271"/>
    <w:multiLevelType w:val="multilevel"/>
    <w:tmpl w:val="258CB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6A4730"/>
    <w:multiLevelType w:val="hybridMultilevel"/>
    <w:tmpl w:val="1C6A8026"/>
    <w:lvl w:ilvl="0" w:tplc="99000A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C82C82"/>
    <w:multiLevelType w:val="hybridMultilevel"/>
    <w:tmpl w:val="4BBCE7B4"/>
    <w:lvl w:ilvl="0" w:tplc="96E8C9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2328013">
    <w:abstractNumId w:val="11"/>
  </w:num>
  <w:num w:numId="2" w16cid:durableId="489907695">
    <w:abstractNumId w:val="1"/>
  </w:num>
  <w:num w:numId="3" w16cid:durableId="513113997">
    <w:abstractNumId w:val="3"/>
  </w:num>
  <w:num w:numId="4" w16cid:durableId="1258752422">
    <w:abstractNumId w:val="8"/>
  </w:num>
  <w:num w:numId="5" w16cid:durableId="1863278816">
    <w:abstractNumId w:val="7"/>
  </w:num>
  <w:num w:numId="6" w16cid:durableId="2046558992">
    <w:abstractNumId w:val="5"/>
  </w:num>
  <w:num w:numId="7" w16cid:durableId="920603469">
    <w:abstractNumId w:val="4"/>
  </w:num>
  <w:num w:numId="8" w16cid:durableId="2118745479">
    <w:abstractNumId w:val="2"/>
  </w:num>
  <w:num w:numId="9" w16cid:durableId="1266772487">
    <w:abstractNumId w:val="10"/>
  </w:num>
  <w:num w:numId="10" w16cid:durableId="1701202508">
    <w:abstractNumId w:val="0"/>
  </w:num>
  <w:num w:numId="11" w16cid:durableId="390690512">
    <w:abstractNumId w:val="12"/>
  </w:num>
  <w:num w:numId="12" w16cid:durableId="1288778776">
    <w:abstractNumId w:val="6"/>
  </w:num>
  <w:num w:numId="13" w16cid:durableId="1422752289">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7269"/>
    <w:rsid w:val="0002128A"/>
    <w:rsid w:val="00024030"/>
    <w:rsid w:val="0002490A"/>
    <w:rsid w:val="00030535"/>
    <w:rsid w:val="00034AC8"/>
    <w:rsid w:val="00035D59"/>
    <w:rsid w:val="00040AE3"/>
    <w:rsid w:val="00043059"/>
    <w:rsid w:val="00043528"/>
    <w:rsid w:val="0004756B"/>
    <w:rsid w:val="00051208"/>
    <w:rsid w:val="00053F09"/>
    <w:rsid w:val="00061168"/>
    <w:rsid w:val="0006131C"/>
    <w:rsid w:val="0006523B"/>
    <w:rsid w:val="00067BEE"/>
    <w:rsid w:val="0007377C"/>
    <w:rsid w:val="00075098"/>
    <w:rsid w:val="000804FA"/>
    <w:rsid w:val="00097010"/>
    <w:rsid w:val="000A78E4"/>
    <w:rsid w:val="000B4E91"/>
    <w:rsid w:val="000C0D1A"/>
    <w:rsid w:val="000C773F"/>
    <w:rsid w:val="000D0858"/>
    <w:rsid w:val="000E3FD8"/>
    <w:rsid w:val="000E59B7"/>
    <w:rsid w:val="000E62BA"/>
    <w:rsid w:val="000F1D49"/>
    <w:rsid w:val="000F2BDF"/>
    <w:rsid w:val="00107CA3"/>
    <w:rsid w:val="00107D4F"/>
    <w:rsid w:val="00111DAB"/>
    <w:rsid w:val="001171CC"/>
    <w:rsid w:val="001418E4"/>
    <w:rsid w:val="00151532"/>
    <w:rsid w:val="00157709"/>
    <w:rsid w:val="00166623"/>
    <w:rsid w:val="001778D6"/>
    <w:rsid w:val="00183966"/>
    <w:rsid w:val="00185E12"/>
    <w:rsid w:val="001A12BE"/>
    <w:rsid w:val="001A33F3"/>
    <w:rsid w:val="001A4900"/>
    <w:rsid w:val="001A6010"/>
    <w:rsid w:val="001A7DFD"/>
    <w:rsid w:val="001B2655"/>
    <w:rsid w:val="001B5FF8"/>
    <w:rsid w:val="001B7CEA"/>
    <w:rsid w:val="001C7998"/>
    <w:rsid w:val="001F3B03"/>
    <w:rsid w:val="00200743"/>
    <w:rsid w:val="00203E5C"/>
    <w:rsid w:val="00204E4E"/>
    <w:rsid w:val="00206AD9"/>
    <w:rsid w:val="00207E6B"/>
    <w:rsid w:val="00211B6E"/>
    <w:rsid w:val="0021435E"/>
    <w:rsid w:val="0021750A"/>
    <w:rsid w:val="00222BAA"/>
    <w:rsid w:val="00230405"/>
    <w:rsid w:val="002319A7"/>
    <w:rsid w:val="002323BF"/>
    <w:rsid w:val="00237634"/>
    <w:rsid w:val="00247A46"/>
    <w:rsid w:val="00250212"/>
    <w:rsid w:val="002552D4"/>
    <w:rsid w:val="00262CDC"/>
    <w:rsid w:val="00285FF5"/>
    <w:rsid w:val="0029187E"/>
    <w:rsid w:val="0029208D"/>
    <w:rsid w:val="002920BF"/>
    <w:rsid w:val="002927C8"/>
    <w:rsid w:val="002A7916"/>
    <w:rsid w:val="002B0BE1"/>
    <w:rsid w:val="002D63A7"/>
    <w:rsid w:val="002E4B31"/>
    <w:rsid w:val="002F7894"/>
    <w:rsid w:val="003007EC"/>
    <w:rsid w:val="003066D0"/>
    <w:rsid w:val="00307886"/>
    <w:rsid w:val="00312C7F"/>
    <w:rsid w:val="00314006"/>
    <w:rsid w:val="00316C37"/>
    <w:rsid w:val="0032310F"/>
    <w:rsid w:val="003248F9"/>
    <w:rsid w:val="003266E0"/>
    <w:rsid w:val="00327312"/>
    <w:rsid w:val="00336FA4"/>
    <w:rsid w:val="003440E3"/>
    <w:rsid w:val="003516CE"/>
    <w:rsid w:val="0035216D"/>
    <w:rsid w:val="00352A11"/>
    <w:rsid w:val="00355C32"/>
    <w:rsid w:val="0036696F"/>
    <w:rsid w:val="00381006"/>
    <w:rsid w:val="0038352E"/>
    <w:rsid w:val="003905FB"/>
    <w:rsid w:val="003C606B"/>
    <w:rsid w:val="003C60B8"/>
    <w:rsid w:val="003D3BFC"/>
    <w:rsid w:val="003D5959"/>
    <w:rsid w:val="003D637B"/>
    <w:rsid w:val="004052B4"/>
    <w:rsid w:val="00415989"/>
    <w:rsid w:val="0043749E"/>
    <w:rsid w:val="00464CAD"/>
    <w:rsid w:val="00473845"/>
    <w:rsid w:val="00475A27"/>
    <w:rsid w:val="00477CC4"/>
    <w:rsid w:val="004817FB"/>
    <w:rsid w:val="00482421"/>
    <w:rsid w:val="00482DB3"/>
    <w:rsid w:val="004901C5"/>
    <w:rsid w:val="004A4BA8"/>
    <w:rsid w:val="004B7769"/>
    <w:rsid w:val="004C0337"/>
    <w:rsid w:val="004C4FA0"/>
    <w:rsid w:val="004D1D73"/>
    <w:rsid w:val="005027FA"/>
    <w:rsid w:val="00504B36"/>
    <w:rsid w:val="005138AB"/>
    <w:rsid w:val="00515B1F"/>
    <w:rsid w:val="00520340"/>
    <w:rsid w:val="00522286"/>
    <w:rsid w:val="00532780"/>
    <w:rsid w:val="00533E0C"/>
    <w:rsid w:val="00533F99"/>
    <w:rsid w:val="00535483"/>
    <w:rsid w:val="0054068B"/>
    <w:rsid w:val="00543309"/>
    <w:rsid w:val="00543928"/>
    <w:rsid w:val="005509AC"/>
    <w:rsid w:val="00562C98"/>
    <w:rsid w:val="005729CC"/>
    <w:rsid w:val="00582942"/>
    <w:rsid w:val="00587773"/>
    <w:rsid w:val="005A03A2"/>
    <w:rsid w:val="005A4370"/>
    <w:rsid w:val="005A4D4C"/>
    <w:rsid w:val="005B0A58"/>
    <w:rsid w:val="005B4B26"/>
    <w:rsid w:val="005E43B7"/>
    <w:rsid w:val="005E6AE9"/>
    <w:rsid w:val="005F2830"/>
    <w:rsid w:val="005F3C5A"/>
    <w:rsid w:val="005F4A4B"/>
    <w:rsid w:val="00607396"/>
    <w:rsid w:val="0061252A"/>
    <w:rsid w:val="00637C66"/>
    <w:rsid w:val="006411AB"/>
    <w:rsid w:val="00643C57"/>
    <w:rsid w:val="00645D50"/>
    <w:rsid w:val="00646832"/>
    <w:rsid w:val="006477C7"/>
    <w:rsid w:val="00671BC3"/>
    <w:rsid w:val="00677CCA"/>
    <w:rsid w:val="00680DA9"/>
    <w:rsid w:val="00680E9B"/>
    <w:rsid w:val="00682062"/>
    <w:rsid w:val="00683C17"/>
    <w:rsid w:val="00684637"/>
    <w:rsid w:val="006A65F4"/>
    <w:rsid w:val="006B0308"/>
    <w:rsid w:val="006B2E50"/>
    <w:rsid w:val="006B393E"/>
    <w:rsid w:val="006B4012"/>
    <w:rsid w:val="006C77FD"/>
    <w:rsid w:val="006C7831"/>
    <w:rsid w:val="006C7EB1"/>
    <w:rsid w:val="006D0093"/>
    <w:rsid w:val="006D21A4"/>
    <w:rsid w:val="006D3703"/>
    <w:rsid w:val="006E7675"/>
    <w:rsid w:val="006F0799"/>
    <w:rsid w:val="006F1FF0"/>
    <w:rsid w:val="006F5FC1"/>
    <w:rsid w:val="006F779C"/>
    <w:rsid w:val="00711A4B"/>
    <w:rsid w:val="00715260"/>
    <w:rsid w:val="00722BAC"/>
    <w:rsid w:val="0073177E"/>
    <w:rsid w:val="0073674D"/>
    <w:rsid w:val="00754D2A"/>
    <w:rsid w:val="0076592F"/>
    <w:rsid w:val="00765BC6"/>
    <w:rsid w:val="00765EEE"/>
    <w:rsid w:val="00775025"/>
    <w:rsid w:val="00776F23"/>
    <w:rsid w:val="00782345"/>
    <w:rsid w:val="007842F1"/>
    <w:rsid w:val="00791D40"/>
    <w:rsid w:val="007A2269"/>
    <w:rsid w:val="007E67D4"/>
    <w:rsid w:val="007E6A47"/>
    <w:rsid w:val="007E6DC5"/>
    <w:rsid w:val="007F0006"/>
    <w:rsid w:val="007F548E"/>
    <w:rsid w:val="007F695C"/>
    <w:rsid w:val="00805896"/>
    <w:rsid w:val="00807170"/>
    <w:rsid w:val="0080760A"/>
    <w:rsid w:val="00810FE3"/>
    <w:rsid w:val="00814929"/>
    <w:rsid w:val="00820D83"/>
    <w:rsid w:val="00830D0D"/>
    <w:rsid w:val="00831AC7"/>
    <w:rsid w:val="008410F1"/>
    <w:rsid w:val="00850833"/>
    <w:rsid w:val="00860FB0"/>
    <w:rsid w:val="008651DA"/>
    <w:rsid w:val="00871B46"/>
    <w:rsid w:val="00883BF4"/>
    <w:rsid w:val="008A6B33"/>
    <w:rsid w:val="008B0B16"/>
    <w:rsid w:val="008B158F"/>
    <w:rsid w:val="008B3D6C"/>
    <w:rsid w:val="008E0002"/>
    <w:rsid w:val="008E1365"/>
    <w:rsid w:val="008E4A21"/>
    <w:rsid w:val="008E59DE"/>
    <w:rsid w:val="008E7E50"/>
    <w:rsid w:val="008F0C6B"/>
    <w:rsid w:val="008F4E57"/>
    <w:rsid w:val="008F5BE4"/>
    <w:rsid w:val="008F720C"/>
    <w:rsid w:val="009068FD"/>
    <w:rsid w:val="00916070"/>
    <w:rsid w:val="009223E2"/>
    <w:rsid w:val="0092586B"/>
    <w:rsid w:val="00930A0C"/>
    <w:rsid w:val="00936106"/>
    <w:rsid w:val="00940706"/>
    <w:rsid w:val="00942BFA"/>
    <w:rsid w:val="00943755"/>
    <w:rsid w:val="009613A4"/>
    <w:rsid w:val="00970A8A"/>
    <w:rsid w:val="0097282A"/>
    <w:rsid w:val="00977209"/>
    <w:rsid w:val="00981005"/>
    <w:rsid w:val="00985AA7"/>
    <w:rsid w:val="00985E84"/>
    <w:rsid w:val="00994116"/>
    <w:rsid w:val="009A65C5"/>
    <w:rsid w:val="009B5404"/>
    <w:rsid w:val="009B72C3"/>
    <w:rsid w:val="009C3071"/>
    <w:rsid w:val="009C4475"/>
    <w:rsid w:val="009D0560"/>
    <w:rsid w:val="009E1642"/>
    <w:rsid w:val="009F3A2E"/>
    <w:rsid w:val="00A06564"/>
    <w:rsid w:val="00A16EA1"/>
    <w:rsid w:val="00A243D4"/>
    <w:rsid w:val="00A26FDC"/>
    <w:rsid w:val="00A313CE"/>
    <w:rsid w:val="00A32662"/>
    <w:rsid w:val="00A41153"/>
    <w:rsid w:val="00A42891"/>
    <w:rsid w:val="00A55DA1"/>
    <w:rsid w:val="00A57783"/>
    <w:rsid w:val="00A60842"/>
    <w:rsid w:val="00A64314"/>
    <w:rsid w:val="00A71295"/>
    <w:rsid w:val="00A71C3E"/>
    <w:rsid w:val="00A82351"/>
    <w:rsid w:val="00A95A96"/>
    <w:rsid w:val="00A96204"/>
    <w:rsid w:val="00AA499E"/>
    <w:rsid w:val="00AC0615"/>
    <w:rsid w:val="00AC21CD"/>
    <w:rsid w:val="00AC6035"/>
    <w:rsid w:val="00AC6E13"/>
    <w:rsid w:val="00AE1C41"/>
    <w:rsid w:val="00AF45AE"/>
    <w:rsid w:val="00B0100C"/>
    <w:rsid w:val="00B32039"/>
    <w:rsid w:val="00B341CC"/>
    <w:rsid w:val="00B45C5F"/>
    <w:rsid w:val="00B56EE9"/>
    <w:rsid w:val="00B65B2D"/>
    <w:rsid w:val="00B73981"/>
    <w:rsid w:val="00B75109"/>
    <w:rsid w:val="00B75EF9"/>
    <w:rsid w:val="00B81A07"/>
    <w:rsid w:val="00B913B9"/>
    <w:rsid w:val="00B91F7C"/>
    <w:rsid w:val="00BA5893"/>
    <w:rsid w:val="00BB182D"/>
    <w:rsid w:val="00BB2009"/>
    <w:rsid w:val="00BB696C"/>
    <w:rsid w:val="00BC3471"/>
    <w:rsid w:val="00BC3F9A"/>
    <w:rsid w:val="00BD52EF"/>
    <w:rsid w:val="00BD5369"/>
    <w:rsid w:val="00BE6683"/>
    <w:rsid w:val="00BF394D"/>
    <w:rsid w:val="00C02293"/>
    <w:rsid w:val="00C06F9D"/>
    <w:rsid w:val="00C12334"/>
    <w:rsid w:val="00C15984"/>
    <w:rsid w:val="00C17D44"/>
    <w:rsid w:val="00C34DE4"/>
    <w:rsid w:val="00C760C4"/>
    <w:rsid w:val="00C76144"/>
    <w:rsid w:val="00C932F5"/>
    <w:rsid w:val="00CA7033"/>
    <w:rsid w:val="00CB15D1"/>
    <w:rsid w:val="00CB325A"/>
    <w:rsid w:val="00CC51B9"/>
    <w:rsid w:val="00CF2835"/>
    <w:rsid w:val="00CF67E2"/>
    <w:rsid w:val="00D030B2"/>
    <w:rsid w:val="00D101B5"/>
    <w:rsid w:val="00D12140"/>
    <w:rsid w:val="00D14841"/>
    <w:rsid w:val="00D428D4"/>
    <w:rsid w:val="00D45219"/>
    <w:rsid w:val="00D50A9C"/>
    <w:rsid w:val="00D60FF7"/>
    <w:rsid w:val="00D662F9"/>
    <w:rsid w:val="00D859CC"/>
    <w:rsid w:val="00D902FA"/>
    <w:rsid w:val="00D93567"/>
    <w:rsid w:val="00DA3A4D"/>
    <w:rsid w:val="00DB2721"/>
    <w:rsid w:val="00DD1AF1"/>
    <w:rsid w:val="00DF3CCE"/>
    <w:rsid w:val="00E016EF"/>
    <w:rsid w:val="00E03670"/>
    <w:rsid w:val="00E03EDD"/>
    <w:rsid w:val="00E058EC"/>
    <w:rsid w:val="00E107B6"/>
    <w:rsid w:val="00E15D98"/>
    <w:rsid w:val="00E24994"/>
    <w:rsid w:val="00E35059"/>
    <w:rsid w:val="00E3526F"/>
    <w:rsid w:val="00E35849"/>
    <w:rsid w:val="00E42E64"/>
    <w:rsid w:val="00E43941"/>
    <w:rsid w:val="00E51C13"/>
    <w:rsid w:val="00E673EC"/>
    <w:rsid w:val="00E70D98"/>
    <w:rsid w:val="00E83E11"/>
    <w:rsid w:val="00E87BE7"/>
    <w:rsid w:val="00EA19AA"/>
    <w:rsid w:val="00EA523D"/>
    <w:rsid w:val="00EB5F17"/>
    <w:rsid w:val="00EC2E4E"/>
    <w:rsid w:val="00EC3964"/>
    <w:rsid w:val="00EC5090"/>
    <w:rsid w:val="00ED33CD"/>
    <w:rsid w:val="00ED79C7"/>
    <w:rsid w:val="00EE41D6"/>
    <w:rsid w:val="00EE5C03"/>
    <w:rsid w:val="00EE6040"/>
    <w:rsid w:val="00EE7C23"/>
    <w:rsid w:val="00F005A4"/>
    <w:rsid w:val="00F02C87"/>
    <w:rsid w:val="00F03793"/>
    <w:rsid w:val="00F124BA"/>
    <w:rsid w:val="00F1263F"/>
    <w:rsid w:val="00F1571C"/>
    <w:rsid w:val="00F2151B"/>
    <w:rsid w:val="00F2421B"/>
    <w:rsid w:val="00F2477F"/>
    <w:rsid w:val="00F26924"/>
    <w:rsid w:val="00F37FAD"/>
    <w:rsid w:val="00F5074B"/>
    <w:rsid w:val="00F514A2"/>
    <w:rsid w:val="00F56B58"/>
    <w:rsid w:val="00F60E85"/>
    <w:rsid w:val="00F7017C"/>
    <w:rsid w:val="00F75933"/>
    <w:rsid w:val="00F7609E"/>
    <w:rsid w:val="00F801C2"/>
    <w:rsid w:val="00F81518"/>
    <w:rsid w:val="00F81970"/>
    <w:rsid w:val="00F81FE5"/>
    <w:rsid w:val="00F850DD"/>
    <w:rsid w:val="00F86303"/>
    <w:rsid w:val="00F93988"/>
    <w:rsid w:val="00FC7067"/>
    <w:rsid w:val="00FD05E3"/>
    <w:rsid w:val="00FD3E4B"/>
    <w:rsid w:val="00FD4FDF"/>
    <w:rsid w:val="00FD64A0"/>
    <w:rsid w:val="00FD66AF"/>
    <w:rsid w:val="00FE03E6"/>
    <w:rsid w:val="00FE063C"/>
    <w:rsid w:val="00FE1DD3"/>
    <w:rsid w:val="00FE7EA4"/>
    <w:rsid w:val="00FF4265"/>
    <w:rsid w:val="00FF6262"/>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Strong">
    <w:name w:val="Strong"/>
    <w:basedOn w:val="DefaultParagraphFont"/>
    <w:uiPriority w:val="22"/>
    <w:qFormat/>
    <w:rsid w:val="00782345"/>
    <w:rPr>
      <w:b/>
      <w:bCs/>
    </w:rPr>
  </w:style>
  <w:style w:type="character" w:styleId="Hyperlink">
    <w:name w:val="Hyperlink"/>
    <w:basedOn w:val="DefaultParagraphFont"/>
    <w:uiPriority w:val="99"/>
    <w:semiHidden/>
    <w:unhideWhenUsed/>
    <w:rsid w:val="004A4BA8"/>
    <w:rPr>
      <w:color w:val="0000FF"/>
      <w:u w:val="single"/>
    </w:rPr>
  </w:style>
  <w:style w:type="paragraph" w:styleId="Revision">
    <w:name w:val="Revision"/>
    <w:hidden/>
    <w:uiPriority w:val="99"/>
    <w:semiHidden/>
    <w:rsid w:val="009A65C5"/>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1878</Words>
  <Characters>10705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salesforceId:568929df-de90-4191-8085-823e23d072b2</dc:subject>
  <dc:creator>O'Donoghue, Ruaridh</dc:creator>
  <cp:keywords/>
  <dc:description/>
  <cp:lastModifiedBy>Foster, Jemma</cp:lastModifiedBy>
  <cp:revision>63</cp:revision>
  <dcterms:created xsi:type="dcterms:W3CDTF">2026-05-14T14:58:00Z</dcterms:created>
  <dcterms:modified xsi:type="dcterms:W3CDTF">2026-07-14T08:38:00Z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069Q300000PM77vIAD</vt:lpwstr>
  </property>
</Properties>
</file>