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BB41E"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799B8FE"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4F5AB6CC"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327D5F8D" w14:textId="77777777" w:rsidTr="00AA0A02">
        <w:tc>
          <w:tcPr>
            <w:tcW w:w="3681" w:type="dxa"/>
          </w:tcPr>
          <w:p w14:paraId="662397BC"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E80E926"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PL/2026/03286</w:t>
            </w:r>
          </w:p>
        </w:tc>
      </w:tr>
      <w:tr w:rsidR="00C35340" w14:paraId="73819FA4" w14:textId="77777777" w:rsidTr="00AA0A02">
        <w:tc>
          <w:tcPr>
            <w:tcW w:w="3681" w:type="dxa"/>
          </w:tcPr>
          <w:p w14:paraId="0EC76ABC"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3565EDA"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5475BBB2" w14:textId="77777777" w:rsidTr="00AA0A02">
        <w:tc>
          <w:tcPr>
            <w:tcW w:w="3681" w:type="dxa"/>
          </w:tcPr>
          <w:p w14:paraId="4ED65D9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0D19CB6"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Chantry Cottage, 61, Easton Royal, Pewsey, SN9 5LS</w:t>
            </w:r>
          </w:p>
        </w:tc>
      </w:tr>
      <w:tr w:rsidR="00C35340" w14:paraId="4F10A362" w14:textId="77777777" w:rsidTr="00AA0A02">
        <w:tc>
          <w:tcPr>
            <w:tcW w:w="3681" w:type="dxa"/>
          </w:tcPr>
          <w:p w14:paraId="43AE83BD"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900CEF7" w14:textId="16F621F9"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Repairs to and raising of existing chimney</w:t>
            </w:r>
            <w:r w:rsidR="00C17F4F">
              <w:rPr>
                <w:rFonts w:ascii="Arial" w:eastAsia="Times New Roman" w:hAnsi="Arial" w:cs="Arial"/>
                <w:kern w:val="0"/>
                <w:sz w:val="22"/>
                <w:szCs w:val="22"/>
                <w:lang w:eastAsia="en-GB"/>
                <w14:ligatures w14:val="none"/>
              </w:rPr>
              <w:t>.</w:t>
            </w:r>
          </w:p>
        </w:tc>
      </w:tr>
      <w:tr w:rsidR="00C35340" w14:paraId="7EBD21A7" w14:textId="77777777" w:rsidTr="00AA0A02">
        <w:tc>
          <w:tcPr>
            <w:tcW w:w="3681" w:type="dxa"/>
          </w:tcPr>
          <w:p w14:paraId="4C58D5A5"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708FC21"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38C0EF31"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5CA4F773"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FB5F003"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1C578E2" w14:textId="3D84D331"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Pr="008B1C0A">
        <w:rPr>
          <w:rFonts w:ascii="Arial" w:eastAsia="Times New Roman" w:hAnsi="Arial" w:cs="Arial"/>
          <w:color w:val="000000" w:themeColor="text1"/>
          <w:kern w:val="0"/>
          <w:sz w:val="22"/>
          <w:szCs w:val="22"/>
          <w:lang w:eastAsia="en-GB"/>
          <w14:ligatures w14:val="none"/>
        </w:rPr>
        <w:t>for</w:t>
      </w:r>
      <w:r w:rsidR="00C17F4F" w:rsidRPr="008B1C0A">
        <w:rPr>
          <w:rFonts w:ascii="Arial" w:eastAsia="Times New Roman" w:hAnsi="Arial" w:cs="Arial"/>
          <w:color w:val="000000" w:themeColor="text1"/>
          <w:kern w:val="0"/>
          <w:sz w:val="22"/>
          <w:szCs w:val="22"/>
          <w:lang w:eastAsia="en-GB"/>
          <w14:ligatures w14:val="none"/>
        </w:rPr>
        <w:t xml:space="preserve"> repairs to and</w:t>
      </w:r>
      <w:r w:rsidR="00EA48DC">
        <w:rPr>
          <w:rFonts w:ascii="Arial" w:eastAsia="Times New Roman" w:hAnsi="Arial" w:cs="Arial"/>
          <w:color w:val="000000" w:themeColor="text1"/>
          <w:kern w:val="0"/>
          <w:sz w:val="22"/>
          <w:szCs w:val="22"/>
          <w:lang w:eastAsia="en-GB"/>
          <w14:ligatures w14:val="none"/>
        </w:rPr>
        <w:t xml:space="preserve"> the</w:t>
      </w:r>
      <w:r w:rsidR="00C17F4F" w:rsidRPr="008B1C0A">
        <w:rPr>
          <w:rFonts w:ascii="Arial" w:eastAsia="Times New Roman" w:hAnsi="Arial" w:cs="Arial"/>
          <w:color w:val="000000" w:themeColor="text1"/>
          <w:kern w:val="0"/>
          <w:sz w:val="22"/>
          <w:szCs w:val="22"/>
          <w:lang w:eastAsia="en-GB"/>
          <w14:ligatures w14:val="none"/>
        </w:rPr>
        <w:t xml:space="preserve"> raising of an existing chimney.</w:t>
      </w:r>
      <w:r w:rsidR="0083213E" w:rsidRPr="008B1C0A">
        <w:rPr>
          <w:rFonts w:ascii="Arial" w:eastAsia="Times New Roman" w:hAnsi="Arial" w:cs="Arial"/>
          <w:i/>
          <w:iCs/>
          <w:color w:val="000000" w:themeColor="text1"/>
          <w:kern w:val="0"/>
          <w:sz w:val="22"/>
          <w:szCs w:val="22"/>
          <w:lang w:eastAsia="en-GB"/>
          <w14:ligatures w14:val="none"/>
        </w:rPr>
        <w:t xml:space="preserve"> </w:t>
      </w:r>
    </w:p>
    <w:p w14:paraId="5FD703A5"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56B3B14C"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6A5A114"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B214864" w14:textId="30AD50F3" w:rsidR="006D4A80" w:rsidRDefault="00EA48DC"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8482E">
        <w:rPr>
          <w:rFonts w:ascii="Arial" w:eastAsia="Times New Roman" w:hAnsi="Arial" w:cs="Arial"/>
          <w:color w:val="000000" w:themeColor="text1"/>
          <w:kern w:val="0"/>
          <w:sz w:val="22"/>
          <w:szCs w:val="22"/>
          <w:lang w:eastAsia="en-GB"/>
          <w14:ligatures w14:val="none"/>
        </w:rPr>
        <w:t xml:space="preserve">The application relates to Chantry Cottage, 61 Easton Royal in Pewsey. It is a Grade II listed building (List Entry Number: </w:t>
      </w:r>
      <w:r w:rsidR="00743A84" w:rsidRPr="00F8482E">
        <w:rPr>
          <w:rFonts w:ascii="Arial" w:eastAsia="Times New Roman" w:hAnsi="Arial" w:cs="Arial"/>
          <w:color w:val="000000" w:themeColor="text1"/>
          <w:kern w:val="0"/>
          <w:sz w:val="22"/>
          <w:szCs w:val="22"/>
          <w:lang w:eastAsia="en-GB"/>
          <w14:ligatures w14:val="none"/>
        </w:rPr>
        <w:t>1035984</w:t>
      </w:r>
      <w:r w:rsidRPr="00F8482E">
        <w:rPr>
          <w:rFonts w:ascii="Arial" w:eastAsia="Times New Roman" w:hAnsi="Arial" w:cs="Arial"/>
          <w:color w:val="000000" w:themeColor="text1"/>
          <w:kern w:val="0"/>
          <w:sz w:val="22"/>
          <w:szCs w:val="22"/>
          <w:lang w:eastAsia="en-GB"/>
          <w14:ligatures w14:val="none"/>
        </w:rPr>
        <w:t xml:space="preserve">) </w:t>
      </w:r>
      <w:r w:rsidR="00743A84" w:rsidRPr="00F8482E">
        <w:rPr>
          <w:rFonts w:ascii="Arial" w:eastAsia="Times New Roman" w:hAnsi="Arial" w:cs="Arial"/>
          <w:color w:val="000000" w:themeColor="text1"/>
          <w:kern w:val="0"/>
          <w:sz w:val="22"/>
          <w:szCs w:val="22"/>
          <w:lang w:eastAsia="en-GB"/>
          <w14:ligatures w14:val="none"/>
        </w:rPr>
        <w:t>located in the Easton Royal Conservation Area.</w:t>
      </w:r>
      <w:r w:rsidR="00F8482E">
        <w:rPr>
          <w:rFonts w:ascii="Arial" w:eastAsia="Times New Roman" w:hAnsi="Arial" w:cs="Arial"/>
          <w:color w:val="000000" w:themeColor="text1"/>
          <w:kern w:val="0"/>
          <w:sz w:val="22"/>
          <w:szCs w:val="22"/>
          <w:lang w:eastAsia="en-GB"/>
          <w14:ligatures w14:val="none"/>
        </w:rPr>
        <w:t xml:space="preserve"> The property is </w:t>
      </w:r>
      <w:r w:rsidR="00B5616A">
        <w:rPr>
          <w:rFonts w:ascii="Arial" w:eastAsia="Times New Roman" w:hAnsi="Arial" w:cs="Arial"/>
          <w:color w:val="000000" w:themeColor="text1"/>
          <w:kern w:val="0"/>
          <w:sz w:val="22"/>
          <w:szCs w:val="22"/>
          <w:lang w:eastAsia="en-GB"/>
          <w14:ligatures w14:val="none"/>
        </w:rPr>
        <w:t>a detached, thatch-roof cottage with a relatively short chimney stack.</w:t>
      </w:r>
    </w:p>
    <w:p w14:paraId="61C215A3" w14:textId="77777777" w:rsidR="009E63A4" w:rsidRDefault="009E63A4"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73BFCE" w14:textId="6013EB7E" w:rsidR="009E63A4" w:rsidRDefault="009E63A4"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statutory listing of the property is as follows:</w:t>
      </w:r>
    </w:p>
    <w:p w14:paraId="26F12F4B" w14:textId="77777777" w:rsidR="009E63A4" w:rsidRDefault="009E63A4"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20DC43F" w14:textId="77777777" w:rsidR="009E63A4" w:rsidRPr="009E63A4" w:rsidRDefault="009E63A4" w:rsidP="009E63A4">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9E63A4">
        <w:rPr>
          <w:rFonts w:ascii="Arial" w:eastAsia="Times New Roman" w:hAnsi="Arial" w:cs="Arial"/>
          <w:i/>
          <w:iCs/>
          <w:color w:val="000000" w:themeColor="text1"/>
          <w:kern w:val="0"/>
          <w:sz w:val="22"/>
          <w:szCs w:val="22"/>
          <w:lang w:eastAsia="en-GB"/>
          <w14:ligatures w14:val="none"/>
        </w:rPr>
        <w:t>EASTON ROYAL EASTON ROYAL SU 26 SW (east side) 2/195 Thatch Cottage II House, formerly with village shop. Probably C18. Colourwashed brick with thatched roof. Two storeys, 2 bays, with central entrance, and single storey extension to left. C20 cross wing added to right beyond former external gable stack. Panelled door within heavy frame. Three-light windows, paned casements to ground floor with segmental brick arches, and paned leaded windows to first floor. Steeply hipped roof to left with a C20 glazed door, formerly shop. Brick stack. C20 extension not of special interest.</w:t>
      </w:r>
    </w:p>
    <w:p w14:paraId="252E731D" w14:textId="77777777" w:rsidR="009E63A4" w:rsidRPr="009E63A4" w:rsidRDefault="009E63A4" w:rsidP="009E63A4">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p>
    <w:p w14:paraId="35CD9365" w14:textId="0202EB4B" w:rsidR="009E63A4" w:rsidRPr="009E63A4" w:rsidRDefault="009E63A4" w:rsidP="009E63A4">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9E63A4">
        <w:rPr>
          <w:rFonts w:ascii="Arial" w:eastAsia="Times New Roman" w:hAnsi="Arial" w:cs="Arial"/>
          <w:i/>
          <w:iCs/>
          <w:color w:val="000000" w:themeColor="text1"/>
          <w:kern w:val="0"/>
          <w:sz w:val="22"/>
          <w:szCs w:val="22"/>
          <w:lang w:eastAsia="en-GB"/>
          <w14:ligatures w14:val="none"/>
        </w:rPr>
        <w:t>Listing NGR: SU2079361087</w:t>
      </w:r>
    </w:p>
    <w:p w14:paraId="26E31326"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0626514"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09CCAD06"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C16834B" w14:textId="5C0D7917" w:rsidR="00965A06" w:rsidRPr="00F8482E" w:rsidRDefault="00743A84"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8482E">
        <w:rPr>
          <w:rFonts w:ascii="Arial" w:eastAsia="Times New Roman" w:hAnsi="Arial" w:cs="Arial"/>
          <w:color w:val="000000" w:themeColor="text1"/>
          <w:kern w:val="0"/>
          <w:sz w:val="22"/>
          <w:szCs w:val="22"/>
          <w:lang w:eastAsia="en-GB"/>
          <w14:ligatures w14:val="none"/>
        </w:rPr>
        <w:t>Grade II listed building (List Entry Number: 1035984)</w:t>
      </w:r>
      <w:r w:rsidR="00F8482E" w:rsidRPr="00F8482E">
        <w:rPr>
          <w:rFonts w:ascii="Arial" w:eastAsia="Times New Roman" w:hAnsi="Arial" w:cs="Arial"/>
          <w:color w:val="000000" w:themeColor="text1"/>
          <w:kern w:val="0"/>
          <w:sz w:val="22"/>
          <w:szCs w:val="22"/>
          <w:lang w:eastAsia="en-GB"/>
          <w14:ligatures w14:val="none"/>
        </w:rPr>
        <w:t>.</w:t>
      </w:r>
    </w:p>
    <w:p w14:paraId="47BB35AD" w14:textId="75DDE0FE" w:rsidR="00743A84" w:rsidRPr="00F8482E" w:rsidRDefault="00743A84"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8482E">
        <w:rPr>
          <w:rFonts w:ascii="Arial" w:eastAsia="Times New Roman" w:hAnsi="Arial" w:cs="Arial"/>
          <w:color w:val="000000" w:themeColor="text1"/>
          <w:kern w:val="0"/>
          <w:sz w:val="22"/>
          <w:szCs w:val="22"/>
          <w:lang w:eastAsia="en-GB"/>
          <w14:ligatures w14:val="none"/>
        </w:rPr>
        <w:t>Located within the Easton Royal Conservation Area</w:t>
      </w:r>
      <w:r w:rsidR="00F8482E" w:rsidRPr="00F8482E">
        <w:rPr>
          <w:rFonts w:ascii="Arial" w:eastAsia="Times New Roman" w:hAnsi="Arial" w:cs="Arial"/>
          <w:color w:val="000000" w:themeColor="text1"/>
          <w:kern w:val="0"/>
          <w:sz w:val="22"/>
          <w:szCs w:val="22"/>
          <w:lang w:eastAsia="en-GB"/>
          <w14:ligatures w14:val="none"/>
        </w:rPr>
        <w:t>.</w:t>
      </w:r>
    </w:p>
    <w:p w14:paraId="68F1E620" w14:textId="64143263" w:rsidR="00743A84" w:rsidRPr="00F8482E" w:rsidRDefault="00F8482E"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8482E">
        <w:rPr>
          <w:rFonts w:ascii="Arial" w:eastAsia="Times New Roman" w:hAnsi="Arial" w:cs="Arial"/>
          <w:color w:val="000000" w:themeColor="text1"/>
          <w:kern w:val="0"/>
          <w:sz w:val="22"/>
          <w:szCs w:val="22"/>
          <w:lang w:eastAsia="en-GB"/>
          <w14:ligatures w14:val="none"/>
        </w:rPr>
        <w:t>Washed over by the North Wessex Downs National Landscape.</w:t>
      </w:r>
    </w:p>
    <w:p w14:paraId="56B78BFE"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5A826E82"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58D645E5"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6118C1AA" w14:textId="2EFA21E4" w:rsidR="00683C17" w:rsidRPr="005F1F6F" w:rsidRDefault="005F1F6F"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5F1F6F">
        <w:rPr>
          <w:rFonts w:ascii="Arial" w:eastAsia="Times New Roman" w:hAnsi="Arial" w:cs="Arial"/>
          <w:color w:val="000000" w:themeColor="text1"/>
          <w:kern w:val="0"/>
          <w:sz w:val="22"/>
          <w:szCs w:val="22"/>
          <w:lang w:eastAsia="en-GB"/>
          <w14:ligatures w14:val="none"/>
        </w:rPr>
        <w:t>No relevant planning history.</w:t>
      </w:r>
    </w:p>
    <w:p w14:paraId="2AAA6B1E"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6DC2680"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6BDFD14"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61A2B66A"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3A3CEBA8"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23C03E7F" w14:textId="77777777" w:rsidR="00315AE0" w:rsidRPr="007E610B"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E610B">
        <w:rPr>
          <w:rFonts w:ascii="Arial" w:eastAsia="Times New Roman" w:hAnsi="Arial" w:cs="Arial"/>
          <w:color w:val="000000" w:themeColor="text1"/>
          <w:kern w:val="0"/>
          <w:sz w:val="22"/>
          <w:szCs w:val="22"/>
          <w:lang w:eastAsia="en-GB"/>
          <w14:ligatures w14:val="none"/>
        </w:rPr>
        <w:lastRenderedPageBreak/>
        <w:t>Core Policy 50</w:t>
      </w:r>
      <w:r w:rsidR="006A735A" w:rsidRPr="007E610B">
        <w:rPr>
          <w:rFonts w:ascii="Arial" w:eastAsia="Times New Roman" w:hAnsi="Arial" w:cs="Arial"/>
          <w:color w:val="000000" w:themeColor="text1"/>
          <w:kern w:val="0"/>
          <w:sz w:val="22"/>
          <w:szCs w:val="22"/>
          <w:lang w:eastAsia="en-GB"/>
          <w14:ligatures w14:val="none"/>
        </w:rPr>
        <w:t>:</w:t>
      </w:r>
      <w:r w:rsidRPr="007E610B">
        <w:rPr>
          <w:rFonts w:ascii="Arial" w:eastAsia="Times New Roman" w:hAnsi="Arial" w:cs="Arial"/>
          <w:color w:val="000000" w:themeColor="text1"/>
          <w:kern w:val="0"/>
          <w:sz w:val="22"/>
          <w:szCs w:val="22"/>
          <w:lang w:eastAsia="en-GB"/>
          <w14:ligatures w14:val="none"/>
        </w:rPr>
        <w:t xml:space="preserve"> Biodiversity and Geodiversity </w:t>
      </w:r>
    </w:p>
    <w:p w14:paraId="212A662E" w14:textId="20D071AA" w:rsidR="00315AE0" w:rsidRPr="007E610B"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E610B">
        <w:rPr>
          <w:rFonts w:ascii="Arial" w:eastAsia="Times New Roman" w:hAnsi="Arial" w:cs="Arial"/>
          <w:color w:val="000000" w:themeColor="text1"/>
          <w:kern w:val="0"/>
          <w:sz w:val="22"/>
          <w:szCs w:val="22"/>
          <w:lang w:eastAsia="en-GB"/>
          <w14:ligatures w14:val="none"/>
        </w:rPr>
        <w:t>Core Policy 51</w:t>
      </w:r>
      <w:r w:rsidR="006A735A" w:rsidRPr="007E610B">
        <w:rPr>
          <w:rFonts w:ascii="Arial" w:eastAsia="Times New Roman" w:hAnsi="Arial" w:cs="Arial"/>
          <w:color w:val="000000" w:themeColor="text1"/>
          <w:kern w:val="0"/>
          <w:sz w:val="22"/>
          <w:szCs w:val="22"/>
          <w:lang w:eastAsia="en-GB"/>
          <w14:ligatures w14:val="none"/>
        </w:rPr>
        <w:t xml:space="preserve">: </w:t>
      </w:r>
      <w:r w:rsidRPr="007E610B">
        <w:rPr>
          <w:rFonts w:ascii="Arial" w:eastAsia="Times New Roman" w:hAnsi="Arial" w:cs="Arial"/>
          <w:color w:val="000000" w:themeColor="text1"/>
          <w:kern w:val="0"/>
          <w:sz w:val="22"/>
          <w:szCs w:val="22"/>
          <w:lang w:eastAsia="en-GB"/>
          <w14:ligatures w14:val="none"/>
        </w:rPr>
        <w:t>Landscape</w:t>
      </w:r>
    </w:p>
    <w:p w14:paraId="1BB19F33" w14:textId="57252034" w:rsidR="00EE3520" w:rsidRPr="007E610B" w:rsidRDefault="00EE3520" w:rsidP="00EE3520">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E610B">
        <w:rPr>
          <w:rFonts w:ascii="Arial" w:eastAsia="Times New Roman" w:hAnsi="Arial" w:cs="Arial"/>
          <w:color w:val="000000" w:themeColor="text1"/>
          <w:kern w:val="0"/>
          <w:sz w:val="22"/>
          <w:szCs w:val="22"/>
          <w:lang w:eastAsia="en-GB"/>
          <w14:ligatures w14:val="none"/>
        </w:rPr>
        <w:t>Core Policy 57: Ensuring High Quality Design and Place Shaping</w:t>
      </w:r>
    </w:p>
    <w:p w14:paraId="729EB698" w14:textId="77777777" w:rsidR="00683C17" w:rsidRPr="007E610B"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E610B">
        <w:rPr>
          <w:rFonts w:ascii="Arial" w:eastAsia="Times New Roman" w:hAnsi="Arial" w:cs="Arial"/>
          <w:color w:val="000000" w:themeColor="text1"/>
          <w:kern w:val="0"/>
          <w:sz w:val="22"/>
          <w:szCs w:val="22"/>
          <w:lang w:eastAsia="en-GB"/>
          <w14:ligatures w14:val="none"/>
        </w:rPr>
        <w:t>Core Policy 58</w:t>
      </w:r>
      <w:r w:rsidR="006A735A" w:rsidRPr="007E610B">
        <w:rPr>
          <w:rFonts w:ascii="Arial" w:eastAsia="Times New Roman" w:hAnsi="Arial" w:cs="Arial"/>
          <w:color w:val="000000" w:themeColor="text1"/>
          <w:kern w:val="0"/>
          <w:sz w:val="22"/>
          <w:szCs w:val="22"/>
          <w:lang w:eastAsia="en-GB"/>
          <w14:ligatures w14:val="none"/>
        </w:rPr>
        <w:t>:</w:t>
      </w:r>
      <w:r w:rsidR="00315AE0" w:rsidRPr="007E610B">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0095F397"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7D0BDBE8" w14:textId="3904ACF9" w:rsidR="0021435E" w:rsidRPr="004B52D5" w:rsidRDefault="004B52D5"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4B52D5">
        <w:rPr>
          <w:rFonts w:ascii="Arial" w:eastAsia="Times New Roman" w:hAnsi="Arial" w:cs="Arial"/>
          <w:color w:val="000000" w:themeColor="text1"/>
          <w:kern w:val="0"/>
          <w:sz w:val="22"/>
          <w:szCs w:val="22"/>
          <w:lang w:eastAsia="en-GB"/>
          <w14:ligatures w14:val="none"/>
        </w:rPr>
        <w:t>Easton Royal Conservation Area Statement</w:t>
      </w:r>
    </w:p>
    <w:p w14:paraId="4B005AA4"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67A2117A"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4F857599"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4DFD473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08A22AFB"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5057876B"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8F30277"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DB26CF8"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10B227D"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336D853"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3A15A37F"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523439A0" w14:textId="7CEC0F4F" w:rsidR="005B0FD5" w:rsidRDefault="003E55AE"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Easton Royal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Pr>
          <w:rFonts w:ascii="Arial" w:eastAsia="Times New Roman" w:hAnsi="Arial" w:cs="Arial"/>
          <w:kern w:val="0"/>
          <w:sz w:val="22"/>
          <w:szCs w:val="22"/>
          <w:lang w:eastAsia="en-GB"/>
          <w14:ligatures w14:val="none"/>
        </w:rPr>
        <w:t>response received at the time of writing.</w:t>
      </w:r>
      <w:bookmarkEnd w:id="0"/>
    </w:p>
    <w:p w14:paraId="0DC786FB" w14:textId="77777777" w:rsidR="003E55AE" w:rsidRDefault="003E55AE" w:rsidP="009C1702">
      <w:pPr>
        <w:spacing w:after="0" w:line="276" w:lineRule="auto"/>
        <w:jc w:val="both"/>
        <w:rPr>
          <w:rFonts w:ascii="Arial" w:eastAsia="Times New Roman" w:hAnsi="Arial" w:cs="Arial"/>
          <w:kern w:val="0"/>
          <w:sz w:val="22"/>
          <w:szCs w:val="22"/>
          <w:lang w:eastAsia="en-GB"/>
          <w14:ligatures w14:val="none"/>
        </w:rPr>
      </w:pPr>
    </w:p>
    <w:p w14:paraId="101F7155" w14:textId="64FA8E7A" w:rsidR="003E55AE" w:rsidRPr="003E55AE" w:rsidRDefault="003E55AE" w:rsidP="009C1702">
      <w:pPr>
        <w:spacing w:after="0" w:line="276" w:lineRule="auto"/>
        <w:jc w:val="both"/>
        <w:rPr>
          <w:rFonts w:ascii="Arial" w:eastAsia="Times New Roman" w:hAnsi="Arial" w:cs="Arial"/>
          <w:i/>
          <w:iCs/>
          <w:color w:val="ED0000"/>
          <w:kern w:val="0"/>
          <w:sz w:val="22"/>
          <w:szCs w:val="22"/>
          <w:lang w:eastAsia="en-GB"/>
          <w14:ligatures w14:val="none"/>
        </w:rPr>
      </w:pPr>
      <w:r w:rsidRPr="003E55AE">
        <w:rPr>
          <w:rFonts w:ascii="Arial" w:eastAsia="Times New Roman" w:hAnsi="Arial" w:cs="Arial"/>
          <w:kern w:val="0"/>
          <w:sz w:val="22"/>
          <w:szCs w:val="22"/>
          <w:u w:val="single"/>
          <w:lang w:eastAsia="en-GB"/>
          <w14:ligatures w14:val="none"/>
        </w:rPr>
        <w:t>WC Conservation</w:t>
      </w:r>
      <w:r>
        <w:rPr>
          <w:rFonts w:ascii="Arial" w:eastAsia="Times New Roman" w:hAnsi="Arial" w:cs="Arial"/>
          <w:kern w:val="0"/>
          <w:sz w:val="22"/>
          <w:szCs w:val="22"/>
          <w:lang w:eastAsia="en-GB"/>
          <w14:ligatures w14:val="none"/>
        </w:rPr>
        <w:t xml:space="preserve">: </w:t>
      </w:r>
      <w:r w:rsidR="00F80FE0">
        <w:rPr>
          <w:rFonts w:ascii="Arial" w:eastAsia="Times New Roman" w:hAnsi="Arial" w:cs="Arial"/>
          <w:kern w:val="0"/>
          <w:sz w:val="22"/>
          <w:szCs w:val="22"/>
          <w:lang w:eastAsia="en-GB"/>
          <w14:ligatures w14:val="none"/>
        </w:rPr>
        <w:t>(Final response) No objection subject to condition.</w:t>
      </w:r>
    </w:p>
    <w:p w14:paraId="38938A04"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0F227B98"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8EC3C4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8F99A87" w14:textId="46B5CBC9" w:rsidR="008D7802" w:rsidRPr="003E55AE"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AAA179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A57E0EF"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85D0BE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49FCB3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144769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A85743D"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CC920A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AE6CCD8" w14:textId="1EAD471B" w:rsidR="00B71D0E" w:rsidRPr="00F80FE0"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34D41F3"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5E7EC0F" w14:textId="6F74F151" w:rsidR="00852CAC" w:rsidRDefault="003B7DB7" w:rsidP="00852CAC">
      <w:pPr>
        <w:spacing w:after="0" w:line="276" w:lineRule="auto"/>
        <w:jc w:val="both"/>
        <w:rPr>
          <w:rFonts w:ascii="Arial" w:eastAsia="Times New Roman" w:hAnsi="Arial" w:cs="Arial"/>
          <w:kern w:val="0"/>
          <w:sz w:val="22"/>
          <w:szCs w:val="22"/>
          <w:u w:val="single"/>
          <w:lang w:eastAsia="en-GB"/>
          <w14:ligatures w14:val="none"/>
        </w:rPr>
      </w:pPr>
      <w:r w:rsidRPr="003B7DB7">
        <w:rPr>
          <w:rFonts w:ascii="Arial" w:eastAsia="Times New Roman" w:hAnsi="Arial" w:cs="Arial"/>
          <w:kern w:val="0"/>
          <w:sz w:val="22"/>
          <w:szCs w:val="22"/>
          <w:u w:val="single"/>
          <w:lang w:eastAsia="en-GB"/>
          <w14:ligatures w14:val="none"/>
        </w:rPr>
        <w:t>Design and impact upon the character and context of the area and heritage assets</w:t>
      </w:r>
    </w:p>
    <w:p w14:paraId="2D57BAB1"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7CC52B9A" w14:textId="77777777" w:rsidR="001B66C2" w:rsidRPr="001B66C2" w:rsidRDefault="001B66C2" w:rsidP="001B66C2">
      <w:pPr>
        <w:spacing w:after="0" w:line="276" w:lineRule="auto"/>
        <w:jc w:val="both"/>
        <w:rPr>
          <w:rFonts w:ascii="Arial" w:eastAsia="Times New Roman" w:hAnsi="Arial" w:cs="Arial"/>
          <w:kern w:val="0"/>
          <w:sz w:val="22"/>
          <w:szCs w:val="22"/>
          <w:lang w:eastAsia="en-GB"/>
          <w14:ligatures w14:val="none"/>
        </w:rPr>
      </w:pPr>
      <w:r w:rsidRPr="001B66C2">
        <w:rPr>
          <w:rFonts w:ascii="Arial" w:eastAsia="Times New Roman" w:hAnsi="Arial" w:cs="Arial"/>
          <w:kern w:val="0"/>
          <w:sz w:val="22"/>
          <w:szCs w:val="22"/>
          <w:lang w:eastAsia="en-GB"/>
          <w14:ligatures w14:val="none"/>
        </w:rPr>
        <w:t>Core Policy 57 (Ensuring High Quality Design and Place Shaping) of the Wiltshire Core Strategy requires development to achieve a high standard of design, responding positively to local character and the historic environment. Proposals should demonstrate how they conserve and enhance heritage assets and integrate with their surroundings in terms of layout, form, scale, materials and detailing.</w:t>
      </w:r>
    </w:p>
    <w:p w14:paraId="387F06E9" w14:textId="77777777" w:rsidR="00C15BEF" w:rsidRDefault="00C15BEF" w:rsidP="00852CAC">
      <w:pPr>
        <w:spacing w:after="0" w:line="276" w:lineRule="auto"/>
        <w:jc w:val="both"/>
        <w:rPr>
          <w:rFonts w:ascii="Arial" w:eastAsia="Times New Roman" w:hAnsi="Arial" w:cs="Arial"/>
          <w:kern w:val="0"/>
          <w:sz w:val="22"/>
          <w:szCs w:val="22"/>
          <w:lang w:eastAsia="en-GB"/>
          <w14:ligatures w14:val="none"/>
        </w:rPr>
      </w:pPr>
    </w:p>
    <w:p w14:paraId="115714D1" w14:textId="7E814B72" w:rsidR="00C15BEF" w:rsidRPr="00BB7690" w:rsidRDefault="00C15BEF" w:rsidP="00C15BEF">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From the point of view of the historic environment the main statutory tests are set out within the Planning (Listed Building</w:t>
      </w:r>
      <w:r w:rsidR="00EC7F2F">
        <w:rPr>
          <w:rFonts w:ascii="Arial" w:eastAsia="Times New Roman" w:hAnsi="Arial" w:cs="Arial"/>
          <w:color w:val="000000" w:themeColor="text1"/>
          <w:kern w:val="0"/>
          <w:sz w:val="22"/>
          <w:szCs w:val="22"/>
          <w:lang w:eastAsia="en-GB"/>
          <w14:ligatures w14:val="none"/>
        </w:rPr>
        <w:t>s</w:t>
      </w:r>
      <w:r w:rsidRPr="00BB7690">
        <w:rPr>
          <w:rFonts w:ascii="Arial" w:eastAsia="Times New Roman" w:hAnsi="Arial" w:cs="Arial"/>
          <w:color w:val="000000" w:themeColor="text1"/>
          <w:kern w:val="0"/>
          <w:sz w:val="22"/>
          <w:szCs w:val="22"/>
          <w:lang w:eastAsia="en-GB"/>
          <w14:ligatures w14:val="none"/>
        </w:rPr>
        <w:t xml:space="preserve"> and Conservation Areas) Act 1990. </w:t>
      </w:r>
    </w:p>
    <w:p w14:paraId="54C64F52" w14:textId="77777777" w:rsidR="00C15BEF" w:rsidRPr="00BB7690" w:rsidRDefault="00C15BEF" w:rsidP="00C15BEF">
      <w:pPr>
        <w:spacing w:after="0" w:line="276" w:lineRule="auto"/>
        <w:jc w:val="both"/>
        <w:rPr>
          <w:rFonts w:ascii="Arial" w:eastAsia="Times New Roman" w:hAnsi="Arial" w:cs="Arial"/>
          <w:color w:val="000000" w:themeColor="text1"/>
          <w:kern w:val="0"/>
          <w:sz w:val="22"/>
          <w:szCs w:val="22"/>
          <w:lang w:eastAsia="en-GB"/>
          <w14:ligatures w14:val="none"/>
        </w:rPr>
      </w:pPr>
    </w:p>
    <w:p w14:paraId="56DDDBDF" w14:textId="65C3C93E" w:rsidR="00C15BEF" w:rsidRPr="00BB7690" w:rsidRDefault="004D6FDE" w:rsidP="00C15BEF">
      <w:pPr>
        <w:spacing w:after="0" w:line="276" w:lineRule="auto"/>
        <w:jc w:val="both"/>
        <w:rPr>
          <w:rFonts w:ascii="Arial" w:eastAsia="Times New Roman" w:hAnsi="Arial" w:cs="Arial"/>
          <w:color w:val="000000" w:themeColor="text1"/>
          <w:kern w:val="0"/>
          <w:sz w:val="22"/>
          <w:szCs w:val="22"/>
          <w:lang w:eastAsia="en-GB"/>
          <w14:ligatures w14:val="none"/>
        </w:rPr>
      </w:pPr>
      <w:r w:rsidRPr="004D6FDE">
        <w:rPr>
          <w:rFonts w:ascii="Arial" w:eastAsia="Times New Roman" w:hAnsi="Arial" w:cs="Arial"/>
          <w:color w:val="000000" w:themeColor="text1"/>
          <w:kern w:val="0"/>
          <w:sz w:val="22"/>
          <w:szCs w:val="22"/>
          <w:lang w:eastAsia="en-GB"/>
          <w14:ligatures w14:val="none"/>
        </w:rPr>
        <w:t>Section 66 requires that special regard is given to the desirability of preserving listed buildings</w:t>
      </w:r>
      <w:r w:rsidR="00C15BEF" w:rsidRPr="00BB7690">
        <w:rPr>
          <w:rFonts w:ascii="Arial" w:eastAsia="Times New Roman" w:hAnsi="Arial" w:cs="Arial"/>
          <w:color w:val="000000" w:themeColor="text1"/>
          <w:kern w:val="0"/>
          <w:sz w:val="22"/>
          <w:szCs w:val="22"/>
          <w:lang w:eastAsia="en-GB"/>
          <w14:ligatures w14:val="none"/>
        </w:rPr>
        <w:t>, their settings or any features of special architectural or historic interest which they possess.</w:t>
      </w:r>
    </w:p>
    <w:p w14:paraId="1848E71C" w14:textId="77777777" w:rsidR="00C15BEF" w:rsidRPr="00BB7690" w:rsidRDefault="00C15BEF" w:rsidP="00C15BEF">
      <w:pPr>
        <w:spacing w:after="0" w:line="276" w:lineRule="auto"/>
        <w:jc w:val="both"/>
        <w:rPr>
          <w:rFonts w:ascii="Arial" w:eastAsia="Times New Roman" w:hAnsi="Arial" w:cs="Arial"/>
          <w:color w:val="000000" w:themeColor="text1"/>
          <w:kern w:val="0"/>
          <w:sz w:val="22"/>
          <w:szCs w:val="22"/>
          <w:lang w:eastAsia="en-GB"/>
          <w14:ligatures w14:val="none"/>
        </w:rPr>
      </w:pPr>
    </w:p>
    <w:p w14:paraId="3FD6E2A1" w14:textId="77777777" w:rsidR="00C15BEF" w:rsidRPr="00BB7690" w:rsidRDefault="00C15BEF" w:rsidP="00C15BEF">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31C122F1" w14:textId="77777777" w:rsidR="00C15BEF" w:rsidRDefault="00C15BEF" w:rsidP="00C15BEF">
      <w:pPr>
        <w:spacing w:after="0" w:line="276" w:lineRule="auto"/>
        <w:jc w:val="both"/>
        <w:rPr>
          <w:rFonts w:ascii="Arial" w:eastAsia="Times New Roman" w:hAnsi="Arial" w:cs="Arial"/>
          <w:color w:val="000000" w:themeColor="text1"/>
          <w:kern w:val="0"/>
          <w:sz w:val="22"/>
          <w:szCs w:val="22"/>
          <w:lang w:eastAsia="en-GB"/>
          <w14:ligatures w14:val="none"/>
        </w:rPr>
      </w:pPr>
    </w:p>
    <w:p w14:paraId="596632F8" w14:textId="77777777" w:rsidR="00C15BEF" w:rsidRPr="00436D0A" w:rsidRDefault="00C15BEF" w:rsidP="00C15BEF">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0F27C03C" w14:textId="77777777" w:rsidR="00C15BEF" w:rsidRDefault="00C15BEF" w:rsidP="00C15BEF">
      <w:pPr>
        <w:spacing w:after="0" w:line="276" w:lineRule="auto"/>
        <w:jc w:val="both"/>
        <w:rPr>
          <w:rFonts w:ascii="Arial" w:eastAsia="Times New Roman" w:hAnsi="Arial" w:cs="Arial"/>
          <w:color w:val="000000" w:themeColor="text1"/>
          <w:kern w:val="0"/>
          <w:sz w:val="22"/>
          <w:szCs w:val="22"/>
          <w:lang w:eastAsia="en-GB"/>
          <w14:ligatures w14:val="none"/>
        </w:rPr>
      </w:pPr>
    </w:p>
    <w:p w14:paraId="2C9954CD" w14:textId="786C23B0" w:rsidR="00C15BEF" w:rsidRPr="00FD6E81" w:rsidRDefault="00C15BEF" w:rsidP="00852CAC">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70D3CECA" w14:textId="77777777" w:rsidR="00597BBB" w:rsidRPr="00F50FCC" w:rsidRDefault="00597BBB" w:rsidP="00852CAC">
      <w:pPr>
        <w:spacing w:after="0" w:line="276" w:lineRule="auto"/>
        <w:jc w:val="both"/>
        <w:rPr>
          <w:rFonts w:ascii="Arial" w:eastAsia="Times New Roman" w:hAnsi="Arial" w:cs="Arial"/>
          <w:color w:val="000000" w:themeColor="text1"/>
          <w:kern w:val="0"/>
          <w:sz w:val="22"/>
          <w:szCs w:val="22"/>
          <w:lang w:eastAsia="en-GB"/>
          <w14:ligatures w14:val="none"/>
        </w:rPr>
      </w:pPr>
    </w:p>
    <w:p w14:paraId="4F1D208D" w14:textId="3D529B04" w:rsidR="00F6612B" w:rsidRPr="00F6612B" w:rsidRDefault="00F6612B" w:rsidP="00F6612B">
      <w:pPr>
        <w:spacing w:after="0" w:line="276" w:lineRule="auto"/>
        <w:jc w:val="both"/>
        <w:rPr>
          <w:rFonts w:ascii="Arial" w:eastAsia="Times New Roman" w:hAnsi="Arial" w:cs="Arial"/>
          <w:color w:val="000000" w:themeColor="text1"/>
          <w:kern w:val="0"/>
          <w:sz w:val="22"/>
          <w:szCs w:val="22"/>
          <w:lang w:eastAsia="en-GB"/>
          <w14:ligatures w14:val="none"/>
        </w:rPr>
      </w:pPr>
      <w:r w:rsidRPr="00F6612B">
        <w:rPr>
          <w:rFonts w:ascii="Arial" w:eastAsia="Times New Roman" w:hAnsi="Arial" w:cs="Arial"/>
          <w:color w:val="000000" w:themeColor="text1"/>
          <w:kern w:val="0"/>
          <w:sz w:val="22"/>
          <w:szCs w:val="22"/>
          <w:lang w:eastAsia="en-GB"/>
          <w14:ligatures w14:val="none"/>
        </w:rPr>
        <w:t>In heritage terms, the proposal has been assessed having regard to the significance of the Grade II listed building and its setting within the Easton Royal Conservation Area. The works comprise a modest increase in the height of the existing chimney stack.</w:t>
      </w:r>
    </w:p>
    <w:p w14:paraId="4B8A405C" w14:textId="77777777" w:rsidR="00F6612B" w:rsidRDefault="00F6612B" w:rsidP="00F6612B">
      <w:pPr>
        <w:spacing w:after="0" w:line="276" w:lineRule="auto"/>
        <w:jc w:val="both"/>
        <w:rPr>
          <w:rFonts w:ascii="Arial" w:eastAsia="Times New Roman" w:hAnsi="Arial" w:cs="Arial"/>
          <w:color w:val="000000" w:themeColor="text1"/>
          <w:kern w:val="0"/>
          <w:sz w:val="22"/>
          <w:szCs w:val="22"/>
          <w:lang w:eastAsia="en-GB"/>
          <w14:ligatures w14:val="none"/>
        </w:rPr>
      </w:pPr>
    </w:p>
    <w:p w14:paraId="2B769046" w14:textId="04F1CE76" w:rsidR="00F6612B" w:rsidRPr="00F6612B" w:rsidRDefault="00F6612B" w:rsidP="00F6612B">
      <w:pPr>
        <w:spacing w:after="0" w:line="276" w:lineRule="auto"/>
        <w:jc w:val="both"/>
        <w:rPr>
          <w:rFonts w:ascii="Arial" w:eastAsia="Times New Roman" w:hAnsi="Arial" w:cs="Arial"/>
          <w:color w:val="000000" w:themeColor="text1"/>
          <w:kern w:val="0"/>
          <w:sz w:val="22"/>
          <w:szCs w:val="22"/>
          <w:lang w:eastAsia="en-GB"/>
          <w14:ligatures w14:val="none"/>
        </w:rPr>
      </w:pPr>
      <w:r w:rsidRPr="00F6612B">
        <w:rPr>
          <w:rFonts w:ascii="Arial" w:eastAsia="Times New Roman" w:hAnsi="Arial" w:cs="Arial"/>
          <w:color w:val="000000" w:themeColor="text1"/>
          <w:kern w:val="0"/>
          <w:sz w:val="22"/>
          <w:szCs w:val="22"/>
          <w:lang w:eastAsia="en-GB"/>
          <w14:ligatures w14:val="none"/>
        </w:rPr>
        <w:t>Wiltshire Council’s Conservation Officer was consulted and initially raised concerns regarding the height of the proposed chimney stack. Amended plans have reduced the height to a level which is considered proportionate to the host building and reflective of traditional chimney forms within the locality. No objection is therefore raised, subject to a condition requiring matching brickwork.</w:t>
      </w:r>
    </w:p>
    <w:p w14:paraId="3440B577" w14:textId="77777777" w:rsidR="00F6612B" w:rsidRDefault="00F6612B" w:rsidP="00F6612B">
      <w:pPr>
        <w:spacing w:after="0" w:line="276" w:lineRule="auto"/>
        <w:jc w:val="both"/>
        <w:rPr>
          <w:rFonts w:ascii="Arial" w:eastAsia="Times New Roman" w:hAnsi="Arial" w:cs="Arial"/>
          <w:color w:val="000000" w:themeColor="text1"/>
          <w:kern w:val="0"/>
          <w:sz w:val="22"/>
          <w:szCs w:val="22"/>
          <w:lang w:eastAsia="en-GB"/>
          <w14:ligatures w14:val="none"/>
        </w:rPr>
      </w:pPr>
    </w:p>
    <w:p w14:paraId="0A0A0446" w14:textId="2511BB07" w:rsidR="00F6612B" w:rsidRDefault="00F6612B" w:rsidP="00F6612B">
      <w:pPr>
        <w:spacing w:after="0" w:line="276" w:lineRule="auto"/>
        <w:jc w:val="both"/>
        <w:rPr>
          <w:rFonts w:ascii="Arial" w:eastAsia="Times New Roman" w:hAnsi="Arial" w:cs="Arial"/>
          <w:color w:val="000000" w:themeColor="text1"/>
          <w:kern w:val="0"/>
          <w:sz w:val="22"/>
          <w:szCs w:val="22"/>
          <w:lang w:eastAsia="en-GB"/>
          <w14:ligatures w14:val="none"/>
        </w:rPr>
      </w:pPr>
      <w:r w:rsidRPr="00F6612B">
        <w:rPr>
          <w:rFonts w:ascii="Arial" w:eastAsia="Times New Roman" w:hAnsi="Arial" w:cs="Arial"/>
          <w:color w:val="000000" w:themeColor="text1"/>
          <w:kern w:val="0"/>
          <w:sz w:val="22"/>
          <w:szCs w:val="22"/>
          <w:lang w:eastAsia="en-GB"/>
          <w14:ligatures w14:val="none"/>
        </w:rPr>
        <w:t xml:space="preserve">The proposed works would preserve the significance of the designated heritage asset and its </w:t>
      </w:r>
    </w:p>
    <w:p w14:paraId="7E89991B" w14:textId="11D3EBCE" w:rsidR="00F6612B" w:rsidRPr="00F6612B" w:rsidRDefault="00F6612B" w:rsidP="00F6612B">
      <w:pPr>
        <w:spacing w:after="0" w:line="276" w:lineRule="auto"/>
        <w:jc w:val="both"/>
        <w:rPr>
          <w:rFonts w:ascii="Arial" w:eastAsia="Times New Roman" w:hAnsi="Arial" w:cs="Arial"/>
          <w:color w:val="000000" w:themeColor="text1"/>
          <w:kern w:val="0"/>
          <w:sz w:val="22"/>
          <w:szCs w:val="22"/>
          <w:lang w:eastAsia="en-GB"/>
          <w14:ligatures w14:val="none"/>
        </w:rPr>
      </w:pPr>
      <w:r w:rsidRPr="00F6612B">
        <w:rPr>
          <w:rFonts w:ascii="Arial" w:eastAsia="Times New Roman" w:hAnsi="Arial" w:cs="Arial"/>
          <w:color w:val="000000" w:themeColor="text1"/>
          <w:kern w:val="0"/>
          <w:sz w:val="22"/>
          <w:szCs w:val="22"/>
          <w:lang w:eastAsia="en-GB"/>
          <w14:ligatures w14:val="none"/>
        </w:rPr>
        <w:t>setting, and would preserve the character and appearance of the Conservation Area. The proposal therefore gives rise to no harm under Chapter 16 of the National Planning Policy Framework and satisfies the statutory duties under Sections 66 and 72 of the Planning (Listed Buildings and Conservation Areas) Act 1990.</w:t>
      </w:r>
    </w:p>
    <w:p w14:paraId="553E054B" w14:textId="77777777" w:rsidR="005E3A1C" w:rsidRPr="00F50FCC" w:rsidRDefault="005E3A1C"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7BBC81B5" w14:textId="57373B65" w:rsidR="005E3A1C" w:rsidRPr="00F50FCC" w:rsidRDefault="004D6FDE"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4D6FDE">
        <w:rPr>
          <w:rFonts w:ascii="Arial" w:eastAsia="Times New Roman" w:hAnsi="Arial" w:cs="Arial"/>
          <w:color w:val="000000" w:themeColor="text1"/>
          <w:kern w:val="0"/>
          <w:sz w:val="22"/>
          <w:szCs w:val="22"/>
          <w:lang w:eastAsia="en-GB"/>
          <w14:ligatures w14:val="none"/>
        </w:rPr>
        <w:t>The Conservation Officer’s comments are agreed; the proposed works would preserve the special interest of the listed building while</w:t>
      </w:r>
      <w:r w:rsidR="00CA7575" w:rsidRPr="00CA7575">
        <w:rPr>
          <w:rFonts w:ascii="Arial" w:eastAsia="Times New Roman" w:hAnsi="Arial" w:cs="Arial"/>
          <w:color w:val="000000" w:themeColor="text1"/>
          <w:kern w:val="0"/>
          <w:sz w:val="22"/>
          <w:szCs w:val="22"/>
          <w:lang w:eastAsia="en-GB"/>
          <w14:ligatures w14:val="none"/>
        </w:rPr>
        <w:t xml:space="preserve"> maintaining its vernacular character and proportion within the roofscape.</w:t>
      </w:r>
      <w:r w:rsidR="00093D2A">
        <w:rPr>
          <w:rFonts w:ascii="Arial" w:eastAsia="Times New Roman" w:hAnsi="Arial" w:cs="Arial"/>
          <w:color w:val="000000" w:themeColor="text1"/>
          <w:kern w:val="0"/>
          <w:sz w:val="22"/>
          <w:szCs w:val="22"/>
          <w:lang w:eastAsia="en-GB"/>
          <w14:ligatures w14:val="none"/>
        </w:rPr>
        <w:t xml:space="preserve"> </w:t>
      </w:r>
      <w:r w:rsidR="00093D2A" w:rsidRPr="00093D2A">
        <w:rPr>
          <w:rFonts w:ascii="Arial" w:eastAsia="Times New Roman" w:hAnsi="Arial" w:cs="Arial"/>
          <w:color w:val="000000" w:themeColor="text1"/>
          <w:kern w:val="0"/>
          <w:sz w:val="22"/>
          <w:szCs w:val="22"/>
          <w:lang w:eastAsia="en-GB"/>
          <w14:ligatures w14:val="none"/>
        </w:rPr>
        <w:t>The proposed alteration is limited to a modest increase in chimney height which, following amendments, has been reduced to a scale considered acceptable. It would remain proportionate to the building and reflective of traditional chimney forms within the locality.</w:t>
      </w:r>
      <w:r w:rsidR="00BF7925">
        <w:rPr>
          <w:rFonts w:ascii="Arial" w:eastAsia="Times New Roman" w:hAnsi="Arial" w:cs="Arial"/>
          <w:color w:val="000000" w:themeColor="text1"/>
          <w:kern w:val="0"/>
          <w:sz w:val="22"/>
          <w:szCs w:val="22"/>
          <w:lang w:eastAsia="en-GB"/>
          <w14:ligatures w14:val="none"/>
        </w:rPr>
        <w:t xml:space="preserve"> </w:t>
      </w:r>
      <w:r w:rsidR="00BF7925" w:rsidRPr="00BF7925">
        <w:rPr>
          <w:rFonts w:ascii="Arial" w:eastAsia="Times New Roman" w:hAnsi="Arial" w:cs="Arial"/>
          <w:color w:val="000000" w:themeColor="text1"/>
          <w:kern w:val="0"/>
          <w:sz w:val="22"/>
          <w:szCs w:val="22"/>
          <w:lang w:eastAsia="en-GB"/>
          <w14:ligatures w14:val="none"/>
        </w:rPr>
        <w:t xml:space="preserve">The resulting chimney height is considered to strike an appropriate balance between functional requirements and the building’s historic </w:t>
      </w:r>
      <w:r w:rsidR="00F6612B" w:rsidRPr="00BF7925">
        <w:rPr>
          <w:rFonts w:ascii="Arial" w:eastAsia="Times New Roman" w:hAnsi="Arial" w:cs="Arial"/>
          <w:color w:val="000000" w:themeColor="text1"/>
          <w:kern w:val="0"/>
          <w:sz w:val="22"/>
          <w:szCs w:val="22"/>
          <w:lang w:eastAsia="en-GB"/>
          <w14:ligatures w14:val="none"/>
        </w:rPr>
        <w:t>proportions and</w:t>
      </w:r>
      <w:r w:rsidR="00BF7925" w:rsidRPr="00BF7925">
        <w:rPr>
          <w:rFonts w:ascii="Arial" w:eastAsia="Times New Roman" w:hAnsi="Arial" w:cs="Arial"/>
          <w:color w:val="000000" w:themeColor="text1"/>
          <w:kern w:val="0"/>
          <w:sz w:val="22"/>
          <w:szCs w:val="22"/>
          <w:lang w:eastAsia="en-GB"/>
          <w14:ligatures w14:val="none"/>
        </w:rPr>
        <w:t xml:space="preserve"> would not appear overly dominant or incongruous within the roofscape.</w:t>
      </w:r>
    </w:p>
    <w:p w14:paraId="6361437C" w14:textId="77777777" w:rsidR="004D26D3" w:rsidRDefault="004D26D3" w:rsidP="004D26D3">
      <w:pPr>
        <w:spacing w:after="0" w:line="276" w:lineRule="auto"/>
        <w:jc w:val="both"/>
        <w:rPr>
          <w:rFonts w:ascii="Arial" w:hAnsi="Arial" w:cs="Arial"/>
          <w:color w:val="000000" w:themeColor="text1"/>
          <w:sz w:val="22"/>
          <w:szCs w:val="22"/>
        </w:rPr>
      </w:pPr>
    </w:p>
    <w:p w14:paraId="2566E489" w14:textId="6AB3FEA7" w:rsidR="004D26D3" w:rsidRDefault="004D26D3" w:rsidP="004D26D3">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w:t>
      </w:r>
      <w:r w:rsidRPr="004D26D3">
        <w:rPr>
          <w:rFonts w:ascii="Arial" w:eastAsia="Times New Roman" w:hAnsi="Arial" w:cs="Arial"/>
          <w:color w:val="000000" w:themeColor="text1"/>
          <w:kern w:val="0"/>
          <w:sz w:val="22"/>
          <w:szCs w:val="22"/>
          <w:lang w:eastAsia="en-GB"/>
          <w14:ligatures w14:val="none"/>
        </w:rPr>
        <w:t xml:space="preserve">the character and appearance of the conservation area and setting of the listed building. </w:t>
      </w:r>
      <w:r w:rsidRPr="006705B5">
        <w:rPr>
          <w:rFonts w:ascii="Arial" w:eastAsia="Times New Roman" w:hAnsi="Arial" w:cs="Arial"/>
          <w:color w:val="000000" w:themeColor="text1"/>
          <w:kern w:val="0"/>
          <w:sz w:val="22"/>
          <w:szCs w:val="22"/>
          <w:lang w:eastAsia="en-GB"/>
          <w14:ligatures w14:val="none"/>
        </w:rPr>
        <w:t>It would not result in harm to the significance of any heritage assets, and no objections have been raised by the Conservation Officer.</w:t>
      </w:r>
      <w:r w:rsidR="00B56833">
        <w:rPr>
          <w:rFonts w:ascii="Arial" w:eastAsia="Times New Roman" w:hAnsi="Arial" w:cs="Arial"/>
          <w:color w:val="000000" w:themeColor="text1"/>
          <w:kern w:val="0"/>
          <w:sz w:val="22"/>
          <w:szCs w:val="22"/>
          <w:lang w:eastAsia="en-GB"/>
          <w14:ligatures w14:val="none"/>
        </w:rPr>
        <w:t xml:space="preserve"> </w:t>
      </w:r>
      <w:r w:rsidR="00B56833" w:rsidRPr="00B56833">
        <w:rPr>
          <w:rFonts w:ascii="Arial" w:eastAsia="Times New Roman" w:hAnsi="Arial" w:cs="Arial"/>
          <w:color w:val="000000" w:themeColor="text1"/>
          <w:kern w:val="0"/>
          <w:sz w:val="22"/>
          <w:szCs w:val="22"/>
          <w:lang w:eastAsia="en-GB"/>
          <w14:ligatures w14:val="none"/>
        </w:rPr>
        <w:t>In addition, the repair of the chimney represents a modest heritage benefit through the maintenance of historic fabric.</w:t>
      </w:r>
    </w:p>
    <w:p w14:paraId="775A123D" w14:textId="77777777" w:rsidR="004D26D3" w:rsidRPr="006705B5" w:rsidRDefault="004D26D3" w:rsidP="004D26D3">
      <w:pPr>
        <w:spacing w:after="0" w:line="276" w:lineRule="auto"/>
        <w:jc w:val="both"/>
        <w:rPr>
          <w:rFonts w:ascii="Arial" w:eastAsia="Times New Roman" w:hAnsi="Arial" w:cs="Arial"/>
          <w:color w:val="000000" w:themeColor="text1"/>
          <w:kern w:val="0"/>
          <w:sz w:val="22"/>
          <w:szCs w:val="22"/>
          <w:lang w:eastAsia="en-GB"/>
          <w14:ligatures w14:val="none"/>
        </w:rPr>
      </w:pPr>
    </w:p>
    <w:p w14:paraId="557AB062" w14:textId="77777777" w:rsidR="004D26D3" w:rsidRPr="00A050F1" w:rsidRDefault="004D26D3" w:rsidP="004D26D3">
      <w:pPr>
        <w:spacing w:after="0" w:line="276" w:lineRule="auto"/>
        <w:jc w:val="both"/>
        <w:rPr>
          <w:rFonts w:ascii="Arial" w:hAnsi="Arial" w:cs="Arial"/>
          <w:color w:val="000000" w:themeColor="text1"/>
          <w:sz w:val="22"/>
          <w:szCs w:val="22"/>
        </w:rPr>
      </w:pPr>
      <w:r w:rsidRPr="006705B5">
        <w:rPr>
          <w:rFonts w:ascii="Arial" w:eastAsia="Times New Roman" w:hAnsi="Arial" w:cs="Arial"/>
          <w:color w:val="000000" w:themeColor="text1"/>
          <w:kern w:val="0"/>
          <w:sz w:val="22"/>
          <w:szCs w:val="22"/>
          <w:lang w:eastAsia="en-GB"/>
          <w14:ligatures w14:val="none"/>
        </w:rPr>
        <w:lastRenderedPageBreak/>
        <w:t>The development is therefore considered to comply with Core Polic</w:t>
      </w:r>
      <w:r>
        <w:rPr>
          <w:rFonts w:ascii="Arial" w:eastAsia="Times New Roman" w:hAnsi="Arial" w:cs="Arial"/>
          <w:color w:val="000000" w:themeColor="text1"/>
          <w:kern w:val="0"/>
          <w:sz w:val="22"/>
          <w:szCs w:val="22"/>
          <w:lang w:eastAsia="en-GB"/>
          <w14:ligatures w14:val="none"/>
        </w:rPr>
        <w:t>ies 57 and</w:t>
      </w:r>
      <w:r w:rsidRPr="006705B5">
        <w:rPr>
          <w:rFonts w:ascii="Arial" w:eastAsia="Times New Roman" w:hAnsi="Arial" w:cs="Arial"/>
          <w:color w:val="000000" w:themeColor="text1"/>
          <w:kern w:val="0"/>
          <w:sz w:val="22"/>
          <w:szCs w:val="22"/>
          <w:lang w:eastAsia="en-GB"/>
          <w14:ligatures w14:val="none"/>
        </w:rPr>
        <w:t xml:space="preserve"> 58 of the Wiltshire Core Strategy and Sections 66 and 72 of the Planning (Listed Buildings and Conservation Areas) Act 1990, as well as the relevant provisions of the NPPF</w:t>
      </w:r>
      <w:r>
        <w:rPr>
          <w:rFonts w:ascii="Arial" w:eastAsia="Times New Roman" w:hAnsi="Arial" w:cs="Arial"/>
          <w:color w:val="000000" w:themeColor="text1"/>
          <w:kern w:val="0"/>
          <w:sz w:val="22"/>
          <w:szCs w:val="22"/>
          <w:lang w:eastAsia="en-GB"/>
          <w14:ligatures w14:val="none"/>
        </w:rPr>
        <w:t xml:space="preserve"> and</w:t>
      </w:r>
      <w:r>
        <w:rPr>
          <w:rFonts w:ascii="Arial" w:hAnsi="Arial" w:cs="Arial"/>
          <w:color w:val="000000" w:themeColor="text1"/>
          <w:sz w:val="22"/>
          <w:szCs w:val="22"/>
        </w:rPr>
        <w:t xml:space="preserve"> Appendix D of the Wiltshire Design Guide</w:t>
      </w:r>
      <w:r w:rsidRPr="00A050F1">
        <w:rPr>
          <w:rFonts w:ascii="Arial" w:hAnsi="Arial" w:cs="Arial"/>
          <w:color w:val="000000" w:themeColor="text1"/>
          <w:sz w:val="22"/>
          <w:szCs w:val="22"/>
        </w:rPr>
        <w:t>.</w:t>
      </w:r>
    </w:p>
    <w:p w14:paraId="7EA4EF87" w14:textId="77777777" w:rsidR="00A050F1" w:rsidRDefault="00A050F1" w:rsidP="00A050F1">
      <w:pPr>
        <w:spacing w:after="0" w:line="276" w:lineRule="auto"/>
        <w:jc w:val="both"/>
        <w:rPr>
          <w:rFonts w:ascii="Arial" w:hAnsi="Arial" w:cs="Arial"/>
          <w:b/>
          <w:bCs/>
          <w:i/>
          <w:iCs/>
          <w:color w:val="FF0000"/>
          <w:sz w:val="22"/>
          <w:szCs w:val="22"/>
        </w:rPr>
      </w:pPr>
    </w:p>
    <w:p w14:paraId="188606FB"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8C68540"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22F2DFB0"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A7C2AF1" w14:textId="77777777" w:rsidR="00393433" w:rsidRDefault="00393433" w:rsidP="00A050F1">
      <w:pPr>
        <w:spacing w:after="0" w:line="276" w:lineRule="auto"/>
        <w:jc w:val="both"/>
        <w:rPr>
          <w:rFonts w:ascii="Arial" w:hAnsi="Arial" w:cs="Arial"/>
          <w:color w:val="000000" w:themeColor="text1"/>
          <w:sz w:val="22"/>
          <w:szCs w:val="22"/>
        </w:rPr>
      </w:pPr>
    </w:p>
    <w:p w14:paraId="68884EBE"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5041BE24" w14:textId="77777777" w:rsidR="00400FB2" w:rsidRDefault="00400FB2" w:rsidP="00A050F1">
      <w:pPr>
        <w:spacing w:after="0" w:line="276" w:lineRule="auto"/>
        <w:jc w:val="both"/>
        <w:rPr>
          <w:rFonts w:ascii="Arial" w:hAnsi="Arial" w:cs="Arial"/>
          <w:color w:val="000000" w:themeColor="text1"/>
          <w:sz w:val="22"/>
          <w:szCs w:val="22"/>
        </w:rPr>
      </w:pPr>
    </w:p>
    <w:p w14:paraId="0528533B"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770DC457" w14:textId="77777777" w:rsidR="00DB13C3" w:rsidRDefault="00DB13C3" w:rsidP="00DB13C3">
      <w:pPr>
        <w:spacing w:after="0" w:line="276" w:lineRule="auto"/>
        <w:jc w:val="both"/>
        <w:rPr>
          <w:rFonts w:ascii="Arial" w:hAnsi="Arial" w:cs="Arial"/>
          <w:i/>
          <w:iCs/>
          <w:color w:val="000000" w:themeColor="text1"/>
          <w:sz w:val="22"/>
          <w:szCs w:val="22"/>
        </w:rPr>
      </w:pPr>
    </w:p>
    <w:p w14:paraId="5B6A0865" w14:textId="468A9D55" w:rsidR="00DB13C3" w:rsidRPr="004D26D3" w:rsidRDefault="00FD6E81" w:rsidP="00DB13C3">
      <w:pPr>
        <w:spacing w:after="0" w:line="276" w:lineRule="auto"/>
        <w:jc w:val="both"/>
        <w:rPr>
          <w:rFonts w:ascii="Arial" w:hAnsi="Arial" w:cs="Arial"/>
          <w:color w:val="ED0000"/>
          <w:sz w:val="22"/>
          <w:szCs w:val="22"/>
        </w:rPr>
      </w:pPr>
      <w:r w:rsidRPr="004D26D3">
        <w:rPr>
          <w:rFonts w:ascii="Arial" w:hAnsi="Arial" w:cs="Arial"/>
          <w:color w:val="000000" w:themeColor="text1"/>
          <w:sz w:val="22"/>
          <w:szCs w:val="22"/>
        </w:rPr>
        <w:t xml:space="preserve">Due to the proposal’s nature as the raising of a chimney stack, there is no risk of any overlooking occurring as a result of the proposed works. The </w:t>
      </w:r>
      <w:r w:rsidR="004D26D3" w:rsidRPr="004D26D3">
        <w:rPr>
          <w:rFonts w:ascii="Arial" w:hAnsi="Arial" w:cs="Arial"/>
          <w:color w:val="000000" w:themeColor="text1"/>
          <w:sz w:val="22"/>
          <w:szCs w:val="22"/>
        </w:rPr>
        <w:t>amount of additional built form would be minor and would also not result in any adverse overshadowing or overbearing impact.</w:t>
      </w:r>
    </w:p>
    <w:p w14:paraId="0DD0F5EB" w14:textId="77777777" w:rsidR="00DB13C3" w:rsidRPr="00A050F1" w:rsidRDefault="00DB13C3" w:rsidP="00DB13C3">
      <w:pPr>
        <w:spacing w:after="0" w:line="276" w:lineRule="auto"/>
        <w:jc w:val="both"/>
        <w:rPr>
          <w:rFonts w:ascii="Arial" w:hAnsi="Arial" w:cs="Arial"/>
          <w:color w:val="000000" w:themeColor="text1"/>
          <w:sz w:val="22"/>
          <w:szCs w:val="22"/>
        </w:rPr>
      </w:pPr>
    </w:p>
    <w:p w14:paraId="2476E914" w14:textId="77777777" w:rsidR="00DB13C3"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1F07BC08" w14:textId="77777777" w:rsidR="00C15BEF" w:rsidRDefault="00C15BEF"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6BDA691" w14:textId="4544CC23"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02BF736F" w14:textId="77777777" w:rsidR="00FD6E81" w:rsidRPr="00F40F2D" w:rsidRDefault="00FD6E8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4AC0714"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3698749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1BD9508"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sidR="00A8272D">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310B1505"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3FF00F1" w14:textId="77777777" w:rsidR="00245BDC" w:rsidRDefault="00245BDC" w:rsidP="00245BDC">
      <w:pPr>
        <w:spacing w:after="0" w:line="276" w:lineRule="auto"/>
        <w:jc w:val="both"/>
        <w:rPr>
          <w:rFonts w:ascii="Arial" w:eastAsia="Times New Roman" w:hAnsi="Arial" w:cs="Arial"/>
          <w:color w:val="000000" w:themeColor="text1"/>
          <w:kern w:val="0"/>
          <w:sz w:val="22"/>
          <w:szCs w:val="22"/>
          <w:lang w:eastAsia="en-GB"/>
          <w14:ligatures w14:val="none"/>
        </w:rPr>
      </w:pPr>
      <w:r w:rsidRPr="00245BDC">
        <w:rPr>
          <w:rFonts w:ascii="Arial" w:eastAsia="Times New Roman" w:hAnsi="Arial" w:cs="Arial"/>
          <w:color w:val="000000" w:themeColor="text1"/>
          <w:kern w:val="0"/>
          <w:sz w:val="22"/>
          <w:szCs w:val="22"/>
          <w:lang w:eastAsia="en-GB"/>
          <w14:ligatures w14:val="none"/>
        </w:rPr>
        <w:t>The site lies within the North Wessex Downs National Landscape, where great weight should be given to conserving and enhancing landscape and scenic beauty.</w:t>
      </w:r>
    </w:p>
    <w:p w14:paraId="6FEFB25C" w14:textId="77777777" w:rsidR="00245BDC" w:rsidRPr="00245BDC" w:rsidRDefault="00245BDC" w:rsidP="00245BDC">
      <w:pPr>
        <w:spacing w:after="0" w:line="276" w:lineRule="auto"/>
        <w:jc w:val="both"/>
        <w:rPr>
          <w:rFonts w:ascii="Arial" w:eastAsia="Times New Roman" w:hAnsi="Arial" w:cs="Arial"/>
          <w:color w:val="000000" w:themeColor="text1"/>
          <w:kern w:val="0"/>
          <w:sz w:val="22"/>
          <w:szCs w:val="22"/>
          <w:lang w:eastAsia="en-GB"/>
          <w14:ligatures w14:val="none"/>
        </w:rPr>
      </w:pPr>
    </w:p>
    <w:p w14:paraId="18D41AC2" w14:textId="77777777" w:rsidR="00245BDC" w:rsidRPr="00245BDC" w:rsidRDefault="00245BDC" w:rsidP="00245BDC">
      <w:pPr>
        <w:spacing w:after="0" w:line="276" w:lineRule="auto"/>
        <w:jc w:val="both"/>
        <w:rPr>
          <w:rFonts w:ascii="Arial" w:eastAsia="Times New Roman" w:hAnsi="Arial" w:cs="Arial"/>
          <w:color w:val="000000" w:themeColor="text1"/>
          <w:kern w:val="0"/>
          <w:sz w:val="22"/>
          <w:szCs w:val="22"/>
          <w:lang w:eastAsia="en-GB"/>
          <w14:ligatures w14:val="none"/>
        </w:rPr>
      </w:pPr>
      <w:r w:rsidRPr="00245BDC">
        <w:rPr>
          <w:rFonts w:ascii="Arial" w:eastAsia="Times New Roman" w:hAnsi="Arial" w:cs="Arial"/>
          <w:color w:val="000000" w:themeColor="text1"/>
          <w:kern w:val="0"/>
          <w:sz w:val="22"/>
          <w:szCs w:val="22"/>
          <w:lang w:eastAsia="en-GB"/>
          <w14:ligatures w14:val="none"/>
        </w:rPr>
        <w:t>The proposal relates to a minor increase in the height of an existing chimney stack and would not result in any material change to landscape character, views, or the wider setting of the settlement. The development would therefore conserve the special qualities of the National Landscape and accords with Core Policy 51 of the Wiltshire Core Strategy.</w:t>
      </w:r>
    </w:p>
    <w:p w14:paraId="5A93DCCC"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353FC85"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80B4B03"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A332D4E" w14:textId="744AD64F" w:rsidR="002C5B77" w:rsidRPr="002B796C"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485E0411"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9CEEE3F"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296BA34"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AC59D34" w14:textId="5827C772" w:rsidR="00956864" w:rsidRPr="00956864" w:rsidRDefault="007D4B14" w:rsidP="0095686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character of the locality, the amenities of neighbouring occupiers, </w:t>
      </w:r>
      <w:r w:rsidR="00956864" w:rsidRPr="00956864">
        <w:rPr>
          <w:rFonts w:ascii="Arial" w:eastAsia="Times New Roman" w:hAnsi="Arial" w:cs="Arial"/>
          <w:color w:val="000000" w:themeColor="text1"/>
          <w:kern w:val="0"/>
          <w:sz w:val="22"/>
          <w:szCs w:val="22"/>
          <w:lang w:eastAsia="en-GB"/>
          <w14:ligatures w14:val="none"/>
        </w:rPr>
        <w:t xml:space="preserve">or the interests of heritage </w:t>
      </w:r>
      <w:r w:rsidR="00956864">
        <w:rPr>
          <w:rFonts w:ascii="Arial" w:eastAsia="Times New Roman" w:hAnsi="Arial" w:cs="Arial"/>
          <w:color w:val="000000" w:themeColor="text1"/>
          <w:kern w:val="0"/>
          <w:sz w:val="22"/>
          <w:szCs w:val="22"/>
          <w:lang w:eastAsia="en-GB"/>
          <w14:ligatures w14:val="none"/>
        </w:rPr>
        <w:t>assets.</w:t>
      </w:r>
    </w:p>
    <w:p w14:paraId="0D533481" w14:textId="7A2CA8A2"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3D085B4" w14:textId="77777777" w:rsidR="00E90F79" w:rsidRPr="00E90F79" w:rsidRDefault="00E90F79" w:rsidP="00E90F79">
      <w:pPr>
        <w:spacing w:after="0" w:line="276" w:lineRule="auto"/>
        <w:jc w:val="both"/>
        <w:rPr>
          <w:rFonts w:ascii="Arial" w:eastAsia="Times New Roman" w:hAnsi="Arial" w:cs="Arial"/>
          <w:color w:val="000000" w:themeColor="text1"/>
          <w:kern w:val="0"/>
          <w:sz w:val="22"/>
          <w:szCs w:val="22"/>
          <w:lang w:eastAsia="en-GB"/>
          <w14:ligatures w14:val="none"/>
        </w:rPr>
      </w:pPr>
      <w:r w:rsidRPr="00E90F79">
        <w:rPr>
          <w:rFonts w:ascii="Arial" w:eastAsia="Times New Roman" w:hAnsi="Arial" w:cs="Arial"/>
          <w:color w:val="000000" w:themeColor="text1"/>
          <w:kern w:val="0"/>
          <w:sz w:val="22"/>
          <w:szCs w:val="22"/>
          <w:lang w:eastAsia="en-GB"/>
          <w14:ligatures w14:val="none"/>
        </w:rPr>
        <w:t>The development therefore complies with Core Policies 57 and 58 of the Wiltshire Core Strategy, and no other material considerations weigh against the proposal. Planning permission is therefore recommended for approval, subject to conditions.</w:t>
      </w:r>
    </w:p>
    <w:p w14:paraId="66CFB556"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6BA39124" w14:textId="5987035B" w:rsidR="009B7AD7" w:rsidRPr="00FD6E81"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7D040F0E"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3D2A"/>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8298F"/>
    <w:rsid w:val="001A4142"/>
    <w:rsid w:val="001A5C04"/>
    <w:rsid w:val="001A6E40"/>
    <w:rsid w:val="001B34A3"/>
    <w:rsid w:val="001B66C2"/>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5BDC"/>
    <w:rsid w:val="00247CD5"/>
    <w:rsid w:val="00276C28"/>
    <w:rsid w:val="00284692"/>
    <w:rsid w:val="00296162"/>
    <w:rsid w:val="002B3C19"/>
    <w:rsid w:val="002B67AF"/>
    <w:rsid w:val="002B7220"/>
    <w:rsid w:val="002B796C"/>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B7DB7"/>
    <w:rsid w:val="003C7574"/>
    <w:rsid w:val="003D2334"/>
    <w:rsid w:val="003E08E2"/>
    <w:rsid w:val="003E2BA9"/>
    <w:rsid w:val="003E55AE"/>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B52D5"/>
    <w:rsid w:val="004D26D3"/>
    <w:rsid w:val="004D3857"/>
    <w:rsid w:val="004D3BA9"/>
    <w:rsid w:val="004D6FDE"/>
    <w:rsid w:val="004E7970"/>
    <w:rsid w:val="004F635C"/>
    <w:rsid w:val="004F65E7"/>
    <w:rsid w:val="00515980"/>
    <w:rsid w:val="0051645C"/>
    <w:rsid w:val="0052069C"/>
    <w:rsid w:val="00520E30"/>
    <w:rsid w:val="0054068B"/>
    <w:rsid w:val="00540D13"/>
    <w:rsid w:val="00550749"/>
    <w:rsid w:val="005542CC"/>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5E3A1C"/>
    <w:rsid w:val="005F1F6F"/>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6E3D1B"/>
    <w:rsid w:val="00711058"/>
    <w:rsid w:val="00714FE5"/>
    <w:rsid w:val="00715057"/>
    <w:rsid w:val="007235F5"/>
    <w:rsid w:val="00742C35"/>
    <w:rsid w:val="00743A84"/>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E610B"/>
    <w:rsid w:val="007F3ABA"/>
    <w:rsid w:val="00802C50"/>
    <w:rsid w:val="00804B24"/>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A27"/>
    <w:rsid w:val="008B1C0A"/>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44933"/>
    <w:rsid w:val="00956864"/>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63A4"/>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272D"/>
    <w:rsid w:val="00A85226"/>
    <w:rsid w:val="00AB52C2"/>
    <w:rsid w:val="00AC01A4"/>
    <w:rsid w:val="00AC2F6D"/>
    <w:rsid w:val="00AD2BC0"/>
    <w:rsid w:val="00AD39FA"/>
    <w:rsid w:val="00AE028B"/>
    <w:rsid w:val="00AE04FE"/>
    <w:rsid w:val="00AF2650"/>
    <w:rsid w:val="00AF2AF9"/>
    <w:rsid w:val="00B01936"/>
    <w:rsid w:val="00B111D2"/>
    <w:rsid w:val="00B16D71"/>
    <w:rsid w:val="00B1710B"/>
    <w:rsid w:val="00B3075F"/>
    <w:rsid w:val="00B44C99"/>
    <w:rsid w:val="00B44EC9"/>
    <w:rsid w:val="00B54DA2"/>
    <w:rsid w:val="00B5616A"/>
    <w:rsid w:val="00B56833"/>
    <w:rsid w:val="00B633AB"/>
    <w:rsid w:val="00B71530"/>
    <w:rsid w:val="00B71D0E"/>
    <w:rsid w:val="00B7214D"/>
    <w:rsid w:val="00B82691"/>
    <w:rsid w:val="00B915D4"/>
    <w:rsid w:val="00BA2753"/>
    <w:rsid w:val="00BB5ECE"/>
    <w:rsid w:val="00BB7690"/>
    <w:rsid w:val="00BD6B4D"/>
    <w:rsid w:val="00BE579C"/>
    <w:rsid w:val="00BE5F7B"/>
    <w:rsid w:val="00BF1DB2"/>
    <w:rsid w:val="00BF520E"/>
    <w:rsid w:val="00BF7456"/>
    <w:rsid w:val="00BF7925"/>
    <w:rsid w:val="00C03688"/>
    <w:rsid w:val="00C073BA"/>
    <w:rsid w:val="00C1522E"/>
    <w:rsid w:val="00C15BEF"/>
    <w:rsid w:val="00C17F4F"/>
    <w:rsid w:val="00C21B1F"/>
    <w:rsid w:val="00C224C6"/>
    <w:rsid w:val="00C261CE"/>
    <w:rsid w:val="00C27C39"/>
    <w:rsid w:val="00C318BF"/>
    <w:rsid w:val="00C326D3"/>
    <w:rsid w:val="00C35340"/>
    <w:rsid w:val="00C37EDD"/>
    <w:rsid w:val="00C40230"/>
    <w:rsid w:val="00C43BC6"/>
    <w:rsid w:val="00C44C6D"/>
    <w:rsid w:val="00C45665"/>
    <w:rsid w:val="00C508EE"/>
    <w:rsid w:val="00C53148"/>
    <w:rsid w:val="00C575A0"/>
    <w:rsid w:val="00C66E1F"/>
    <w:rsid w:val="00C73630"/>
    <w:rsid w:val="00C760C4"/>
    <w:rsid w:val="00C81A53"/>
    <w:rsid w:val="00C8654A"/>
    <w:rsid w:val="00C86A61"/>
    <w:rsid w:val="00CA3A97"/>
    <w:rsid w:val="00CA7575"/>
    <w:rsid w:val="00CB6B3B"/>
    <w:rsid w:val="00CC2D1E"/>
    <w:rsid w:val="00CC51B9"/>
    <w:rsid w:val="00CC552A"/>
    <w:rsid w:val="00CC57A0"/>
    <w:rsid w:val="00CC5ABF"/>
    <w:rsid w:val="00CD3C78"/>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90A3F"/>
    <w:rsid w:val="00E90F79"/>
    <w:rsid w:val="00E95266"/>
    <w:rsid w:val="00E977C4"/>
    <w:rsid w:val="00EA48DC"/>
    <w:rsid w:val="00EB421A"/>
    <w:rsid w:val="00EC2E4E"/>
    <w:rsid w:val="00EC4E9E"/>
    <w:rsid w:val="00EC7F2F"/>
    <w:rsid w:val="00EE3520"/>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50FCC"/>
    <w:rsid w:val="00F6612B"/>
    <w:rsid w:val="00F7017C"/>
    <w:rsid w:val="00F7609E"/>
    <w:rsid w:val="00F77540"/>
    <w:rsid w:val="00F80FE0"/>
    <w:rsid w:val="00F8482E"/>
    <w:rsid w:val="00F85D5A"/>
    <w:rsid w:val="00F86303"/>
    <w:rsid w:val="00F9178A"/>
    <w:rsid w:val="00F932D6"/>
    <w:rsid w:val="00FA3D27"/>
    <w:rsid w:val="00FA3DF1"/>
    <w:rsid w:val="00FA5EC3"/>
    <w:rsid w:val="00FB193A"/>
    <w:rsid w:val="00FC07FD"/>
    <w:rsid w:val="00FD0031"/>
    <w:rsid w:val="00FD61A0"/>
    <w:rsid w:val="00FD6E81"/>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47081"/>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1613</TotalTime>
  <Pages>5</Pages>
  <Words>1508</Words>
  <Characters>8672</Characters>
  <Application>Microsoft Office Word</Application>
  <DocSecurity>0</DocSecurity>
  <Lines>222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salesforceId:3558d73e-4ffe-491c-8a3a-5f1e3d631ce7</dc:subject>
  <dc:creator>O'Donoghue, Ruaridh</dc:creator>
  <cp:keywords/>
  <dc:description/>
  <cp:lastModifiedBy>Leesam, Joe</cp:lastModifiedBy>
  <cp:revision>42</cp:revision>
  <dcterms:created xsi:type="dcterms:W3CDTF">2026-07-13T09:31:00Z</dcterms:created>
  <dcterms:modified xsi:type="dcterms:W3CDTF">2026-07-14T12:25:00Z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069Q300000RVeBNIA1</vt:lpwstr>
  </property>
</Properties>
</file>