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6186D">
      <w:pPr>
        <w:rPr>
          <w:lang w:eastAsia="en-GB"/>
        </w:rPr>
      </w:pPr>
      <w:r w:rsidRPr="00097010">
        <w:rPr>
          <w:lang w:eastAsia="en-GB"/>
        </w:rPr>
        <w:t xml:space="preserve">APPLICATION FOR </w:t>
      </w:r>
      <w:r w:rsidR="00C5188C">
        <w:rPr>
          <w:lang w:eastAsia="en-GB"/>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197AE94F"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PL/2026/00821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244140C2"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0E3FAF2" w:rsidR="00097010" w:rsidRPr="009F2ED4" w:rsidRDefault="0083646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Chantry Cottage, 61, Easton Royal, Pewsey, SN9 5LS</w:t>
            </w:r>
          </w:p>
        </w:tc>
      </w:tr>
      <w:tr w:rsidR="00097010" w14:paraId="7161F1D0" w14:textId="77777777" w:rsidTr="00683C17">
        <w:tc>
          <w:tcPr>
            <w:tcW w:w="3681" w:type="dxa"/>
          </w:tcPr>
          <w:p w14:paraId="686BC2D6" w14:textId="4074BD94"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1E7B04" w14:textId="1E7271AA" w:rsidR="00097010" w:rsidRPr="009F2ED4" w:rsidRDefault="00D80E90"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Repairs to and raising of existing chimney</w:t>
            </w:r>
            <w:r>
              <w:rPr>
                <w:rFonts w:ascii="Arial" w:eastAsia="Times New Roman" w:hAnsi="Arial" w:cs="Arial"/>
                <w:kern w:val="0"/>
                <w:sz w:val="22"/>
                <w:szCs w:val="22"/>
                <w:lang w:eastAsia="en-GB"/>
                <w14:ligatures w14:val="none"/>
              </w:rPr>
              <w:t>.</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0B23C57C"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3737800C" w14:textId="2DAB518F"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application site comprises a two-storey </w:t>
      </w:r>
      <w:r w:rsidR="00CD031C" w:rsidRPr="00E97514">
        <w:rPr>
          <w:rFonts w:ascii="Arial" w:eastAsia="Times New Roman" w:hAnsi="Arial" w:cs="Arial"/>
          <w:kern w:val="0"/>
          <w:sz w:val="22"/>
          <w:szCs w:val="22"/>
          <w:lang w:eastAsia="en-GB"/>
          <w14:ligatures w14:val="none"/>
        </w:rPr>
        <w:t>thatched house</w:t>
      </w:r>
      <w:r w:rsidRPr="00E97514">
        <w:rPr>
          <w:rFonts w:ascii="Arial" w:eastAsia="Times New Roman" w:hAnsi="Arial" w:cs="Arial"/>
          <w:kern w:val="0"/>
          <w:sz w:val="22"/>
          <w:szCs w:val="22"/>
          <w:lang w:eastAsia="en-GB"/>
          <w14:ligatures w14:val="none"/>
        </w:rPr>
        <w:t xml:space="preserve"> known as</w:t>
      </w:r>
      <w:r w:rsidR="001C5D2B" w:rsidRPr="00E97514">
        <w:rPr>
          <w:rFonts w:ascii="Arial" w:eastAsia="Times New Roman" w:hAnsi="Arial" w:cs="Arial"/>
          <w:kern w:val="0"/>
          <w:sz w:val="22"/>
          <w:szCs w:val="22"/>
          <w:lang w:eastAsia="en-GB"/>
          <w14:ligatures w14:val="none"/>
        </w:rPr>
        <w:t xml:space="preserve"> </w:t>
      </w:r>
      <w:r w:rsidR="000C0C57">
        <w:rPr>
          <w:rFonts w:ascii="Arial" w:eastAsia="Times New Roman" w:hAnsi="Arial" w:cs="Arial"/>
          <w:kern w:val="0"/>
          <w:sz w:val="22"/>
          <w:szCs w:val="22"/>
          <w:lang w:eastAsia="en-GB"/>
          <w14:ligatures w14:val="none"/>
        </w:rPr>
        <w:t>Chantry Cottage</w:t>
      </w:r>
      <w:r w:rsidRPr="00E97514">
        <w:rPr>
          <w:rFonts w:ascii="Arial" w:eastAsia="Times New Roman" w:hAnsi="Arial" w:cs="Arial"/>
          <w:kern w:val="0"/>
          <w:sz w:val="22"/>
          <w:szCs w:val="22"/>
          <w:lang w:eastAsia="en-GB"/>
          <w14:ligatures w14:val="none"/>
        </w:rPr>
        <w:t>, which is a Grade II listed building</w:t>
      </w:r>
      <w:r w:rsidR="001C5D2B" w:rsidRPr="00E97514">
        <w:rPr>
          <w:rFonts w:ascii="Arial" w:eastAsia="Times New Roman" w:hAnsi="Arial" w:cs="Arial"/>
          <w:kern w:val="0"/>
          <w:sz w:val="22"/>
          <w:szCs w:val="22"/>
          <w:lang w:eastAsia="en-GB"/>
          <w14:ligatures w14:val="none"/>
        </w:rPr>
        <w:t xml:space="preserve"> (List Entry Number: </w:t>
      </w:r>
      <w:r w:rsidR="00D322EF" w:rsidRPr="00F8482E">
        <w:rPr>
          <w:rFonts w:ascii="Arial" w:eastAsia="Times New Roman" w:hAnsi="Arial" w:cs="Arial"/>
          <w:color w:val="000000" w:themeColor="text1"/>
          <w:kern w:val="0"/>
          <w:sz w:val="22"/>
          <w:szCs w:val="22"/>
          <w:lang w:eastAsia="en-GB"/>
          <w14:ligatures w14:val="none"/>
        </w:rPr>
        <w:t>1035984</w:t>
      </w:r>
      <w:r w:rsidR="00797BE5" w:rsidRPr="00E97514">
        <w:rPr>
          <w:rFonts w:ascii="Arial" w:eastAsia="Times New Roman" w:hAnsi="Arial" w:cs="Arial"/>
          <w:kern w:val="0"/>
          <w:sz w:val="22"/>
          <w:szCs w:val="22"/>
          <w:lang w:eastAsia="en-GB"/>
          <w14:ligatures w14:val="none"/>
        </w:rPr>
        <w:t>)</w:t>
      </w:r>
      <w:r w:rsidRPr="00E97514">
        <w:rPr>
          <w:rFonts w:ascii="Arial" w:eastAsia="Times New Roman" w:hAnsi="Arial" w:cs="Arial"/>
          <w:kern w:val="0"/>
          <w:sz w:val="22"/>
          <w:szCs w:val="22"/>
          <w:lang w:eastAsia="en-GB"/>
          <w14:ligatures w14:val="none"/>
        </w:rPr>
        <w:t>, located within the settlement of</w:t>
      </w:r>
      <w:r w:rsidR="001C5D2B" w:rsidRPr="00E97514">
        <w:rPr>
          <w:rFonts w:ascii="Arial" w:eastAsia="Times New Roman" w:hAnsi="Arial" w:cs="Arial"/>
          <w:kern w:val="0"/>
          <w:sz w:val="22"/>
          <w:szCs w:val="22"/>
          <w:lang w:eastAsia="en-GB"/>
          <w14:ligatures w14:val="none"/>
        </w:rPr>
        <w:t xml:space="preserve"> </w:t>
      </w:r>
      <w:r w:rsidR="00D80E90">
        <w:rPr>
          <w:rFonts w:ascii="Arial" w:eastAsia="Times New Roman" w:hAnsi="Arial" w:cs="Arial"/>
          <w:kern w:val="0"/>
          <w:sz w:val="22"/>
          <w:szCs w:val="22"/>
          <w:lang w:eastAsia="en-GB"/>
          <w14:ligatures w14:val="none"/>
        </w:rPr>
        <w:t>Easton Royal</w:t>
      </w:r>
      <w:r w:rsidRPr="00E97514">
        <w:rPr>
          <w:rFonts w:ascii="Arial" w:eastAsia="Times New Roman" w:hAnsi="Arial" w:cs="Arial"/>
          <w:kern w:val="0"/>
          <w:sz w:val="22"/>
          <w:szCs w:val="22"/>
          <w:lang w:eastAsia="en-GB"/>
          <w14:ligatures w14:val="none"/>
        </w:rPr>
        <w:t>. The building is designated for its special architectural and historic interest under the Planning (Listed Buildings and Conservation Areas) Act 1990.</w:t>
      </w:r>
    </w:p>
    <w:p w14:paraId="53F2D48B" w14:textId="77777777" w:rsidR="00707756" w:rsidRPr="00E97514" w:rsidRDefault="00707756" w:rsidP="00970F6B">
      <w:pPr>
        <w:spacing w:after="0" w:line="276" w:lineRule="auto"/>
        <w:jc w:val="both"/>
        <w:rPr>
          <w:rFonts w:ascii="Arial" w:eastAsia="Times New Roman" w:hAnsi="Arial" w:cs="Arial"/>
          <w:kern w:val="0"/>
          <w:sz w:val="22"/>
          <w:szCs w:val="22"/>
          <w:lang w:eastAsia="en-GB"/>
          <w14:ligatures w14:val="none"/>
        </w:rPr>
      </w:pPr>
    </w:p>
    <w:p w14:paraId="67382586" w14:textId="3D57C650"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site </w:t>
      </w:r>
      <w:r w:rsidR="0050253B" w:rsidRPr="00E97514">
        <w:rPr>
          <w:rFonts w:ascii="Arial" w:eastAsia="Times New Roman" w:hAnsi="Arial" w:cs="Arial"/>
          <w:kern w:val="0"/>
          <w:sz w:val="22"/>
          <w:szCs w:val="22"/>
          <w:lang w:eastAsia="en-GB"/>
          <w14:ligatures w14:val="none"/>
        </w:rPr>
        <w:t>lies</w:t>
      </w:r>
      <w:r w:rsidR="00797BE5" w:rsidRPr="00E97514">
        <w:rPr>
          <w:rFonts w:ascii="Arial" w:eastAsia="Times New Roman" w:hAnsi="Arial" w:cs="Arial"/>
          <w:kern w:val="0"/>
          <w:sz w:val="22"/>
          <w:szCs w:val="22"/>
          <w:lang w:eastAsia="en-GB"/>
          <w14:ligatures w14:val="none"/>
        </w:rPr>
        <w:t xml:space="preserve"> within the </w:t>
      </w:r>
      <w:r w:rsidR="00D80E90">
        <w:rPr>
          <w:rFonts w:ascii="Arial" w:eastAsia="Times New Roman" w:hAnsi="Arial" w:cs="Arial"/>
          <w:kern w:val="0"/>
          <w:sz w:val="22"/>
          <w:szCs w:val="22"/>
          <w:lang w:eastAsia="en-GB"/>
          <w14:ligatures w14:val="none"/>
        </w:rPr>
        <w:t>Easton Royal</w:t>
      </w:r>
      <w:r w:rsidR="0050253B" w:rsidRPr="00E97514">
        <w:rPr>
          <w:rFonts w:ascii="Arial" w:eastAsia="Times New Roman" w:hAnsi="Arial" w:cs="Arial"/>
          <w:kern w:val="0"/>
          <w:sz w:val="22"/>
          <w:szCs w:val="22"/>
          <w:lang w:eastAsia="en-GB"/>
          <w14:ligatures w14:val="none"/>
        </w:rPr>
        <w:t xml:space="preserve"> Conservation Area. </w:t>
      </w:r>
    </w:p>
    <w:p w14:paraId="013DE6B7" w14:textId="77777777" w:rsidR="00630588" w:rsidRPr="00E97514" w:rsidRDefault="00630588" w:rsidP="00970F6B">
      <w:pPr>
        <w:spacing w:after="0" w:line="276" w:lineRule="auto"/>
        <w:jc w:val="both"/>
        <w:rPr>
          <w:rFonts w:ascii="Arial" w:eastAsia="Times New Roman" w:hAnsi="Arial" w:cs="Arial"/>
          <w:kern w:val="0"/>
          <w:sz w:val="22"/>
          <w:szCs w:val="22"/>
          <w:lang w:eastAsia="en-GB"/>
          <w14:ligatures w14:val="none"/>
        </w:rPr>
      </w:pPr>
    </w:p>
    <w:p w14:paraId="0744CCDB" w14:textId="538B86CA" w:rsidR="00630588"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building exhibits </w:t>
      </w:r>
      <w:r w:rsidR="0050253B" w:rsidRPr="00E97514">
        <w:rPr>
          <w:rFonts w:ascii="Arial" w:eastAsia="Times New Roman" w:hAnsi="Arial" w:cs="Arial"/>
          <w:kern w:val="0"/>
          <w:sz w:val="22"/>
          <w:szCs w:val="22"/>
          <w:lang w:eastAsia="en-GB"/>
          <w14:ligatures w14:val="none"/>
        </w:rPr>
        <w:t xml:space="preserve">painted brick walls under a thatch </w:t>
      </w:r>
      <w:r w:rsidR="00E97514" w:rsidRPr="00E97514">
        <w:rPr>
          <w:rFonts w:ascii="Arial" w:eastAsia="Times New Roman" w:hAnsi="Arial" w:cs="Arial"/>
          <w:kern w:val="0"/>
          <w:sz w:val="22"/>
          <w:szCs w:val="22"/>
          <w:lang w:eastAsia="en-GB"/>
          <w14:ligatures w14:val="none"/>
        </w:rPr>
        <w:t>roof and</w:t>
      </w:r>
      <w:r w:rsidRPr="00E97514">
        <w:rPr>
          <w:rFonts w:ascii="Arial" w:eastAsia="Times New Roman" w:hAnsi="Arial" w:cs="Arial"/>
          <w:kern w:val="0"/>
          <w:sz w:val="22"/>
          <w:szCs w:val="22"/>
          <w:lang w:eastAsia="en-GB"/>
          <w14:ligatures w14:val="none"/>
        </w:rPr>
        <w:t xml:space="preserve"> retains features of special interest that contribute to its heritage significance. </w:t>
      </w:r>
      <w:r w:rsidR="0043114B" w:rsidRPr="0043114B">
        <w:rPr>
          <w:rFonts w:ascii="Arial" w:eastAsia="Times New Roman" w:hAnsi="Arial" w:cs="Arial"/>
          <w:kern w:val="0"/>
          <w:sz w:val="22"/>
          <w:szCs w:val="22"/>
          <w:lang w:eastAsia="en-GB"/>
          <w14:ligatures w14:val="none"/>
        </w:rPr>
        <w:t>The chimney stack forms part of the traditional roofscape of the building and contributes to its vernacular character and significance as a historic thatched cottage.</w:t>
      </w:r>
    </w:p>
    <w:p w14:paraId="561A8224" w14:textId="77777777" w:rsidR="002073DA" w:rsidRPr="00E97514" w:rsidRDefault="002073DA" w:rsidP="00970F6B">
      <w:pPr>
        <w:spacing w:after="0" w:line="276" w:lineRule="auto"/>
        <w:jc w:val="both"/>
        <w:rPr>
          <w:rFonts w:ascii="Arial" w:eastAsia="Times New Roman" w:hAnsi="Arial" w:cs="Arial"/>
          <w:kern w:val="0"/>
          <w:sz w:val="22"/>
          <w:szCs w:val="22"/>
          <w:lang w:eastAsia="en-GB"/>
          <w14:ligatures w14:val="none"/>
        </w:rPr>
      </w:pPr>
    </w:p>
    <w:p w14:paraId="73B178E6" w14:textId="19280444" w:rsidR="00970F6B" w:rsidRPr="00E97514" w:rsidRDefault="00970F6B" w:rsidP="00970F6B">
      <w:pPr>
        <w:spacing w:after="0" w:line="276" w:lineRule="auto"/>
        <w:jc w:val="both"/>
        <w:rPr>
          <w:rFonts w:ascii="Arial" w:eastAsia="Times New Roman" w:hAnsi="Arial" w:cs="Arial"/>
          <w:kern w:val="0"/>
          <w:sz w:val="22"/>
          <w:szCs w:val="22"/>
          <w:lang w:eastAsia="en-GB"/>
          <w14:ligatures w14:val="none"/>
        </w:rPr>
      </w:pPr>
      <w:r w:rsidRPr="00E97514">
        <w:rPr>
          <w:rFonts w:ascii="Arial" w:eastAsia="Times New Roman" w:hAnsi="Arial" w:cs="Arial"/>
          <w:kern w:val="0"/>
          <w:sz w:val="22"/>
          <w:szCs w:val="22"/>
          <w:lang w:eastAsia="en-GB"/>
          <w14:ligatures w14:val="none"/>
        </w:rPr>
        <w:t xml:space="preserve">The list entry, for </w:t>
      </w:r>
      <w:r w:rsidR="00283A5E" w:rsidRPr="00E97514">
        <w:rPr>
          <w:rFonts w:ascii="Arial" w:eastAsia="Times New Roman" w:hAnsi="Arial" w:cs="Arial"/>
          <w:kern w:val="0"/>
          <w:sz w:val="22"/>
          <w:szCs w:val="22"/>
          <w:lang w:eastAsia="en-GB"/>
          <w14:ligatures w14:val="none"/>
        </w:rPr>
        <w:t xml:space="preserve">means of </w:t>
      </w:r>
      <w:r w:rsidRPr="00E97514">
        <w:rPr>
          <w:rFonts w:ascii="Arial" w:eastAsia="Times New Roman" w:hAnsi="Arial" w:cs="Arial"/>
          <w:kern w:val="0"/>
          <w:sz w:val="22"/>
          <w:szCs w:val="22"/>
          <w:lang w:eastAsia="en-GB"/>
          <w14:ligatures w14:val="none"/>
        </w:rPr>
        <w:t>identification purposes only, provides the following description</w:t>
      </w:r>
      <w:r w:rsidR="00A6406E" w:rsidRPr="00E97514">
        <w:rPr>
          <w:rFonts w:ascii="Arial" w:eastAsia="Times New Roman" w:hAnsi="Arial" w:cs="Arial"/>
          <w:kern w:val="0"/>
          <w:sz w:val="22"/>
          <w:szCs w:val="22"/>
          <w:lang w:eastAsia="en-GB"/>
          <w14:ligatures w14:val="none"/>
        </w:rPr>
        <w:t>:</w:t>
      </w:r>
    </w:p>
    <w:p w14:paraId="35EE48D9" w14:textId="77777777" w:rsidR="00630588" w:rsidRPr="00E97514" w:rsidRDefault="00630588" w:rsidP="00970F6B">
      <w:pPr>
        <w:spacing w:after="0" w:line="276" w:lineRule="auto"/>
        <w:jc w:val="both"/>
        <w:rPr>
          <w:rFonts w:ascii="Arial" w:eastAsia="Times New Roman" w:hAnsi="Arial" w:cs="Arial"/>
          <w:kern w:val="0"/>
          <w:sz w:val="22"/>
          <w:szCs w:val="22"/>
          <w:lang w:eastAsia="en-GB"/>
          <w14:ligatures w14:val="none"/>
        </w:rPr>
      </w:pPr>
    </w:p>
    <w:p w14:paraId="2133C64A" w14:textId="77777777" w:rsidR="00D04750" w:rsidRPr="009E63A4" w:rsidRDefault="00D04750" w:rsidP="00D0475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E63A4">
        <w:rPr>
          <w:rFonts w:ascii="Arial" w:eastAsia="Times New Roman" w:hAnsi="Arial" w:cs="Arial"/>
          <w:i/>
          <w:iCs/>
          <w:color w:val="000000" w:themeColor="text1"/>
          <w:kern w:val="0"/>
          <w:sz w:val="22"/>
          <w:szCs w:val="22"/>
          <w:lang w:eastAsia="en-GB"/>
          <w14:ligatures w14:val="none"/>
        </w:rPr>
        <w:t>EASTON ROYAL EASTON ROYAL SU 26 SW (east side) 2/195 Thatch Cottage II House, formerly with village shop. Probably C18. Colourwashed brick with thatched roof. Two storeys, 2 bays, with central entrance, and single storey extension to left. C20 cross wing added to right beyond former external gable stack. Panelled door within heavy frame. Three-light windows, paned casements to ground floor with segmental brick arches, and paned leaded windows to first floor. Steeply hipped roof to left with a C20 glazed door, formerly shop. Brick stack. C20 extension not of special interest.</w:t>
      </w:r>
    </w:p>
    <w:p w14:paraId="5A4AC22C" w14:textId="77777777" w:rsidR="00D04750" w:rsidRPr="009E63A4" w:rsidRDefault="00D04750" w:rsidP="00D0475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01080228" w14:textId="77777777" w:rsidR="00D04750" w:rsidRPr="009E63A4" w:rsidRDefault="00D04750" w:rsidP="00D0475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E63A4">
        <w:rPr>
          <w:rFonts w:ascii="Arial" w:eastAsia="Times New Roman" w:hAnsi="Arial" w:cs="Arial"/>
          <w:i/>
          <w:iCs/>
          <w:color w:val="000000" w:themeColor="text1"/>
          <w:kern w:val="0"/>
          <w:sz w:val="22"/>
          <w:szCs w:val="22"/>
          <w:lang w:eastAsia="en-GB"/>
          <w14:ligatures w14:val="none"/>
        </w:rPr>
        <w:t>Listing NGR: SU2079361087</w:t>
      </w:r>
    </w:p>
    <w:p w14:paraId="5DC1517A" w14:textId="77777777" w:rsidR="00E97514" w:rsidRDefault="00E97514"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836EA25"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Pr="00D712F9" w:rsidRDefault="00683C17" w:rsidP="00683C17">
      <w:pPr>
        <w:spacing w:after="0" w:line="276" w:lineRule="auto"/>
        <w:jc w:val="both"/>
        <w:rPr>
          <w:rFonts w:ascii="Arial" w:eastAsia="Times New Roman" w:hAnsi="Arial" w:cs="Arial"/>
          <w:kern w:val="0"/>
          <w:sz w:val="22"/>
          <w:szCs w:val="22"/>
          <w:lang w:eastAsia="en-GB"/>
          <w14:ligatures w14:val="none"/>
        </w:rPr>
      </w:pPr>
    </w:p>
    <w:p w14:paraId="13898ADA" w14:textId="3AE28F7C" w:rsidR="0011618E" w:rsidRDefault="0011618E" w:rsidP="0011618E">
      <w:pPr>
        <w:spacing w:after="0" w:line="276" w:lineRule="auto"/>
        <w:jc w:val="both"/>
        <w:rPr>
          <w:rFonts w:ascii="Arial" w:eastAsia="Times New Roman" w:hAnsi="Arial" w:cs="Arial"/>
          <w:kern w:val="0"/>
          <w:sz w:val="22"/>
          <w:szCs w:val="22"/>
          <w:lang w:eastAsia="en-GB"/>
          <w14:ligatures w14:val="none"/>
        </w:rPr>
      </w:pPr>
      <w:r w:rsidRPr="0011618E">
        <w:rPr>
          <w:rFonts w:ascii="Arial" w:eastAsia="Times New Roman" w:hAnsi="Arial" w:cs="Arial"/>
          <w:kern w:val="0"/>
          <w:sz w:val="22"/>
          <w:szCs w:val="22"/>
          <w:lang w:eastAsia="en-GB"/>
          <w14:ligatures w14:val="none"/>
        </w:rPr>
        <w:t xml:space="preserve">The proposal seeks </w:t>
      </w:r>
      <w:r>
        <w:rPr>
          <w:rFonts w:ascii="Arial" w:eastAsia="Times New Roman" w:hAnsi="Arial" w:cs="Arial"/>
          <w:kern w:val="0"/>
          <w:sz w:val="22"/>
          <w:szCs w:val="22"/>
          <w:lang w:eastAsia="en-GB"/>
          <w14:ligatures w14:val="none"/>
        </w:rPr>
        <w:t>Listed Building Consent</w:t>
      </w:r>
      <w:r w:rsidRPr="0011618E">
        <w:rPr>
          <w:rFonts w:ascii="Arial" w:eastAsia="Times New Roman" w:hAnsi="Arial" w:cs="Arial"/>
          <w:kern w:val="0"/>
          <w:sz w:val="22"/>
          <w:szCs w:val="22"/>
          <w:lang w:eastAsia="en-GB"/>
          <w14:ligatures w14:val="none"/>
        </w:rPr>
        <w:t xml:space="preserve"> for </w:t>
      </w:r>
      <w:r w:rsidR="00D04750">
        <w:rPr>
          <w:rFonts w:ascii="Arial" w:eastAsia="Times New Roman" w:hAnsi="Arial" w:cs="Arial"/>
          <w:kern w:val="0"/>
          <w:sz w:val="22"/>
          <w:szCs w:val="22"/>
          <w:lang w:eastAsia="en-GB"/>
          <w14:ligatures w14:val="none"/>
        </w:rPr>
        <w:t>repairs to and the raising of the existing chimney</w:t>
      </w:r>
      <w:r w:rsidR="00874C50">
        <w:rPr>
          <w:rFonts w:ascii="Arial" w:eastAsia="Times New Roman" w:hAnsi="Arial" w:cs="Arial"/>
          <w:kern w:val="0"/>
          <w:sz w:val="22"/>
          <w:szCs w:val="22"/>
          <w:lang w:eastAsia="en-GB"/>
          <w14:ligatures w14:val="none"/>
        </w:rPr>
        <w:t xml:space="preserve"> in order to reduce fire safety risk.</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Pr="002A4C3A" w:rsidRDefault="00683C17" w:rsidP="00683C17">
      <w:pPr>
        <w:spacing w:after="0" w:line="276" w:lineRule="auto"/>
        <w:jc w:val="both"/>
        <w:rPr>
          <w:rFonts w:ascii="Arial" w:eastAsia="Times New Roman" w:hAnsi="Arial" w:cs="Arial"/>
          <w:kern w:val="0"/>
          <w:sz w:val="22"/>
          <w:szCs w:val="22"/>
          <w:lang w:eastAsia="en-GB"/>
          <w14:ligatures w14:val="none"/>
        </w:rPr>
      </w:pPr>
    </w:p>
    <w:p w14:paraId="32DA6DBC" w14:textId="470BBBE9" w:rsidR="00DC4565" w:rsidRPr="002A4C3A" w:rsidRDefault="00874C50" w:rsidP="00683C1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 relevant planning history.</w:t>
      </w: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8067C94"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3AE8C9CE" w14:textId="77777777" w:rsidR="002A4C3A" w:rsidRDefault="002A4C3A"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44AE33E" w14:textId="2BE63E1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4A72C0D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2F5D2E8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CFE2B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63A4EBE"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0B63E75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507FCF">
      <w:pPr>
        <w:spacing w:after="0" w:line="276" w:lineRule="auto"/>
        <w:jc w:val="both"/>
        <w:rPr>
          <w:rFonts w:ascii="Arial" w:hAnsi="Arial" w:cs="Arial"/>
          <w:sz w:val="22"/>
          <w:szCs w:val="22"/>
          <w:lang w:eastAsia="en-GB"/>
        </w:rPr>
      </w:pPr>
    </w:p>
    <w:p w14:paraId="0405F938" w14:textId="0F3E31F6"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509488C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267AFA3" w14:textId="7C532121" w:rsidR="00597126" w:rsidRDefault="00597126" w:rsidP="0059712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Pr="00085C56">
        <w:rPr>
          <w:rFonts w:ascii="Arial" w:eastAsia="Times New Roman" w:hAnsi="Arial" w:cs="Arial"/>
          <w:kern w:val="0"/>
          <w:sz w:val="22"/>
          <w:szCs w:val="22"/>
          <w:u w:val="single"/>
          <w:lang w:eastAsia="en-GB"/>
          <w14:ligatures w14:val="none"/>
        </w:rPr>
        <w:t>Parish 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No </w:t>
      </w:r>
      <w:r>
        <w:rPr>
          <w:rFonts w:ascii="Arial" w:eastAsia="Times New Roman" w:hAnsi="Arial" w:cs="Arial"/>
          <w:kern w:val="0"/>
          <w:sz w:val="22"/>
          <w:szCs w:val="22"/>
          <w:lang w:eastAsia="en-GB"/>
          <w14:ligatures w14:val="none"/>
        </w:rPr>
        <w:t>objection.</w:t>
      </w:r>
    </w:p>
    <w:p w14:paraId="0EC9F2A2" w14:textId="77777777" w:rsidR="00597126" w:rsidRDefault="00597126" w:rsidP="00597126">
      <w:pPr>
        <w:spacing w:after="0" w:line="276" w:lineRule="auto"/>
        <w:jc w:val="both"/>
        <w:rPr>
          <w:rFonts w:ascii="Arial" w:eastAsia="Times New Roman" w:hAnsi="Arial" w:cs="Arial"/>
          <w:kern w:val="0"/>
          <w:sz w:val="22"/>
          <w:szCs w:val="22"/>
          <w:lang w:eastAsia="en-GB"/>
          <w14:ligatures w14:val="none"/>
        </w:rPr>
      </w:pPr>
    </w:p>
    <w:p w14:paraId="746DF269" w14:textId="77777777" w:rsidR="00597126" w:rsidRPr="003E55AE" w:rsidRDefault="00597126" w:rsidP="00597126">
      <w:pPr>
        <w:spacing w:after="0" w:line="276" w:lineRule="auto"/>
        <w:jc w:val="both"/>
        <w:rPr>
          <w:rFonts w:ascii="Arial" w:eastAsia="Times New Roman" w:hAnsi="Arial" w:cs="Arial"/>
          <w:i/>
          <w:iCs/>
          <w:color w:val="ED0000"/>
          <w:kern w:val="0"/>
          <w:sz w:val="22"/>
          <w:szCs w:val="22"/>
          <w:lang w:eastAsia="en-GB"/>
          <w14:ligatures w14:val="none"/>
        </w:rPr>
      </w:pPr>
      <w:r w:rsidRPr="003E55AE">
        <w:rPr>
          <w:rFonts w:ascii="Arial" w:eastAsia="Times New Roman" w:hAnsi="Arial" w:cs="Arial"/>
          <w:kern w:val="0"/>
          <w:sz w:val="22"/>
          <w:szCs w:val="22"/>
          <w:u w:val="single"/>
          <w:lang w:eastAsia="en-GB"/>
          <w14:ligatures w14:val="none"/>
        </w:rPr>
        <w:t>WC Conservation</w:t>
      </w:r>
      <w:r>
        <w:rPr>
          <w:rFonts w:ascii="Arial" w:eastAsia="Times New Roman" w:hAnsi="Arial" w:cs="Arial"/>
          <w:kern w:val="0"/>
          <w:sz w:val="22"/>
          <w:szCs w:val="22"/>
          <w:lang w:eastAsia="en-GB"/>
          <w14:ligatures w14:val="none"/>
        </w:rPr>
        <w:t>: (Final response) No objection subject to condition.</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7252D16E"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5B760B6" w14:textId="0E27EA5D"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FDA319B" w14:textId="268E93CF" w:rsidR="008B44B6" w:rsidRDefault="00E74E27"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00E03DF5" w:rsidRPr="00E03DF5">
        <w:rPr>
          <w:rFonts w:ascii="Arial" w:eastAsia="Arial" w:hAnsi="Arial" w:cs="Arial"/>
          <w:sz w:val="22"/>
          <w:szCs w:val="22"/>
        </w:rPr>
        <w:t xml:space="preserve">n accordance with the requirements of </w:t>
      </w:r>
      <w:r w:rsidR="005A287E" w:rsidRPr="005A287E">
        <w:rPr>
          <w:rFonts w:ascii="Arial" w:eastAsia="Arial" w:hAnsi="Arial" w:cs="Arial"/>
          <w:sz w:val="22"/>
          <w:szCs w:val="22"/>
        </w:rPr>
        <w:t>Section 5</w:t>
      </w:r>
      <w:r>
        <w:rPr>
          <w:rFonts w:ascii="Arial" w:eastAsia="Arial" w:hAnsi="Arial" w:cs="Arial"/>
          <w:sz w:val="22"/>
          <w:szCs w:val="22"/>
        </w:rPr>
        <w:t>(3)</w:t>
      </w:r>
      <w:r w:rsidR="00CA5343">
        <w:rPr>
          <w:rFonts w:ascii="Arial" w:eastAsia="Arial" w:hAnsi="Arial" w:cs="Arial"/>
          <w:sz w:val="22"/>
          <w:szCs w:val="22"/>
        </w:rPr>
        <w:t>(a)</w:t>
      </w:r>
      <w:r w:rsidR="005A287E" w:rsidRPr="005A287E">
        <w:rPr>
          <w:rFonts w:ascii="Arial" w:eastAsia="Arial" w:hAnsi="Arial" w:cs="Arial"/>
          <w:sz w:val="22"/>
          <w:szCs w:val="22"/>
        </w:rPr>
        <w:t xml:space="preserve"> of the</w:t>
      </w:r>
      <w:r w:rsidR="00E03DF5" w:rsidRPr="00E03DF5">
        <w:rPr>
          <w:rFonts w:ascii="Arial" w:eastAsia="Arial" w:hAnsi="Arial" w:cs="Arial"/>
          <w:sz w:val="22"/>
          <w:szCs w:val="22"/>
        </w:rPr>
        <w:t xml:space="preserve"> Planning (Listed Buildings and Conservation Areas) Regulations 1990 (as amended</w:t>
      </w:r>
      <w:r w:rsidR="00BD555F">
        <w:rPr>
          <w:rFonts w:ascii="Arial" w:eastAsia="Arial" w:hAnsi="Arial" w:cs="Arial"/>
          <w:sz w:val="22"/>
          <w:szCs w:val="22"/>
        </w:rPr>
        <w:t>)</w:t>
      </w:r>
      <w:r w:rsidR="00CA5343">
        <w:rPr>
          <w:rFonts w:ascii="Arial" w:eastAsia="Arial" w:hAnsi="Arial" w:cs="Arial"/>
          <w:sz w:val="22"/>
          <w:szCs w:val="22"/>
        </w:rPr>
        <w:t xml:space="preserve"> publicity is not required for </w:t>
      </w:r>
      <w:r w:rsidR="0001669C" w:rsidRPr="0001669C">
        <w:rPr>
          <w:rFonts w:ascii="Arial" w:eastAsia="Arial" w:hAnsi="Arial" w:cs="Arial"/>
          <w:sz w:val="22"/>
          <w:szCs w:val="22"/>
        </w:rPr>
        <w:t>listed building consent to carry out works affecting only the interior of a</w:t>
      </w:r>
      <w:r w:rsidR="00683266">
        <w:rPr>
          <w:rFonts w:ascii="Arial" w:eastAsia="Arial" w:hAnsi="Arial" w:cs="Arial"/>
          <w:sz w:val="22"/>
          <w:szCs w:val="22"/>
        </w:rPr>
        <w:t xml:space="preserve"> G</w:t>
      </w:r>
      <w:r w:rsidR="00EA5C93">
        <w:rPr>
          <w:rFonts w:ascii="Arial" w:eastAsia="Arial" w:hAnsi="Arial" w:cs="Arial"/>
          <w:sz w:val="22"/>
          <w:szCs w:val="22"/>
        </w:rPr>
        <w:t>rade II (unstarred) listed building.</w:t>
      </w:r>
    </w:p>
    <w:p w14:paraId="6B0943EC" w14:textId="77777777" w:rsidR="00BD555F" w:rsidRDefault="00BD555F" w:rsidP="00E03DF5">
      <w:pPr>
        <w:spacing w:after="0" w:line="276" w:lineRule="auto"/>
        <w:jc w:val="both"/>
        <w:rPr>
          <w:rFonts w:ascii="Arial" w:eastAsia="Arial" w:hAnsi="Arial" w:cs="Arial"/>
          <w:sz w:val="22"/>
          <w:szCs w:val="22"/>
        </w:rPr>
      </w:pPr>
    </w:p>
    <w:p w14:paraId="74BD9076" w14:textId="5EE2CD2C" w:rsidR="00E03DF5" w:rsidRPr="00A57254" w:rsidRDefault="00E2441F" w:rsidP="00E2441F">
      <w:pPr>
        <w:spacing w:after="0" w:line="276" w:lineRule="auto"/>
        <w:jc w:val="both"/>
        <w:rPr>
          <w:rFonts w:ascii="Arial" w:eastAsia="Arial" w:hAnsi="Arial" w:cs="Arial"/>
          <w:sz w:val="22"/>
          <w:szCs w:val="22"/>
        </w:rPr>
      </w:pPr>
      <w:r w:rsidRPr="00A57254">
        <w:rPr>
          <w:rFonts w:ascii="Arial" w:eastAsia="Arial" w:hAnsi="Arial" w:cs="Arial"/>
          <w:sz w:val="22"/>
          <w:szCs w:val="22"/>
        </w:rPr>
        <w:t xml:space="preserve">However, the application was originally submitted </w:t>
      </w:r>
      <w:r w:rsidR="00E328DB" w:rsidRPr="00A57254">
        <w:rPr>
          <w:rFonts w:ascii="Arial" w:eastAsia="Arial" w:hAnsi="Arial" w:cs="Arial"/>
          <w:sz w:val="22"/>
          <w:szCs w:val="22"/>
        </w:rPr>
        <w:t xml:space="preserve">as a dual application with an outbuilding included which has subsequently been </w:t>
      </w:r>
      <w:r w:rsidR="00A57254" w:rsidRPr="00A57254">
        <w:rPr>
          <w:rFonts w:ascii="Arial" w:eastAsia="Arial" w:hAnsi="Arial" w:cs="Arial"/>
          <w:sz w:val="22"/>
          <w:szCs w:val="22"/>
        </w:rPr>
        <w:t>separated due to the works not requiring listed building consent, so</w:t>
      </w:r>
      <w:r w:rsidR="00970D26" w:rsidRPr="00A57254">
        <w:rPr>
          <w:rFonts w:ascii="Arial" w:eastAsia="Arial" w:hAnsi="Arial" w:cs="Arial"/>
          <w:sz w:val="22"/>
          <w:szCs w:val="22"/>
        </w:rPr>
        <w:t xml:space="preserve"> </w:t>
      </w:r>
      <w:r w:rsidR="00E03DF5" w:rsidRPr="00A57254">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737A7292" w14:textId="4B20E7A3" w:rsidR="00E03DF5" w:rsidRPr="00A57254"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p>
    <w:p w14:paraId="23ABD06B" w14:textId="77777777" w:rsidR="00A57254" w:rsidRPr="00A57254" w:rsidRDefault="00A57254" w:rsidP="00A57254">
      <w:pPr>
        <w:spacing w:after="0" w:line="276" w:lineRule="auto"/>
        <w:ind w:left="720"/>
        <w:jc w:val="both"/>
        <w:rPr>
          <w:rFonts w:ascii="Arial" w:eastAsia="Arial" w:hAnsi="Arial" w:cs="Arial"/>
          <w:sz w:val="22"/>
          <w:szCs w:val="22"/>
        </w:rPr>
      </w:pPr>
    </w:p>
    <w:p w14:paraId="74ADD948" w14:textId="7FAFA15E"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Th</w:t>
      </w:r>
      <w:r w:rsidR="00A57254">
        <w:rPr>
          <w:rFonts w:ascii="Arial" w:eastAsia="Arial" w:hAnsi="Arial" w:cs="Arial"/>
          <w:sz w:val="22"/>
          <w:szCs w:val="22"/>
        </w:rPr>
        <w:t>is</w:t>
      </w:r>
      <w:r w:rsidRPr="00E03DF5">
        <w:rPr>
          <w:rFonts w:ascii="Arial" w:eastAsia="Arial" w:hAnsi="Arial" w:cs="Arial"/>
          <w:sz w:val="22"/>
          <w:szCs w:val="22"/>
        </w:rPr>
        <w:t xml:space="preserve"> method w</w:t>
      </w:r>
      <w:r w:rsidR="00A57254">
        <w:rPr>
          <w:rFonts w:ascii="Arial" w:eastAsia="Arial" w:hAnsi="Arial" w:cs="Arial"/>
          <w:sz w:val="22"/>
          <w:szCs w:val="22"/>
        </w:rPr>
        <w:t>as</w:t>
      </w:r>
      <w:r w:rsidRPr="00E03DF5">
        <w:rPr>
          <w:rFonts w:ascii="Arial" w:eastAsia="Arial" w:hAnsi="Arial" w:cs="Arial"/>
          <w:sz w:val="22"/>
          <w:szCs w:val="22"/>
        </w:rPr>
        <w:t xml:space="preserv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54C29236" w14:textId="62A46DBA" w:rsidR="00513E22"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5363F71F" w14:textId="77777777" w:rsidR="00C45A37" w:rsidRDefault="00C45A37" w:rsidP="00D902FA">
      <w:pPr>
        <w:spacing w:after="0" w:line="276" w:lineRule="auto"/>
        <w:jc w:val="both"/>
        <w:rPr>
          <w:rFonts w:ascii="Arial" w:eastAsia="Arial" w:hAnsi="Arial" w:cs="Arial"/>
          <w:sz w:val="22"/>
          <w:szCs w:val="22"/>
        </w:rPr>
      </w:pPr>
    </w:p>
    <w:p w14:paraId="1B2611B6" w14:textId="1E3B151A" w:rsidR="00C45A37" w:rsidRPr="00A57254" w:rsidRDefault="00C45A37" w:rsidP="00D902FA">
      <w:pPr>
        <w:spacing w:after="0" w:line="276" w:lineRule="auto"/>
        <w:jc w:val="both"/>
        <w:rPr>
          <w:rFonts w:ascii="Arial" w:eastAsia="Arial" w:hAnsi="Arial" w:cs="Arial"/>
          <w:sz w:val="22"/>
          <w:szCs w:val="22"/>
        </w:rPr>
      </w:pPr>
      <w:r>
        <w:rPr>
          <w:rFonts w:ascii="Arial" w:eastAsia="Arial" w:hAnsi="Arial" w:cs="Arial"/>
          <w:sz w:val="22"/>
          <w:szCs w:val="22"/>
        </w:rPr>
        <w:t>No representations were received.</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1D31695" w14:textId="77777777" w:rsidR="00A57254" w:rsidRDefault="00A57254" w:rsidP="00044293">
      <w:pPr>
        <w:spacing w:after="0" w:line="276" w:lineRule="auto"/>
        <w:jc w:val="both"/>
        <w:rPr>
          <w:rFonts w:ascii="Arial" w:eastAsia="Times New Roman" w:hAnsi="Arial" w:cs="Arial"/>
          <w:color w:val="000000" w:themeColor="text1"/>
          <w:kern w:val="0"/>
          <w:sz w:val="22"/>
          <w:szCs w:val="22"/>
          <w:lang w:eastAsia="en-GB"/>
          <w14:ligatures w14:val="none"/>
        </w:rPr>
      </w:pPr>
    </w:p>
    <w:p w14:paraId="55D9125E" w14:textId="591265AA"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20A72DB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1664209C"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4E2C7F7" w14:textId="416BDC11"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2C3A6A"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5E17C93B" w14:textId="77777777" w:rsidR="00184B36" w:rsidRPr="00184B36" w:rsidRDefault="00184B36" w:rsidP="00184B36">
      <w:pPr>
        <w:spacing w:after="0" w:line="276" w:lineRule="auto"/>
        <w:ind w:right="-23"/>
        <w:jc w:val="both"/>
        <w:rPr>
          <w:rFonts w:ascii="Arial" w:eastAsia="Times New Roman" w:hAnsi="Arial" w:cs="Arial"/>
          <w:kern w:val="0"/>
          <w:sz w:val="22"/>
          <w:szCs w:val="22"/>
          <w:lang w:eastAsia="en-GB"/>
          <w14:ligatures w14:val="none"/>
        </w:rPr>
      </w:pPr>
      <w:r w:rsidRPr="00184B36">
        <w:rPr>
          <w:rFonts w:ascii="Arial" w:eastAsia="Times New Roman" w:hAnsi="Arial" w:cs="Arial"/>
          <w:kern w:val="0"/>
          <w:sz w:val="22"/>
          <w:szCs w:val="22"/>
          <w:lang w:eastAsia="en-GB"/>
          <w14:ligatures w14:val="none"/>
        </w:rPr>
        <w:t xml:space="preserve">The application has been submitted with a Heritage Impact Statement which outlines the significance of the Grade II listed building, the proposed works and their likely heritage impacts. </w:t>
      </w:r>
      <w:r w:rsidRPr="00184B36">
        <w:rPr>
          <w:rFonts w:ascii="Arial" w:eastAsia="Times New Roman" w:hAnsi="Arial" w:cs="Arial"/>
          <w:kern w:val="0"/>
          <w:sz w:val="22"/>
          <w:szCs w:val="22"/>
          <w:lang w:eastAsia="en-GB"/>
          <w14:ligatures w14:val="none"/>
        </w:rPr>
        <w:lastRenderedPageBreak/>
        <w:t>The statement explains that the chimney height increase is proposed in response to current fire safety guidance relating to thatched properties and difficulties obtaining suitable building insurance. It also confirms that the works would utilise reclaimed brickwork and lime mortar to match the existing chimney. The submitted information is considered sufficient to understand the significance of the listed building and the impact of the proposals upon that significance.</w:t>
      </w:r>
    </w:p>
    <w:p w14:paraId="1259D49B"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36C6D4E9" w14:textId="179C8E3B"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6B29DA1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8E4ABD0" w14:textId="77777777" w:rsidR="00AB561A" w:rsidRPr="00AB561A" w:rsidRDefault="00AB561A" w:rsidP="00AB561A">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AB561A">
        <w:rPr>
          <w:rFonts w:ascii="Arial" w:eastAsia="Times New Roman" w:hAnsi="Arial" w:cs="Arial"/>
          <w:color w:val="000000" w:themeColor="text1"/>
          <w:kern w:val="0"/>
          <w:sz w:val="22"/>
          <w:szCs w:val="22"/>
          <w:lang w:eastAsia="en-GB"/>
          <w14:ligatures w14:val="none"/>
        </w:rPr>
        <w:t>In this case the significance of the building derives from its historic fabric, traditional vernacular form and surviving architectural detailing. The property is a traditional thatched cottage constructed of painted brick and retains features of special interest including historic fireplaces, a timber staircase and traditional chimney stacks which contribute to its historic character and roofscape. Its significance is further enhanced by its contribution to the character and appearance of the Easton Royal Conservation Area.</w:t>
      </w:r>
    </w:p>
    <w:p w14:paraId="51A11D72"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197E97CF"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396D7DE7"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51965CF2" w14:textId="77777777" w:rsidR="004C774C" w:rsidRDefault="00E60D65" w:rsidP="00E60D65">
      <w:pPr>
        <w:spacing w:after="0" w:line="276" w:lineRule="auto"/>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lastRenderedPageBreak/>
        <w:t>In this case the significance of the building lies largely with</w:t>
      </w:r>
      <w:r>
        <w:rPr>
          <w:rFonts w:ascii="Arial" w:eastAsia="Times New Roman" w:hAnsi="Arial" w:cs="Arial"/>
          <w:color w:val="000000" w:themeColor="text1"/>
          <w:kern w:val="0"/>
          <w:sz w:val="22"/>
          <w:szCs w:val="22"/>
          <w:lang w:eastAsia="en-GB"/>
          <w14:ligatures w14:val="none"/>
        </w:rPr>
        <w:t xml:space="preserve"> the asset’s historic fabric and architectural detailing. The property consists of painted brick walls under a thatch roof</w:t>
      </w:r>
      <w:r w:rsidR="00784BE8">
        <w:rPr>
          <w:rFonts w:ascii="Arial" w:eastAsia="Times New Roman" w:hAnsi="Arial" w:cs="Arial"/>
          <w:color w:val="000000" w:themeColor="text1"/>
          <w:kern w:val="0"/>
          <w:sz w:val="22"/>
          <w:szCs w:val="22"/>
          <w:lang w:eastAsia="en-GB"/>
          <w14:ligatures w14:val="none"/>
        </w:rPr>
        <w:t xml:space="preserve"> and retains original internal features including </w:t>
      </w:r>
      <w:r w:rsidR="004C774C">
        <w:rPr>
          <w:rFonts w:ascii="Arial" w:eastAsia="Times New Roman" w:hAnsi="Arial" w:cs="Arial"/>
          <w:color w:val="000000" w:themeColor="text1"/>
          <w:kern w:val="0"/>
          <w:sz w:val="22"/>
          <w:szCs w:val="22"/>
          <w:lang w:eastAsia="en-GB"/>
          <w14:ligatures w14:val="none"/>
        </w:rPr>
        <w:t>three brick fireplaces and a wooden staircase.</w:t>
      </w:r>
    </w:p>
    <w:p w14:paraId="79949671" w14:textId="77777777" w:rsidR="004C774C" w:rsidRDefault="004C774C" w:rsidP="00E60D65">
      <w:pPr>
        <w:spacing w:after="0" w:line="276" w:lineRule="auto"/>
        <w:jc w:val="both"/>
        <w:rPr>
          <w:rFonts w:ascii="Arial" w:eastAsia="Times New Roman" w:hAnsi="Arial" w:cs="Arial"/>
          <w:color w:val="000000" w:themeColor="text1"/>
          <w:kern w:val="0"/>
          <w:sz w:val="22"/>
          <w:szCs w:val="22"/>
          <w:lang w:eastAsia="en-GB"/>
          <w14:ligatures w14:val="none"/>
        </w:rPr>
      </w:pPr>
    </w:p>
    <w:p w14:paraId="6A333FCD" w14:textId="323E46AB" w:rsidR="00BA7600" w:rsidRDefault="00BA7600" w:rsidP="00BA7600">
      <w:pPr>
        <w:spacing w:after="0" w:line="276" w:lineRule="auto"/>
        <w:jc w:val="both"/>
        <w:rPr>
          <w:rFonts w:ascii="Arial" w:eastAsia="Times New Roman" w:hAnsi="Arial" w:cs="Arial"/>
          <w:color w:val="000000" w:themeColor="text1"/>
          <w:kern w:val="0"/>
          <w:sz w:val="22"/>
          <w:szCs w:val="22"/>
          <w:lang w:eastAsia="en-GB"/>
          <w14:ligatures w14:val="none"/>
        </w:rPr>
      </w:pPr>
      <w:r w:rsidRPr="00BA7600">
        <w:rPr>
          <w:rFonts w:ascii="Arial" w:eastAsia="Times New Roman" w:hAnsi="Arial" w:cs="Arial"/>
          <w:color w:val="000000" w:themeColor="text1"/>
          <w:kern w:val="0"/>
          <w:sz w:val="22"/>
          <w:szCs w:val="22"/>
          <w:lang w:eastAsia="en-GB"/>
          <w14:ligatures w14:val="none"/>
        </w:rPr>
        <w:t>The proposal has been assessed having regard to the significance of the Grade II listed building and its setting within the Easton Royal Conservation Area. The works comprise a modest increase in the height of the existing chimney stack in response to modern fire safety guidance for thatched buildings. The submitted Heritage Impact Statement advises that the chimney extension would be constructed using reclaimed brickwork, matching detailing and lime mortar to ensure compatibility with the existing historic fabric.</w:t>
      </w:r>
    </w:p>
    <w:p w14:paraId="514DA139" w14:textId="77777777" w:rsidR="00BA7600" w:rsidRPr="00BA7600" w:rsidRDefault="00BA7600" w:rsidP="00BA7600">
      <w:pPr>
        <w:spacing w:after="0" w:line="276" w:lineRule="auto"/>
        <w:jc w:val="both"/>
        <w:rPr>
          <w:rFonts w:ascii="Arial" w:eastAsia="Times New Roman" w:hAnsi="Arial" w:cs="Arial"/>
          <w:color w:val="000000" w:themeColor="text1"/>
          <w:kern w:val="0"/>
          <w:sz w:val="22"/>
          <w:szCs w:val="22"/>
          <w:lang w:eastAsia="en-GB"/>
          <w14:ligatures w14:val="none"/>
        </w:rPr>
      </w:pPr>
    </w:p>
    <w:p w14:paraId="4B237C94" w14:textId="77777777" w:rsidR="00BA7600" w:rsidRPr="00BA7600" w:rsidRDefault="00BA7600" w:rsidP="00BA7600">
      <w:pPr>
        <w:spacing w:after="0" w:line="276" w:lineRule="auto"/>
        <w:jc w:val="both"/>
        <w:rPr>
          <w:rFonts w:ascii="Arial" w:eastAsia="Times New Roman" w:hAnsi="Arial" w:cs="Arial"/>
          <w:color w:val="000000" w:themeColor="text1"/>
          <w:kern w:val="0"/>
          <w:sz w:val="22"/>
          <w:szCs w:val="22"/>
          <w:lang w:eastAsia="en-GB"/>
          <w14:ligatures w14:val="none"/>
        </w:rPr>
      </w:pPr>
      <w:r w:rsidRPr="00BA7600">
        <w:rPr>
          <w:rFonts w:ascii="Arial" w:eastAsia="Times New Roman" w:hAnsi="Arial" w:cs="Arial"/>
          <w:color w:val="000000" w:themeColor="text1"/>
          <w:kern w:val="0"/>
          <w:sz w:val="22"/>
          <w:szCs w:val="22"/>
          <w:lang w:eastAsia="en-GB"/>
          <w14:ligatures w14:val="none"/>
        </w:rPr>
        <w:t>Wiltshire Council's Conservation Officer was consulted and initially raised concerns regarding the proposed height of the chimney stack. Amended plans were subsequently submitted reducing the overall height of the stack. Following amendment, the Conservation Officer confirmed that the resulting chimney proportions are acceptable and reflective of traditional chimney forms found within the locality, subject to a condition requiring matching brickwork.</w:t>
      </w:r>
    </w:p>
    <w:p w14:paraId="66E1BE08" w14:textId="3867FB9F" w:rsidR="00660856" w:rsidRPr="00F50FCC" w:rsidRDefault="00660856" w:rsidP="00660856">
      <w:pPr>
        <w:spacing w:after="0" w:line="276" w:lineRule="auto"/>
        <w:jc w:val="both"/>
        <w:rPr>
          <w:rFonts w:ascii="Arial" w:eastAsia="Times New Roman" w:hAnsi="Arial" w:cs="Arial"/>
          <w:color w:val="000000" w:themeColor="text1"/>
          <w:kern w:val="0"/>
          <w:sz w:val="22"/>
          <w:szCs w:val="22"/>
          <w:lang w:eastAsia="en-GB"/>
          <w14:ligatures w14:val="none"/>
        </w:rPr>
      </w:pPr>
    </w:p>
    <w:p w14:paraId="1594D0DD" w14:textId="3C723D88" w:rsidR="00A6278C" w:rsidRDefault="00A6278C" w:rsidP="00A6278C">
      <w:pPr>
        <w:spacing w:after="0" w:line="276" w:lineRule="auto"/>
        <w:jc w:val="both"/>
        <w:rPr>
          <w:rFonts w:ascii="Arial" w:eastAsia="Times New Roman" w:hAnsi="Arial" w:cs="Arial"/>
          <w:color w:val="000000" w:themeColor="text1"/>
          <w:kern w:val="0"/>
          <w:sz w:val="22"/>
          <w:szCs w:val="22"/>
          <w:lang w:eastAsia="en-GB"/>
          <w14:ligatures w14:val="none"/>
        </w:rPr>
      </w:pPr>
      <w:r w:rsidRPr="00A6278C">
        <w:rPr>
          <w:rFonts w:ascii="Arial" w:eastAsia="Times New Roman" w:hAnsi="Arial" w:cs="Arial"/>
          <w:color w:val="000000" w:themeColor="text1"/>
          <w:kern w:val="0"/>
          <w:sz w:val="22"/>
          <w:szCs w:val="22"/>
          <w:lang w:eastAsia="en-GB"/>
          <w14:ligatures w14:val="none"/>
        </w:rPr>
        <w:t xml:space="preserve">The Conservation Officer's comments are agreed. Whilst the proposals would result in a modest alteration to the appearance of the chimney stack, the works have been carefully designed to minimise visual impact through the use of traditional materials and detailing. Following the submission of amended plans, the chimney would remain proportionate to the host building and reflective of traditional chimney forms associated with historic thatched cottages. The proposal would preserve the significance of the Grade II listed building and its setting and would preserve the character and appearance of the Easton Royal Conservation Area. </w:t>
      </w:r>
      <w:r w:rsidR="00F6461B" w:rsidRPr="00A6278C">
        <w:rPr>
          <w:rFonts w:ascii="Arial" w:eastAsia="Times New Roman" w:hAnsi="Arial" w:cs="Arial"/>
          <w:color w:val="000000" w:themeColor="text1"/>
          <w:kern w:val="0"/>
          <w:sz w:val="22"/>
          <w:szCs w:val="22"/>
          <w:lang w:eastAsia="en-GB"/>
          <w14:ligatures w14:val="none"/>
        </w:rPr>
        <w:t>Consequently,</w:t>
      </w:r>
      <w:r w:rsidRPr="00A6278C">
        <w:rPr>
          <w:rFonts w:ascii="Arial" w:eastAsia="Times New Roman" w:hAnsi="Arial" w:cs="Arial"/>
          <w:color w:val="000000" w:themeColor="text1"/>
          <w:kern w:val="0"/>
          <w:sz w:val="22"/>
          <w:szCs w:val="22"/>
          <w:lang w:eastAsia="en-GB"/>
          <w14:ligatures w14:val="none"/>
        </w:rPr>
        <w:t xml:space="preserve"> </w:t>
      </w:r>
      <w:r w:rsidR="0093552D" w:rsidRPr="0093552D">
        <w:rPr>
          <w:rFonts w:ascii="Arial" w:eastAsia="Times New Roman" w:hAnsi="Arial" w:cs="Arial"/>
          <w:color w:val="000000" w:themeColor="text1"/>
          <w:kern w:val="0"/>
          <w:sz w:val="22"/>
          <w:szCs w:val="22"/>
          <w:lang w:eastAsia="en-GB"/>
          <w14:ligatures w14:val="none"/>
        </w:rPr>
        <w:t>The overall impact of the proposals on heritage assets will be neutral and no harm to significance has been identified.</w:t>
      </w:r>
    </w:p>
    <w:p w14:paraId="7FA0C995" w14:textId="77777777" w:rsidR="00F6461B" w:rsidRDefault="00F6461B" w:rsidP="00A6278C">
      <w:pPr>
        <w:spacing w:after="0" w:line="276" w:lineRule="auto"/>
        <w:jc w:val="both"/>
        <w:rPr>
          <w:rFonts w:ascii="Arial" w:eastAsia="Times New Roman" w:hAnsi="Arial" w:cs="Arial"/>
          <w:color w:val="000000" w:themeColor="text1"/>
          <w:kern w:val="0"/>
          <w:sz w:val="22"/>
          <w:szCs w:val="22"/>
          <w:lang w:eastAsia="en-GB"/>
          <w14:ligatures w14:val="none"/>
        </w:rPr>
      </w:pPr>
    </w:p>
    <w:p w14:paraId="0C7849C8" w14:textId="77777777" w:rsidR="00F6461B" w:rsidRDefault="00F6461B" w:rsidP="00F6461B">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 xml:space="preserve">The proposed works would preserve the significance of the designated heritage asset and its </w:t>
      </w:r>
    </w:p>
    <w:p w14:paraId="169C7D1C" w14:textId="6C6260D4" w:rsidR="00F6461B" w:rsidRPr="00A6278C" w:rsidRDefault="00F6461B" w:rsidP="00A6278C">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 xml:space="preserve">setting, and would preserve the character and appearance of the Conservation Area. </w:t>
      </w:r>
      <w:r w:rsidRPr="00F6461B">
        <w:rPr>
          <w:rFonts w:ascii="Arial" w:eastAsia="Times New Roman" w:hAnsi="Arial" w:cs="Arial"/>
          <w:color w:val="000000" w:themeColor="text1"/>
          <w:kern w:val="0"/>
          <w:sz w:val="22"/>
          <w:szCs w:val="22"/>
          <w:lang w:eastAsia="en-GB"/>
          <w14:ligatures w14:val="none"/>
        </w:rPr>
        <w:t>The proposal therefore gives rise to no harm under Chapter 16 of the National Planning Policy Framework and satisfies the statutory duties relevant to the determination of Listed Building Consent whilst also preserving the character and appearance of the Easton Royal Conservation Area.</w:t>
      </w:r>
    </w:p>
    <w:p w14:paraId="4EA444BD" w14:textId="77777777" w:rsidR="007566CB" w:rsidRDefault="007566CB" w:rsidP="00F1263F">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7D49A91F"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27D2EFD2"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2C5384A8" w14:textId="77777777" w:rsidTr="004036FE">
        <w:trPr>
          <w:trHeight w:hRule="exact" w:val="20"/>
        </w:trPr>
        <w:tc>
          <w:tcPr>
            <w:tcW w:w="704" w:type="dxa"/>
            <w:tcBorders>
              <w:top w:val="nil"/>
              <w:left w:val="nil"/>
              <w:bottom w:val="nil"/>
              <w:right w:val="nil"/>
            </w:tcBorders>
          </w:tcPr>
          <w:p w14:paraId="4703D4CD" w14:textId="19AA4B14"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9079B2E" w14:textId="77777777" w:rsidR="008914EE" w:rsidRDefault="008914EE">
            <w:pPr>
              <w:rPr>
                <w:sz w:val="2"/>
              </w:rPr>
            </w:pPr>
          </w:p>
        </w:tc>
        <w:tc>
          <w:tcPr>
            <w:tcW w:w="1139" w:type="dxa"/>
            <w:tcBorders>
              <w:top w:val="nil"/>
              <w:left w:val="nil"/>
              <w:bottom w:val="nil"/>
              <w:right w:val="nil"/>
            </w:tcBorders>
          </w:tcPr>
          <w:p w14:paraId="33D92454" w14:textId="77777777" w:rsidR="008914EE" w:rsidRDefault="008914EE">
            <w:pPr>
              <w:rPr>
                <w:sz w:val="2"/>
              </w:rPr>
            </w:pPr>
          </w:p>
        </w:tc>
      </w:tr>
      <w:tr w:rsidR="00FC0D4D" w14:paraId="7436044C" w14:textId="77777777" w:rsidTr="00FC0D4D">
        <w:tc>
          <w:tcPr>
            <w:tcW w:w="8217" w:type="dxa"/>
            <w:gridSpan w:val="2"/>
            <w:shd w:val="clear" w:color="auto" w:fill="D9D9D9" w:themeFill="background1" w:themeFillShade="D9"/>
          </w:tcPr>
          <w:p w14:paraId="383B65A8"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6275777" w14:textId="77777777" w:rsidTr="004036FE">
        <w:tc>
          <w:tcPr>
            <w:tcW w:w="704" w:type="dxa"/>
          </w:tcPr>
          <w:p w14:paraId="1B14E83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B682A30" w14:textId="659C97C5"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1E5A98E7" w14:textId="77777777" w:rsidTr="004036FE">
        <w:tc>
          <w:tcPr>
            <w:tcW w:w="704" w:type="dxa"/>
          </w:tcPr>
          <w:p w14:paraId="6E535CE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05740B8" w14:textId="2E9B3474"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329B57B8" w14:textId="77777777" w:rsidTr="004036FE">
        <w:tc>
          <w:tcPr>
            <w:tcW w:w="704" w:type="dxa"/>
          </w:tcPr>
          <w:p w14:paraId="14A8A96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(c)</w:t>
            </w:r>
          </w:p>
        </w:tc>
        <w:tc>
          <w:tcPr>
            <w:tcW w:w="7513" w:type="dxa"/>
          </w:tcPr>
          <w:p w14:paraId="66659D7C" w14:textId="09F5ADDA"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63579927" w14:textId="5E166426" w:rsidR="008914EE" w:rsidRPr="00210121" w:rsidRDefault="00AE021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23CBDF1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DE94E08" w14:textId="77777777" w:rsidR="005E2554" w:rsidRPr="005E2554" w:rsidRDefault="005E2554" w:rsidP="005E2554">
      <w:pPr>
        <w:spacing w:after="0" w:line="276" w:lineRule="auto"/>
        <w:jc w:val="both"/>
        <w:rPr>
          <w:rFonts w:ascii="Arial" w:eastAsia="Times New Roman" w:hAnsi="Arial" w:cs="Arial"/>
          <w:kern w:val="0"/>
          <w:sz w:val="22"/>
          <w:szCs w:val="22"/>
          <w:lang w:eastAsia="en-GB"/>
          <w14:ligatures w14:val="none"/>
        </w:rPr>
      </w:pPr>
      <w:r w:rsidRPr="005E2554">
        <w:rPr>
          <w:rFonts w:ascii="Arial" w:eastAsia="Times New Roman" w:hAnsi="Arial" w:cs="Arial"/>
          <w:kern w:val="0"/>
          <w:sz w:val="22"/>
          <w:szCs w:val="22"/>
          <w:lang w:eastAsia="en-GB"/>
          <w14:ligatures w14:val="none"/>
        </w:rPr>
        <w:t>Given the limited nature of the works to an existing chimney stack and the absence of features likely to support protected species, it is concluded that the proposal would have no ecological impact and no further assessment is required.</w:t>
      </w:r>
    </w:p>
    <w:p w14:paraId="0B827DA2" w14:textId="77777777" w:rsidR="001F6060" w:rsidRDefault="001F6060"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EE7521D" w14:textId="77777777" w:rsidR="00760402" w:rsidRDefault="00760402" w:rsidP="00D951CA">
      <w:pPr>
        <w:spacing w:after="0" w:line="276" w:lineRule="auto"/>
        <w:jc w:val="both"/>
        <w:rPr>
          <w:rFonts w:ascii="Arial" w:eastAsia="Times New Roman" w:hAnsi="Arial" w:cs="Arial"/>
          <w:color w:val="EE0000"/>
          <w:kern w:val="0"/>
          <w:sz w:val="22"/>
          <w:szCs w:val="22"/>
          <w:lang w:eastAsia="en-GB"/>
          <w14:ligatures w14:val="none"/>
        </w:rPr>
      </w:pPr>
    </w:p>
    <w:p w14:paraId="3242754F" w14:textId="42562C1E" w:rsidR="00D951CA" w:rsidRPr="00FB4BF3" w:rsidRDefault="00D951CA" w:rsidP="00D951CA">
      <w:pPr>
        <w:spacing w:after="0" w:line="276" w:lineRule="auto"/>
        <w:jc w:val="both"/>
        <w:rPr>
          <w:rFonts w:ascii="Arial" w:eastAsia="Times New Roman" w:hAnsi="Arial" w:cs="Arial"/>
          <w:kern w:val="0"/>
          <w:sz w:val="22"/>
          <w:szCs w:val="22"/>
          <w:lang w:eastAsia="en-GB"/>
          <w14:ligatures w14:val="none"/>
        </w:rPr>
      </w:pPr>
      <w:r w:rsidRPr="00FB4BF3">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368C4EA" w14:textId="77777777" w:rsidR="00D951CA" w:rsidRPr="00FB4BF3" w:rsidRDefault="00D951CA" w:rsidP="00D951CA">
      <w:pPr>
        <w:spacing w:after="0" w:line="276" w:lineRule="auto"/>
        <w:jc w:val="both"/>
        <w:rPr>
          <w:rFonts w:ascii="Arial" w:eastAsia="Times New Roman" w:hAnsi="Arial" w:cs="Arial"/>
          <w:kern w:val="0"/>
          <w:sz w:val="22"/>
          <w:szCs w:val="22"/>
          <w:lang w:eastAsia="en-GB"/>
          <w14:ligatures w14:val="none"/>
        </w:rPr>
      </w:pPr>
    </w:p>
    <w:p w14:paraId="6DAAC637" w14:textId="0155F50E" w:rsidR="00080B8E" w:rsidRPr="00FB4BF3" w:rsidRDefault="00E01423" w:rsidP="00D3708F">
      <w:pPr>
        <w:spacing w:after="0" w:line="276" w:lineRule="auto"/>
        <w:jc w:val="both"/>
        <w:rPr>
          <w:rFonts w:ascii="Arial" w:eastAsia="Times New Roman" w:hAnsi="Arial" w:cs="Arial"/>
          <w:kern w:val="0"/>
          <w:sz w:val="22"/>
          <w:szCs w:val="22"/>
          <w:lang w:eastAsia="en-GB"/>
          <w14:ligatures w14:val="none"/>
        </w:rPr>
      </w:pPr>
      <w:r w:rsidRPr="00E01423">
        <w:rPr>
          <w:rFonts w:ascii="Arial" w:eastAsia="Times New Roman" w:hAnsi="Arial" w:cs="Arial"/>
          <w:kern w:val="0"/>
          <w:sz w:val="22"/>
          <w:szCs w:val="22"/>
          <w:lang w:eastAsia="en-GB"/>
          <w14:ligatures w14:val="none"/>
        </w:rPr>
        <w:t>The overall impact of the proposals on heritage assets will be neutral and no harm to significance has been identified. Whilst no balancing exercise is therefore required, the works would assist in securing the ongoing use, maintenance and long-term conservation of the listed building</w:t>
      </w:r>
      <w:r w:rsidR="00D951CA" w:rsidRPr="00FB4BF3">
        <w:rPr>
          <w:rFonts w:ascii="Arial" w:eastAsia="Times New Roman" w:hAnsi="Arial" w:cs="Arial"/>
          <w:kern w:val="0"/>
          <w:sz w:val="22"/>
          <w:szCs w:val="22"/>
          <w:lang w:eastAsia="en-GB"/>
          <w14:ligatures w14:val="none"/>
        </w:rPr>
        <w:t xml:space="preserve">. The requirements of current conservation legislation, policy or guidance are considered to be met. </w:t>
      </w:r>
    </w:p>
    <w:p w14:paraId="7F23BCC5"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75598C62" w14:textId="0AA8D29F" w:rsidR="00EA5C93" w:rsidRPr="00223206" w:rsidRDefault="00F7609E" w:rsidP="0022320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223206">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 xml:space="preserve">That Listed Building Consent be GRANTED, subject to </w:t>
      </w:r>
      <w:r w:rsidR="00223206">
        <w:rPr>
          <w:rFonts w:ascii="Arial" w:eastAsia="Times New Roman" w:hAnsi="Arial" w:cs="Arial"/>
          <w:b/>
          <w:bCs/>
          <w:kern w:val="0"/>
          <w:sz w:val="22"/>
          <w:szCs w:val="22"/>
          <w:lang w:eastAsia="en-GB"/>
          <w14:ligatures w14:val="none"/>
        </w:rPr>
        <w:t>conditions.</w:t>
      </w:r>
    </w:p>
    <w:sectPr w:rsidR="00EA5C93" w:rsidRPr="00223206"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4E2"/>
    <w:rsid w:val="000075CD"/>
    <w:rsid w:val="00011D98"/>
    <w:rsid w:val="0001669C"/>
    <w:rsid w:val="0004188C"/>
    <w:rsid w:val="00041F5B"/>
    <w:rsid w:val="00044293"/>
    <w:rsid w:val="00047400"/>
    <w:rsid w:val="0006186D"/>
    <w:rsid w:val="0007377C"/>
    <w:rsid w:val="00080B8E"/>
    <w:rsid w:val="000904C8"/>
    <w:rsid w:val="0009569C"/>
    <w:rsid w:val="00097010"/>
    <w:rsid w:val="000B05B0"/>
    <w:rsid w:val="000B5BFA"/>
    <w:rsid w:val="000C0C57"/>
    <w:rsid w:val="000C0E31"/>
    <w:rsid w:val="000D0858"/>
    <w:rsid w:val="000E6B9B"/>
    <w:rsid w:val="000E7C90"/>
    <w:rsid w:val="001018D6"/>
    <w:rsid w:val="00114781"/>
    <w:rsid w:val="0011618E"/>
    <w:rsid w:val="00150B21"/>
    <w:rsid w:val="0017436B"/>
    <w:rsid w:val="00174771"/>
    <w:rsid w:val="00176847"/>
    <w:rsid w:val="00180EFF"/>
    <w:rsid w:val="00184B36"/>
    <w:rsid w:val="001975A7"/>
    <w:rsid w:val="001C5D2B"/>
    <w:rsid w:val="001C6BB1"/>
    <w:rsid w:val="001C7ED3"/>
    <w:rsid w:val="001D1B59"/>
    <w:rsid w:val="001D2B00"/>
    <w:rsid w:val="001E3936"/>
    <w:rsid w:val="001E3C8D"/>
    <w:rsid w:val="001F0E86"/>
    <w:rsid w:val="001F6060"/>
    <w:rsid w:val="001F793E"/>
    <w:rsid w:val="00202DE0"/>
    <w:rsid w:val="002073DA"/>
    <w:rsid w:val="00210121"/>
    <w:rsid w:val="0021435E"/>
    <w:rsid w:val="00223206"/>
    <w:rsid w:val="00232D93"/>
    <w:rsid w:val="00283A5E"/>
    <w:rsid w:val="002860A6"/>
    <w:rsid w:val="00290898"/>
    <w:rsid w:val="0029205E"/>
    <w:rsid w:val="002941BD"/>
    <w:rsid w:val="002A4C3A"/>
    <w:rsid w:val="002B5AD0"/>
    <w:rsid w:val="002B6649"/>
    <w:rsid w:val="002C3A6A"/>
    <w:rsid w:val="002E16E5"/>
    <w:rsid w:val="002F5DB0"/>
    <w:rsid w:val="002F7C6B"/>
    <w:rsid w:val="00312C7F"/>
    <w:rsid w:val="0034607F"/>
    <w:rsid w:val="00354D90"/>
    <w:rsid w:val="00372F15"/>
    <w:rsid w:val="00384CE5"/>
    <w:rsid w:val="0038563A"/>
    <w:rsid w:val="00387A45"/>
    <w:rsid w:val="003B32DD"/>
    <w:rsid w:val="003E2176"/>
    <w:rsid w:val="003E3806"/>
    <w:rsid w:val="003F0EB1"/>
    <w:rsid w:val="004036FE"/>
    <w:rsid w:val="00405341"/>
    <w:rsid w:val="00414164"/>
    <w:rsid w:val="00424DA4"/>
    <w:rsid w:val="004268CE"/>
    <w:rsid w:val="0043114B"/>
    <w:rsid w:val="00465B83"/>
    <w:rsid w:val="00475AA8"/>
    <w:rsid w:val="00496BFD"/>
    <w:rsid w:val="004C35D8"/>
    <w:rsid w:val="004C774C"/>
    <w:rsid w:val="004D23ED"/>
    <w:rsid w:val="004E6EDB"/>
    <w:rsid w:val="004F6C1C"/>
    <w:rsid w:val="00501911"/>
    <w:rsid w:val="0050216E"/>
    <w:rsid w:val="0050253B"/>
    <w:rsid w:val="00506262"/>
    <w:rsid w:val="00507FCF"/>
    <w:rsid w:val="005100B4"/>
    <w:rsid w:val="00513E22"/>
    <w:rsid w:val="0052200F"/>
    <w:rsid w:val="0052282C"/>
    <w:rsid w:val="0053567B"/>
    <w:rsid w:val="0054068B"/>
    <w:rsid w:val="00554987"/>
    <w:rsid w:val="005607D8"/>
    <w:rsid w:val="00574827"/>
    <w:rsid w:val="0059577B"/>
    <w:rsid w:val="00597126"/>
    <w:rsid w:val="005A13E7"/>
    <w:rsid w:val="005A287E"/>
    <w:rsid w:val="005B0808"/>
    <w:rsid w:val="005D148E"/>
    <w:rsid w:val="005D6BFB"/>
    <w:rsid w:val="005E1B00"/>
    <w:rsid w:val="005E2554"/>
    <w:rsid w:val="005F4DDB"/>
    <w:rsid w:val="006030C2"/>
    <w:rsid w:val="0062089F"/>
    <w:rsid w:val="00630588"/>
    <w:rsid w:val="00643C57"/>
    <w:rsid w:val="00646DA3"/>
    <w:rsid w:val="00652C05"/>
    <w:rsid w:val="00660856"/>
    <w:rsid w:val="00680DA9"/>
    <w:rsid w:val="00683266"/>
    <w:rsid w:val="00683C17"/>
    <w:rsid w:val="00686A50"/>
    <w:rsid w:val="006934CC"/>
    <w:rsid w:val="0069695D"/>
    <w:rsid w:val="006A203F"/>
    <w:rsid w:val="006B23D0"/>
    <w:rsid w:val="006B438E"/>
    <w:rsid w:val="006C4BFD"/>
    <w:rsid w:val="006C73D7"/>
    <w:rsid w:val="006E4BE8"/>
    <w:rsid w:val="00705E25"/>
    <w:rsid w:val="00707756"/>
    <w:rsid w:val="00732F3A"/>
    <w:rsid w:val="00743EA5"/>
    <w:rsid w:val="007566CB"/>
    <w:rsid w:val="00760402"/>
    <w:rsid w:val="00765B9A"/>
    <w:rsid w:val="00784BE8"/>
    <w:rsid w:val="00793F8E"/>
    <w:rsid w:val="00797BE5"/>
    <w:rsid w:val="007A5F42"/>
    <w:rsid w:val="007C02AD"/>
    <w:rsid w:val="007D328F"/>
    <w:rsid w:val="007E2693"/>
    <w:rsid w:val="007E32BF"/>
    <w:rsid w:val="007F46D6"/>
    <w:rsid w:val="00802AEC"/>
    <w:rsid w:val="00804B24"/>
    <w:rsid w:val="0080787A"/>
    <w:rsid w:val="00832A35"/>
    <w:rsid w:val="00836463"/>
    <w:rsid w:val="00840A49"/>
    <w:rsid w:val="0086069A"/>
    <w:rsid w:val="00874C50"/>
    <w:rsid w:val="00887AC7"/>
    <w:rsid w:val="008914EE"/>
    <w:rsid w:val="008A78F9"/>
    <w:rsid w:val="008B44B6"/>
    <w:rsid w:val="008D0226"/>
    <w:rsid w:val="008E400E"/>
    <w:rsid w:val="008E5134"/>
    <w:rsid w:val="008E7079"/>
    <w:rsid w:val="00907CF6"/>
    <w:rsid w:val="00920F0F"/>
    <w:rsid w:val="0092586B"/>
    <w:rsid w:val="009316BB"/>
    <w:rsid w:val="0093552D"/>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439A"/>
    <w:rsid w:val="00A3747E"/>
    <w:rsid w:val="00A43311"/>
    <w:rsid w:val="00A44D7E"/>
    <w:rsid w:val="00A47462"/>
    <w:rsid w:val="00A57254"/>
    <w:rsid w:val="00A6278C"/>
    <w:rsid w:val="00A6406E"/>
    <w:rsid w:val="00A91DB8"/>
    <w:rsid w:val="00A92438"/>
    <w:rsid w:val="00A96182"/>
    <w:rsid w:val="00AA7925"/>
    <w:rsid w:val="00AB535C"/>
    <w:rsid w:val="00AB561A"/>
    <w:rsid w:val="00AB6CA9"/>
    <w:rsid w:val="00AE021E"/>
    <w:rsid w:val="00AE1C41"/>
    <w:rsid w:val="00AF02B6"/>
    <w:rsid w:val="00B030C6"/>
    <w:rsid w:val="00B034C2"/>
    <w:rsid w:val="00B04EAD"/>
    <w:rsid w:val="00B06969"/>
    <w:rsid w:val="00B107C5"/>
    <w:rsid w:val="00B16B56"/>
    <w:rsid w:val="00B24270"/>
    <w:rsid w:val="00B57A45"/>
    <w:rsid w:val="00B725C9"/>
    <w:rsid w:val="00B967BC"/>
    <w:rsid w:val="00BA7600"/>
    <w:rsid w:val="00BB09C4"/>
    <w:rsid w:val="00BB1A61"/>
    <w:rsid w:val="00BC78F7"/>
    <w:rsid w:val="00BD555F"/>
    <w:rsid w:val="00BE0582"/>
    <w:rsid w:val="00BE0D93"/>
    <w:rsid w:val="00BE10BC"/>
    <w:rsid w:val="00BF6DBD"/>
    <w:rsid w:val="00C03935"/>
    <w:rsid w:val="00C45A37"/>
    <w:rsid w:val="00C5188C"/>
    <w:rsid w:val="00C5651E"/>
    <w:rsid w:val="00C760C4"/>
    <w:rsid w:val="00C84F43"/>
    <w:rsid w:val="00C95D87"/>
    <w:rsid w:val="00CA0A0F"/>
    <w:rsid w:val="00CA2A2D"/>
    <w:rsid w:val="00CA5343"/>
    <w:rsid w:val="00CB7792"/>
    <w:rsid w:val="00CD031C"/>
    <w:rsid w:val="00CD3444"/>
    <w:rsid w:val="00CE04E4"/>
    <w:rsid w:val="00CF161D"/>
    <w:rsid w:val="00D04750"/>
    <w:rsid w:val="00D05A60"/>
    <w:rsid w:val="00D06B91"/>
    <w:rsid w:val="00D14841"/>
    <w:rsid w:val="00D322EF"/>
    <w:rsid w:val="00D3708F"/>
    <w:rsid w:val="00D56315"/>
    <w:rsid w:val="00D64502"/>
    <w:rsid w:val="00D712F9"/>
    <w:rsid w:val="00D767DF"/>
    <w:rsid w:val="00D80E90"/>
    <w:rsid w:val="00D82D3F"/>
    <w:rsid w:val="00D87765"/>
    <w:rsid w:val="00D902FA"/>
    <w:rsid w:val="00D951CA"/>
    <w:rsid w:val="00DC00C1"/>
    <w:rsid w:val="00DC365D"/>
    <w:rsid w:val="00DC4565"/>
    <w:rsid w:val="00DD2A1D"/>
    <w:rsid w:val="00DF3F20"/>
    <w:rsid w:val="00E01423"/>
    <w:rsid w:val="00E03DF5"/>
    <w:rsid w:val="00E2441F"/>
    <w:rsid w:val="00E25A94"/>
    <w:rsid w:val="00E26776"/>
    <w:rsid w:val="00E2785E"/>
    <w:rsid w:val="00E328DB"/>
    <w:rsid w:val="00E339FC"/>
    <w:rsid w:val="00E60D65"/>
    <w:rsid w:val="00E638F1"/>
    <w:rsid w:val="00E70D98"/>
    <w:rsid w:val="00E74E27"/>
    <w:rsid w:val="00E77C72"/>
    <w:rsid w:val="00E85545"/>
    <w:rsid w:val="00E92EE6"/>
    <w:rsid w:val="00E933AC"/>
    <w:rsid w:val="00E97514"/>
    <w:rsid w:val="00EA5C93"/>
    <w:rsid w:val="00EC156A"/>
    <w:rsid w:val="00EC1FE1"/>
    <w:rsid w:val="00EC2E4E"/>
    <w:rsid w:val="00ED781A"/>
    <w:rsid w:val="00EE21A2"/>
    <w:rsid w:val="00EE5C03"/>
    <w:rsid w:val="00EF14E3"/>
    <w:rsid w:val="00EF6260"/>
    <w:rsid w:val="00EF7EFE"/>
    <w:rsid w:val="00F00562"/>
    <w:rsid w:val="00F005A4"/>
    <w:rsid w:val="00F1263F"/>
    <w:rsid w:val="00F2477F"/>
    <w:rsid w:val="00F4084E"/>
    <w:rsid w:val="00F64398"/>
    <w:rsid w:val="00F6461B"/>
    <w:rsid w:val="00F7017C"/>
    <w:rsid w:val="00F7609E"/>
    <w:rsid w:val="00F82572"/>
    <w:rsid w:val="00F86303"/>
    <w:rsid w:val="00F87A22"/>
    <w:rsid w:val="00F9161E"/>
    <w:rsid w:val="00FA1351"/>
    <w:rsid w:val="00FA4285"/>
    <w:rsid w:val="00FB4BF3"/>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BA7600"/>
    <w:rPr>
      <w:color w:val="467886" w:themeColor="hyperlink"/>
      <w:u w:val="single"/>
    </w:rPr>
  </w:style>
  <w:style w:type="character" w:styleId="UnresolvedMention">
    <w:name w:val="Unresolved Mention"/>
    <w:basedOn w:val="DefaultParagraphFont"/>
    <w:uiPriority w:val="99"/>
    <w:semiHidden/>
    <w:unhideWhenUsed/>
    <w:rsid w:val="00BA7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2243</Words>
  <Characters>13055</Characters>
  <Application>Microsoft Office Word</Application>
  <DocSecurity>0</DocSecurity>
  <Lines>283</Lines>
  <Paragraphs>110</Paragraphs>
  <ScaleCrop>false</ScaleCrop>
  <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salesforceId:972e5a7d-b890-4100-9541-a21e5a159cec</dc:subject>
  <dc:creator>O'Donoghue, Ruaridh</dc:creator>
  <cp:keywords/>
  <dc:description/>
  <cp:lastModifiedBy>Leesam, Joe</cp:lastModifiedBy>
  <cp:revision>22</cp:revision>
  <dcterms:created xsi:type="dcterms:W3CDTF">2026-07-14T13:23:00Z</dcterms:created>
  <dcterms:modified xsi:type="dcterms:W3CDTF">2026-07-14T13:43:00Z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069Q300000P1vikIAB</vt:lpwstr>
  </property>
</Properties>
</file>