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EB28F6"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EB28F6">
        <w:rPr>
          <w:rFonts w:ascii="Arial" w:hAnsi="Arial" w:cs="Arial"/>
          <w:b/>
          <w:bCs/>
          <w:sz w:val="28"/>
          <w:szCs w:val="28"/>
        </w:rPr>
        <w:t>FOR 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3E1311DD" w:rsidR="000E38BA" w:rsidRPr="00FE71AF" w:rsidRDefault="00EB28F6" w:rsidP="00AE4D3F">
            <w:pPr>
              <w:spacing w:before="100" w:beforeAutospacing="1" w:after="100" w:afterAutospacing="1" w:line="276" w:lineRule="auto"/>
              <w:rPr>
                <w:rFonts w:ascii="Arial" w:hAnsi="Arial" w:cs="Arial"/>
                <w:sz w:val="22"/>
                <w:szCs w:val="22"/>
                <w:lang w:eastAsia="en-GB"/>
              </w:rPr>
            </w:pPr>
            <w:r w:rsidRPr="00FE71AF">
              <w:rPr>
                <w:rFonts w:ascii="Arial" w:hAnsi="Arial" w:cs="Arial"/>
                <w:sz w:val="22"/>
                <w:szCs w:val="22"/>
                <w:lang w:val="en-GB" w:eastAsia="en-GB"/>
              </w:rPr>
              <w:t>PL/2026/02413</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6F450C6A" w:rsidR="000E38BA" w:rsidRPr="00FE71AF" w:rsidRDefault="00EB28F6" w:rsidP="00AE4D3F">
            <w:pPr>
              <w:spacing w:before="100" w:beforeAutospacing="1" w:after="100" w:afterAutospacing="1" w:line="276" w:lineRule="auto"/>
              <w:rPr>
                <w:rFonts w:ascii="Arial" w:hAnsi="Arial" w:cs="Arial"/>
                <w:sz w:val="22"/>
                <w:szCs w:val="22"/>
                <w:lang w:eastAsia="en-GB"/>
              </w:rPr>
            </w:pPr>
            <w:r w:rsidRPr="00FE71AF">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59326F2F" w:rsidR="000E38BA" w:rsidRPr="00FE71AF" w:rsidRDefault="00FE71AF" w:rsidP="00AE4D3F">
            <w:pPr>
              <w:spacing w:before="100" w:beforeAutospacing="1" w:after="100" w:afterAutospacing="1" w:line="276" w:lineRule="auto"/>
              <w:rPr>
                <w:rFonts w:ascii="Arial" w:hAnsi="Arial" w:cs="Arial"/>
                <w:sz w:val="22"/>
                <w:szCs w:val="22"/>
                <w:lang w:eastAsia="en-GB"/>
              </w:rPr>
            </w:pPr>
            <w:r w:rsidRPr="00FE71AF">
              <w:rPr>
                <w:rFonts w:ascii="Arial" w:hAnsi="Arial" w:cs="Arial"/>
                <w:sz w:val="22"/>
                <w:szCs w:val="22"/>
                <w:lang w:val="en-GB" w:eastAsia="en-GB"/>
              </w:rPr>
              <w:t>2 Lower Road, Edington, Westbury, BA13 4QN</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6926C77B" w:rsidR="000E38BA" w:rsidRPr="00FE71AF" w:rsidRDefault="00FE71AF" w:rsidP="00AE4D3F">
            <w:pPr>
              <w:spacing w:before="100" w:beforeAutospacing="1" w:after="100" w:afterAutospacing="1" w:line="276" w:lineRule="auto"/>
              <w:rPr>
                <w:rFonts w:ascii="Arial" w:hAnsi="Arial" w:cs="Arial"/>
                <w:sz w:val="22"/>
                <w:szCs w:val="22"/>
                <w:lang w:eastAsia="en-GB"/>
              </w:rPr>
            </w:pPr>
            <w:r w:rsidRPr="00FE71AF">
              <w:rPr>
                <w:rFonts w:ascii="Arial" w:hAnsi="Arial" w:cs="Arial"/>
                <w:sz w:val="22"/>
                <w:szCs w:val="22"/>
                <w:lang w:val="en-GB" w:eastAsia="en-GB"/>
              </w:rPr>
              <w:t xml:space="preserve">Single storey rear extension and works to create an </w:t>
            </w:r>
            <w:proofErr w:type="gramStart"/>
            <w:r w:rsidRPr="00FE71AF">
              <w:rPr>
                <w:rFonts w:ascii="Arial" w:hAnsi="Arial" w:cs="Arial"/>
                <w:sz w:val="22"/>
                <w:szCs w:val="22"/>
                <w:lang w:val="en-GB" w:eastAsia="en-GB"/>
              </w:rPr>
              <w:t>off road</w:t>
            </w:r>
            <w:proofErr w:type="gramEnd"/>
            <w:r w:rsidRPr="00FE71AF">
              <w:rPr>
                <w:rFonts w:ascii="Arial" w:hAnsi="Arial" w:cs="Arial"/>
                <w:sz w:val="22"/>
                <w:szCs w:val="22"/>
                <w:lang w:val="en-GB" w:eastAsia="en-GB"/>
              </w:rPr>
              <w:t xml:space="preserve"> parking bay at the front of the house.</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1D450D9E" w:rsidR="000E38BA" w:rsidRDefault="000E38BA" w:rsidP="00AE4D3F">
            <w:pPr>
              <w:spacing w:line="276" w:lineRule="auto"/>
              <w:rPr>
                <w:rFonts w:ascii="Arial" w:hAnsi="Arial" w:cs="Arial"/>
                <w:b/>
                <w:bCs/>
                <w:sz w:val="22"/>
                <w:szCs w:val="22"/>
                <w:lang w:eastAsia="en-GB"/>
              </w:rPr>
            </w:pPr>
            <w:proofErr w:type="gramStart"/>
            <w:r w:rsidRPr="00F7609E">
              <w:rPr>
                <w:rFonts w:ascii="Arial" w:hAnsi="Arial" w:cs="Arial"/>
                <w:b/>
                <w:bCs/>
                <w:sz w:val="22"/>
                <w:szCs w:val="22"/>
                <w:lang w:eastAsia="en-GB"/>
              </w:rPr>
              <w:t>That Planning</w:t>
            </w:r>
            <w:proofErr w:type="gramEnd"/>
            <w:r w:rsidRPr="00F7609E">
              <w:rPr>
                <w:rFonts w:ascii="Arial" w:hAnsi="Arial" w:cs="Arial"/>
                <w:b/>
                <w:bCs/>
                <w:sz w:val="22"/>
                <w:szCs w:val="22"/>
                <w:lang w:eastAsia="en-GB"/>
              </w:rPr>
              <w:t xml:space="preserve"> Permission be </w:t>
            </w:r>
            <w:r w:rsidR="003D6B2C">
              <w:rPr>
                <w:rFonts w:ascii="Arial" w:hAnsi="Arial" w:cs="Arial"/>
                <w:b/>
                <w:bCs/>
                <w:sz w:val="22"/>
                <w:szCs w:val="22"/>
                <w:lang w:eastAsia="en-GB"/>
              </w:rPr>
              <w:t>REFUSED</w:t>
            </w:r>
          </w:p>
        </w:tc>
      </w:tr>
    </w:tbl>
    <w:p w14:paraId="27481299" w14:textId="0E9EB5EE" w:rsidR="00537CE4" w:rsidRPr="00205E6D" w:rsidRDefault="00537CE4" w:rsidP="00205E6D">
      <w:pPr>
        <w:tabs>
          <w:tab w:val="left" w:pos="2520"/>
        </w:tabs>
        <w:jc w:val="center"/>
        <w:rPr>
          <w:rFonts w:ascii="Arial" w:hAnsi="Arial" w:cs="Arial"/>
          <w:b/>
          <w:color w:val="FF0000"/>
          <w:sz w:val="22"/>
          <w:szCs w:val="22"/>
        </w:rPr>
      </w:pPr>
      <w:r w:rsidRPr="00537CE4">
        <w:rPr>
          <w:rFonts w:ascii="Arial" w:hAnsi="Arial" w:cs="Arial"/>
          <w:b/>
          <w:noProof/>
          <w:color w:val="FF0000"/>
          <w:sz w:val="22"/>
          <w:szCs w:val="22"/>
        </w:rPr>
        <w:drawing>
          <wp:inline distT="0" distB="0" distL="0" distR="0" wp14:anchorId="58D258C2" wp14:editId="1BAAA591">
            <wp:extent cx="3226527" cy="2114550"/>
            <wp:effectExtent l="0" t="0" r="0" b="0"/>
            <wp:docPr id="2112691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91526" name=""/>
                    <pic:cNvPicPr/>
                  </pic:nvPicPr>
                  <pic:blipFill>
                    <a:blip r:embed="rId5"/>
                    <a:stretch>
                      <a:fillRect/>
                    </a:stretch>
                  </pic:blipFill>
                  <pic:spPr>
                    <a:xfrm>
                      <a:off x="0" y="0"/>
                      <a:ext cx="3237227" cy="2121563"/>
                    </a:xfrm>
                    <a:prstGeom prst="rect">
                      <a:avLst/>
                    </a:prstGeom>
                  </pic:spPr>
                </pic:pic>
              </a:graphicData>
            </a:graphic>
          </wp:inline>
        </w:drawing>
      </w:r>
    </w:p>
    <w:p w14:paraId="66AFB07D" w14:textId="0BDD4A66" w:rsidR="0081484B"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43350AFD" w14:textId="77777777" w:rsidR="000E5A43" w:rsidRDefault="000E5A43" w:rsidP="00CC6665">
      <w:pPr>
        <w:spacing w:line="276" w:lineRule="auto"/>
        <w:rPr>
          <w:rFonts w:ascii="Arial" w:hAnsi="Arial" w:cs="Arial"/>
          <w:b/>
          <w:bCs/>
          <w:sz w:val="22"/>
          <w:szCs w:val="22"/>
        </w:rPr>
      </w:pPr>
    </w:p>
    <w:p w14:paraId="49D2319B" w14:textId="679F0AD7" w:rsidR="002F0CC6" w:rsidRPr="00A36B4E" w:rsidRDefault="00A36B4E" w:rsidP="00CC6665">
      <w:pPr>
        <w:pStyle w:val="NoSpacing"/>
        <w:spacing w:line="276" w:lineRule="auto"/>
      </w:pPr>
      <w:r w:rsidRPr="00A36B4E">
        <w:t>The application seeks planning permission for the erection of a single storey rear extension and the formation of an off-road parking bay to the front of the property, including associated excavation works and retaining structures. The proposed parking area would be constructed with a permeable resin-bound surface and enclosed by retaining walls, with steps and balustrading providing access to the dwelling. The rear extension would be modest in scale with a flat roof finished in EPDM synthetic membrane and incorporating a polycarbonate rooflight, with walls finished in render and timber doors and windows.</w:t>
      </w:r>
    </w:p>
    <w:p w14:paraId="4CF2A18B" w14:textId="77777777" w:rsidR="00B04020" w:rsidRPr="00075C07" w:rsidRDefault="00B04020"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A83801" w:rsidRDefault="00C77C50" w:rsidP="00CC6665">
      <w:pPr>
        <w:spacing w:line="276" w:lineRule="auto"/>
        <w:jc w:val="both"/>
        <w:rPr>
          <w:rFonts w:ascii="Arial" w:hAnsi="Arial" w:cs="Arial"/>
          <w:sz w:val="22"/>
          <w:szCs w:val="22"/>
        </w:rPr>
      </w:pPr>
    </w:p>
    <w:p w14:paraId="64A5EE89" w14:textId="77777777" w:rsidR="00A83801" w:rsidRPr="00A83801" w:rsidRDefault="00A83801" w:rsidP="00A83801">
      <w:pPr>
        <w:spacing w:line="276" w:lineRule="auto"/>
        <w:jc w:val="both"/>
        <w:rPr>
          <w:rFonts w:ascii="Arial" w:hAnsi="Arial" w:cs="Arial"/>
          <w:sz w:val="22"/>
          <w:szCs w:val="22"/>
        </w:rPr>
      </w:pPr>
      <w:r w:rsidRPr="00A83801">
        <w:rPr>
          <w:rFonts w:ascii="Arial" w:hAnsi="Arial" w:cs="Arial"/>
          <w:sz w:val="22"/>
          <w:szCs w:val="22"/>
        </w:rPr>
        <w:t>The application site comprises a mid-terrace two-storey dwelling forming part of a row of three properties, positioned at an elevated level above Lower Road due to the natural topography which slopes upwards to the south. The dwelling is characterised by a mix of painted brick and white uPVC elements under a tiled roof. The surrounding area displays a varied character with a mix of boundary treatments including brick walls, railings, fencing, and established vegetation such as hedgerows and trees. To the north are larger detached properties set within more spacious plots, whilst the wider setting is typical of an edge-of-village location, with open fields and countryside views to the east. The site is located within the Edington Conservation Area, with additional constraints including proximity to a public right of way, designation within a Special Landscape Area, and adjacency to a priority habitat to the south.</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6BCAF986" w14:textId="77777777" w:rsidR="00C848E4" w:rsidRPr="00EE40F7" w:rsidRDefault="00C848E4" w:rsidP="00CC6665">
      <w:pPr>
        <w:spacing w:line="276" w:lineRule="auto"/>
        <w:rPr>
          <w:rFonts w:ascii="Arial" w:hAnsi="Arial" w:cs="Arial"/>
          <w:sz w:val="22"/>
          <w:szCs w:val="22"/>
        </w:rPr>
      </w:pPr>
    </w:p>
    <w:p w14:paraId="09A6C555" w14:textId="718AB8A9" w:rsidR="00C25413" w:rsidRPr="00EE40F7" w:rsidRDefault="00BD3BD3" w:rsidP="00CC6665">
      <w:pPr>
        <w:spacing w:line="276" w:lineRule="auto"/>
        <w:rPr>
          <w:rFonts w:ascii="Arial" w:hAnsi="Arial" w:cs="Arial"/>
          <w:sz w:val="22"/>
          <w:szCs w:val="22"/>
        </w:rPr>
      </w:pPr>
      <w:r w:rsidRPr="00EE40F7">
        <w:rPr>
          <w:rFonts w:ascii="Arial" w:hAnsi="Arial" w:cs="Arial"/>
          <w:sz w:val="22"/>
          <w:szCs w:val="22"/>
        </w:rPr>
        <w:t>No relevant planning history has been identified for the site subject of this application.</w:t>
      </w:r>
    </w:p>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F24B99" w:rsidRDefault="00C53B6A"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1</w:t>
      </w:r>
      <w:r w:rsidR="00601AAD" w:rsidRPr="00F24B99">
        <w:rPr>
          <w:rFonts w:ascii="Arial" w:hAnsi="Arial" w:cs="Arial"/>
          <w:sz w:val="22"/>
          <w:szCs w:val="22"/>
        </w:rPr>
        <w:tab/>
      </w:r>
      <w:r w:rsidR="00601AAD" w:rsidRPr="00F24B99">
        <w:rPr>
          <w:rFonts w:ascii="Arial" w:hAnsi="Arial" w:cs="Arial"/>
          <w:sz w:val="22"/>
          <w:szCs w:val="22"/>
        </w:rPr>
        <w:tab/>
      </w:r>
      <w:r w:rsidRPr="00F24B99">
        <w:rPr>
          <w:rFonts w:ascii="Arial" w:hAnsi="Arial" w:cs="Arial"/>
          <w:sz w:val="22"/>
          <w:szCs w:val="22"/>
        </w:rPr>
        <w:t xml:space="preserve">Settlement </w:t>
      </w:r>
      <w:r w:rsidR="007A61A7" w:rsidRPr="00F24B99">
        <w:rPr>
          <w:rFonts w:ascii="Arial" w:hAnsi="Arial" w:cs="Arial"/>
          <w:sz w:val="22"/>
          <w:szCs w:val="22"/>
        </w:rPr>
        <w:t>S</w:t>
      </w:r>
      <w:r w:rsidRPr="00F24B99">
        <w:rPr>
          <w:rFonts w:ascii="Arial" w:hAnsi="Arial" w:cs="Arial"/>
          <w:sz w:val="22"/>
          <w:szCs w:val="22"/>
        </w:rPr>
        <w:t xml:space="preserve">trategy; </w:t>
      </w:r>
    </w:p>
    <w:p w14:paraId="476E7C45" w14:textId="745033F9" w:rsidR="00DC64E7" w:rsidRPr="00F24B99" w:rsidRDefault="00C53B6A"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2</w:t>
      </w:r>
      <w:r w:rsidR="00601AAD" w:rsidRPr="00F24B99">
        <w:rPr>
          <w:rFonts w:ascii="Arial" w:hAnsi="Arial" w:cs="Arial"/>
          <w:sz w:val="22"/>
          <w:szCs w:val="22"/>
        </w:rPr>
        <w:t xml:space="preserve"> </w:t>
      </w:r>
      <w:r w:rsidR="00601AAD" w:rsidRPr="00F24B99">
        <w:rPr>
          <w:rFonts w:ascii="Arial" w:hAnsi="Arial" w:cs="Arial"/>
          <w:sz w:val="22"/>
          <w:szCs w:val="22"/>
        </w:rPr>
        <w:tab/>
      </w:r>
      <w:r w:rsidR="00601AAD" w:rsidRPr="00F24B99">
        <w:rPr>
          <w:rFonts w:ascii="Arial" w:hAnsi="Arial" w:cs="Arial"/>
          <w:sz w:val="22"/>
          <w:szCs w:val="22"/>
        </w:rPr>
        <w:tab/>
      </w:r>
      <w:r w:rsidRPr="00F24B99">
        <w:rPr>
          <w:rFonts w:ascii="Arial" w:hAnsi="Arial" w:cs="Arial"/>
          <w:sz w:val="22"/>
          <w:szCs w:val="22"/>
        </w:rPr>
        <w:t xml:space="preserve">Delivery </w:t>
      </w:r>
      <w:r w:rsidR="007A61A7" w:rsidRPr="00F24B99">
        <w:rPr>
          <w:rFonts w:ascii="Arial" w:hAnsi="Arial" w:cs="Arial"/>
          <w:sz w:val="22"/>
          <w:szCs w:val="22"/>
        </w:rPr>
        <w:t>S</w:t>
      </w:r>
      <w:r w:rsidRPr="00F24B99">
        <w:rPr>
          <w:rFonts w:ascii="Arial" w:hAnsi="Arial" w:cs="Arial"/>
          <w:sz w:val="22"/>
          <w:szCs w:val="22"/>
        </w:rPr>
        <w:t>trategy;</w:t>
      </w:r>
    </w:p>
    <w:p w14:paraId="7D8BECCC" w14:textId="423C409E" w:rsidR="0076074E" w:rsidRPr="00F24B99" w:rsidRDefault="0076074E"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 xml:space="preserve">Core Policy </w:t>
      </w:r>
      <w:r w:rsidR="00594C14" w:rsidRPr="00F24B99">
        <w:rPr>
          <w:rFonts w:ascii="Arial" w:hAnsi="Arial" w:cs="Arial"/>
          <w:sz w:val="22"/>
          <w:szCs w:val="22"/>
        </w:rPr>
        <w:t>32</w:t>
      </w:r>
      <w:r w:rsidRPr="00F24B99">
        <w:rPr>
          <w:rFonts w:ascii="Arial" w:hAnsi="Arial" w:cs="Arial"/>
          <w:sz w:val="22"/>
          <w:szCs w:val="22"/>
        </w:rPr>
        <w:t xml:space="preserve"> </w:t>
      </w:r>
      <w:r w:rsidRPr="00F24B99">
        <w:rPr>
          <w:rFonts w:ascii="Arial" w:hAnsi="Arial" w:cs="Arial"/>
          <w:sz w:val="22"/>
          <w:szCs w:val="22"/>
        </w:rPr>
        <w:tab/>
        <w:t>Spatial Strategy:</w:t>
      </w:r>
      <w:r w:rsidR="00594C14" w:rsidRPr="00F24B99">
        <w:rPr>
          <w:rFonts w:ascii="Arial" w:hAnsi="Arial" w:cs="Arial"/>
          <w:sz w:val="22"/>
          <w:szCs w:val="22"/>
        </w:rPr>
        <w:t xml:space="preserve"> Westbury Community Area;</w:t>
      </w:r>
    </w:p>
    <w:p w14:paraId="72359717" w14:textId="5D2923D3" w:rsidR="007336B3" w:rsidRPr="00F24B99" w:rsidRDefault="007336B3"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50</w:t>
      </w:r>
      <w:r w:rsidRPr="00F24B99">
        <w:rPr>
          <w:rFonts w:ascii="Arial" w:hAnsi="Arial" w:cs="Arial"/>
          <w:sz w:val="22"/>
          <w:szCs w:val="22"/>
        </w:rPr>
        <w:tab/>
      </w:r>
      <w:r w:rsidRPr="00F24B99">
        <w:rPr>
          <w:rFonts w:ascii="Arial" w:hAnsi="Arial" w:cs="Arial"/>
          <w:sz w:val="22"/>
          <w:szCs w:val="22"/>
        </w:rPr>
        <w:tab/>
        <w:t>Biodiversity and Geodiversity;</w:t>
      </w:r>
    </w:p>
    <w:p w14:paraId="2C9A8F56" w14:textId="6C82D516" w:rsidR="00C53B6A" w:rsidRPr="00F24B99" w:rsidRDefault="00C53B6A"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51</w:t>
      </w:r>
      <w:r w:rsidR="00601AAD" w:rsidRPr="00F24B99">
        <w:rPr>
          <w:rFonts w:ascii="Arial" w:hAnsi="Arial" w:cs="Arial"/>
          <w:sz w:val="22"/>
          <w:szCs w:val="22"/>
        </w:rPr>
        <w:t xml:space="preserve"> </w:t>
      </w:r>
      <w:r w:rsidR="00601AAD" w:rsidRPr="00F24B99">
        <w:rPr>
          <w:rFonts w:ascii="Arial" w:hAnsi="Arial" w:cs="Arial"/>
          <w:sz w:val="22"/>
          <w:szCs w:val="22"/>
        </w:rPr>
        <w:tab/>
      </w:r>
      <w:r w:rsidRPr="00F24B99">
        <w:rPr>
          <w:rFonts w:ascii="Arial" w:hAnsi="Arial" w:cs="Arial"/>
          <w:sz w:val="22"/>
          <w:szCs w:val="22"/>
        </w:rPr>
        <w:t xml:space="preserve">Landscape; </w:t>
      </w:r>
    </w:p>
    <w:p w14:paraId="40D32787" w14:textId="78D7E7D9" w:rsidR="00A938B9" w:rsidRPr="00F24B99" w:rsidRDefault="00C53B6A"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57</w:t>
      </w:r>
      <w:r w:rsidR="00601AAD" w:rsidRPr="00F24B99">
        <w:rPr>
          <w:rFonts w:ascii="Arial" w:hAnsi="Arial" w:cs="Arial"/>
          <w:sz w:val="22"/>
          <w:szCs w:val="22"/>
        </w:rPr>
        <w:t xml:space="preserve"> </w:t>
      </w:r>
      <w:r w:rsidR="00601AAD" w:rsidRPr="00F24B99">
        <w:rPr>
          <w:rFonts w:ascii="Arial" w:hAnsi="Arial" w:cs="Arial"/>
          <w:sz w:val="22"/>
          <w:szCs w:val="22"/>
        </w:rPr>
        <w:tab/>
      </w:r>
      <w:r w:rsidRPr="00F24B99">
        <w:rPr>
          <w:rFonts w:ascii="Arial" w:hAnsi="Arial" w:cs="Arial"/>
          <w:sz w:val="22"/>
          <w:szCs w:val="22"/>
        </w:rPr>
        <w:t xml:space="preserve">Ensuring </w:t>
      </w:r>
      <w:r w:rsidR="007A61A7" w:rsidRPr="00F24B99">
        <w:rPr>
          <w:rFonts w:ascii="Arial" w:hAnsi="Arial" w:cs="Arial"/>
          <w:sz w:val="22"/>
          <w:szCs w:val="22"/>
        </w:rPr>
        <w:t>H</w:t>
      </w:r>
      <w:r w:rsidRPr="00F24B99">
        <w:rPr>
          <w:rFonts w:ascii="Arial" w:hAnsi="Arial" w:cs="Arial"/>
          <w:sz w:val="22"/>
          <w:szCs w:val="22"/>
        </w:rPr>
        <w:t>igh-</w:t>
      </w:r>
      <w:r w:rsidR="007A61A7" w:rsidRPr="00F24B99">
        <w:rPr>
          <w:rFonts w:ascii="Arial" w:hAnsi="Arial" w:cs="Arial"/>
          <w:sz w:val="22"/>
          <w:szCs w:val="22"/>
        </w:rPr>
        <w:t>Q</w:t>
      </w:r>
      <w:r w:rsidRPr="00F24B99">
        <w:rPr>
          <w:rFonts w:ascii="Arial" w:hAnsi="Arial" w:cs="Arial"/>
          <w:sz w:val="22"/>
          <w:szCs w:val="22"/>
        </w:rPr>
        <w:t xml:space="preserve">uality </w:t>
      </w:r>
      <w:r w:rsidR="007A61A7" w:rsidRPr="00F24B99">
        <w:rPr>
          <w:rFonts w:ascii="Arial" w:hAnsi="Arial" w:cs="Arial"/>
          <w:sz w:val="22"/>
          <w:szCs w:val="22"/>
        </w:rPr>
        <w:t>D</w:t>
      </w:r>
      <w:r w:rsidRPr="00F24B99">
        <w:rPr>
          <w:rFonts w:ascii="Arial" w:hAnsi="Arial" w:cs="Arial"/>
          <w:sz w:val="22"/>
          <w:szCs w:val="22"/>
        </w:rPr>
        <w:t xml:space="preserve">esign and </w:t>
      </w:r>
      <w:r w:rsidR="007A61A7" w:rsidRPr="00F24B99">
        <w:rPr>
          <w:rFonts w:ascii="Arial" w:hAnsi="Arial" w:cs="Arial"/>
          <w:sz w:val="22"/>
          <w:szCs w:val="22"/>
        </w:rPr>
        <w:t>P</w:t>
      </w:r>
      <w:r w:rsidRPr="00F24B99">
        <w:rPr>
          <w:rFonts w:ascii="Arial" w:hAnsi="Arial" w:cs="Arial"/>
          <w:sz w:val="22"/>
          <w:szCs w:val="22"/>
        </w:rPr>
        <w:t xml:space="preserve">lace </w:t>
      </w:r>
      <w:r w:rsidR="007A61A7" w:rsidRPr="00F24B99">
        <w:rPr>
          <w:rFonts w:ascii="Arial" w:hAnsi="Arial" w:cs="Arial"/>
          <w:sz w:val="22"/>
          <w:szCs w:val="22"/>
        </w:rPr>
        <w:t>S</w:t>
      </w:r>
      <w:r w:rsidRPr="00F24B99">
        <w:rPr>
          <w:rFonts w:ascii="Arial" w:hAnsi="Arial" w:cs="Arial"/>
          <w:sz w:val="22"/>
          <w:szCs w:val="22"/>
        </w:rPr>
        <w:t xml:space="preserve">haping; </w:t>
      </w:r>
    </w:p>
    <w:p w14:paraId="5D5EEFD7" w14:textId="6F800EB9" w:rsidR="00A938B9" w:rsidRPr="00F24B99" w:rsidRDefault="00A938B9"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58</w:t>
      </w:r>
      <w:r w:rsidRPr="00F24B99">
        <w:rPr>
          <w:rFonts w:ascii="Arial" w:hAnsi="Arial" w:cs="Arial"/>
          <w:sz w:val="22"/>
          <w:szCs w:val="22"/>
        </w:rPr>
        <w:tab/>
      </w:r>
      <w:r w:rsidRPr="00F24B99">
        <w:rPr>
          <w:rFonts w:ascii="Arial" w:hAnsi="Arial" w:cs="Arial"/>
          <w:sz w:val="22"/>
          <w:szCs w:val="22"/>
        </w:rPr>
        <w:tab/>
        <w:t>Ensuring Conservation of the Historic Environment;</w:t>
      </w:r>
    </w:p>
    <w:p w14:paraId="11ED6A25" w14:textId="7AF5F23B" w:rsidR="00EB3DCC" w:rsidRPr="00F24B99" w:rsidRDefault="00EB3DCC"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60</w:t>
      </w:r>
      <w:r w:rsidRPr="00F24B99">
        <w:rPr>
          <w:rFonts w:ascii="Arial" w:hAnsi="Arial" w:cs="Arial"/>
          <w:sz w:val="22"/>
          <w:szCs w:val="22"/>
        </w:rPr>
        <w:tab/>
      </w:r>
      <w:r w:rsidRPr="00F24B99">
        <w:rPr>
          <w:rFonts w:ascii="Arial" w:hAnsi="Arial" w:cs="Arial"/>
          <w:sz w:val="22"/>
          <w:szCs w:val="22"/>
        </w:rPr>
        <w:tab/>
        <w:t>Sustainable Transport;</w:t>
      </w:r>
    </w:p>
    <w:p w14:paraId="77A925A7" w14:textId="333FBA5F" w:rsidR="00C53B6A" w:rsidRPr="00F24B99" w:rsidRDefault="00C53B6A"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61</w:t>
      </w:r>
      <w:r w:rsidR="00601AAD" w:rsidRPr="00F24B99">
        <w:rPr>
          <w:rFonts w:ascii="Arial" w:hAnsi="Arial" w:cs="Arial"/>
          <w:sz w:val="22"/>
          <w:szCs w:val="22"/>
        </w:rPr>
        <w:t xml:space="preserve"> </w:t>
      </w:r>
      <w:r w:rsidR="00601AAD" w:rsidRPr="00F24B99">
        <w:rPr>
          <w:rFonts w:ascii="Arial" w:hAnsi="Arial" w:cs="Arial"/>
          <w:sz w:val="22"/>
          <w:szCs w:val="22"/>
        </w:rPr>
        <w:tab/>
      </w:r>
      <w:r w:rsidRPr="00F24B99">
        <w:rPr>
          <w:rFonts w:ascii="Arial" w:hAnsi="Arial" w:cs="Arial"/>
          <w:sz w:val="22"/>
          <w:szCs w:val="22"/>
        </w:rPr>
        <w:t xml:space="preserve">Transport and Development; </w:t>
      </w:r>
    </w:p>
    <w:p w14:paraId="2F1672C7" w14:textId="2EDD9E9D" w:rsidR="00C53B6A" w:rsidRPr="00F24B99" w:rsidRDefault="00C53B6A"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64</w:t>
      </w:r>
      <w:r w:rsidR="00601AAD" w:rsidRPr="00F24B99">
        <w:rPr>
          <w:rFonts w:ascii="Arial" w:hAnsi="Arial" w:cs="Arial"/>
          <w:sz w:val="22"/>
          <w:szCs w:val="22"/>
        </w:rPr>
        <w:t xml:space="preserve"> </w:t>
      </w:r>
      <w:r w:rsidR="00601AAD" w:rsidRPr="00F24B99">
        <w:rPr>
          <w:rFonts w:ascii="Arial" w:hAnsi="Arial" w:cs="Arial"/>
          <w:sz w:val="22"/>
          <w:szCs w:val="22"/>
        </w:rPr>
        <w:tab/>
      </w:r>
      <w:r w:rsidRPr="00F24B99">
        <w:rPr>
          <w:rFonts w:ascii="Arial" w:hAnsi="Arial" w:cs="Arial"/>
          <w:sz w:val="22"/>
          <w:szCs w:val="22"/>
        </w:rPr>
        <w:t xml:space="preserve">Demand Management; </w:t>
      </w:r>
    </w:p>
    <w:p w14:paraId="2911E291" w14:textId="49AA6B9B" w:rsidR="0023524B" w:rsidRPr="00F24B99" w:rsidRDefault="0023524B" w:rsidP="00CC6665">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67</w:t>
      </w:r>
      <w:r w:rsidRPr="00F24B99">
        <w:rPr>
          <w:rFonts w:ascii="Arial" w:hAnsi="Arial" w:cs="Arial"/>
          <w:sz w:val="22"/>
          <w:szCs w:val="22"/>
        </w:rPr>
        <w:tab/>
      </w:r>
      <w:r w:rsidRPr="00F24B99">
        <w:rPr>
          <w:rFonts w:ascii="Arial" w:hAnsi="Arial" w:cs="Arial"/>
          <w:sz w:val="22"/>
          <w:szCs w:val="22"/>
        </w:rPr>
        <w:tab/>
        <w:t>Flood Risk;</w:t>
      </w:r>
    </w:p>
    <w:p w14:paraId="64F53B99" w14:textId="77777777" w:rsidR="00DC4F3E" w:rsidRPr="00F24B99" w:rsidRDefault="00DC4F3E" w:rsidP="00CC6665">
      <w:pPr>
        <w:spacing w:line="276" w:lineRule="auto"/>
        <w:rPr>
          <w:rFonts w:ascii="Arial" w:hAnsi="Arial" w:cs="Arial"/>
          <w:sz w:val="22"/>
          <w:szCs w:val="22"/>
          <w:u w:val="single"/>
        </w:rPr>
      </w:pPr>
    </w:p>
    <w:p w14:paraId="1C924897" w14:textId="4C2C13CF" w:rsidR="00DC4F3E" w:rsidRPr="00F24B99" w:rsidRDefault="00DC4F3E" w:rsidP="00CC6665">
      <w:pPr>
        <w:spacing w:line="276" w:lineRule="auto"/>
        <w:rPr>
          <w:rFonts w:ascii="Arial" w:hAnsi="Arial" w:cs="Arial"/>
          <w:sz w:val="22"/>
          <w:szCs w:val="22"/>
          <w:u w:val="single"/>
        </w:rPr>
      </w:pPr>
      <w:bookmarkStart w:id="0" w:name="_Hlk212452795"/>
      <w:bookmarkStart w:id="1" w:name="_Hlk212461860"/>
      <w:r w:rsidRPr="00F24B99">
        <w:rPr>
          <w:rFonts w:ascii="Arial" w:hAnsi="Arial" w:cs="Arial"/>
          <w:sz w:val="22"/>
          <w:szCs w:val="22"/>
          <w:u w:val="single"/>
        </w:rPr>
        <w:t>The National Planning Policy Framework (NPPF)</w:t>
      </w:r>
      <w:r w:rsidR="00205E6D" w:rsidRPr="00205E6D">
        <w:rPr>
          <w:rFonts w:ascii="Arial" w:hAnsi="Arial" w:cs="Arial"/>
          <w:sz w:val="22"/>
          <w:szCs w:val="22"/>
        </w:rPr>
        <w:t xml:space="preserve"> and </w:t>
      </w:r>
      <w:r w:rsidRPr="00F24B99">
        <w:rPr>
          <w:rFonts w:ascii="Arial" w:hAnsi="Arial" w:cs="Arial"/>
          <w:sz w:val="22"/>
          <w:szCs w:val="22"/>
          <w:u w:val="single"/>
        </w:rPr>
        <w:t>The Planning Practice Guidance (PPG)</w:t>
      </w:r>
    </w:p>
    <w:p w14:paraId="4930FB06" w14:textId="77777777" w:rsidR="008D6C52" w:rsidRPr="00F24B99" w:rsidRDefault="008D6C52" w:rsidP="00CC6665">
      <w:pPr>
        <w:spacing w:line="276" w:lineRule="auto"/>
        <w:rPr>
          <w:rFonts w:ascii="Arial" w:hAnsi="Arial" w:cs="Arial"/>
          <w:sz w:val="22"/>
          <w:szCs w:val="22"/>
          <w:u w:val="single"/>
        </w:rPr>
      </w:pPr>
    </w:p>
    <w:p w14:paraId="08D91513" w14:textId="2BED8373" w:rsidR="00561AE7" w:rsidRPr="00F24B99" w:rsidRDefault="008D6C52" w:rsidP="00CC6665">
      <w:pPr>
        <w:spacing w:before="20" w:line="276" w:lineRule="auto"/>
        <w:rPr>
          <w:rFonts w:ascii="Arial" w:hAnsi="Arial" w:cs="Arial"/>
          <w:sz w:val="22"/>
          <w:szCs w:val="22"/>
          <w:u w:val="single"/>
        </w:rPr>
      </w:pPr>
      <w:r w:rsidRPr="00F24B99">
        <w:rPr>
          <w:rFonts w:ascii="Arial" w:hAnsi="Arial" w:cs="Arial"/>
          <w:sz w:val="22"/>
          <w:szCs w:val="22"/>
          <w:u w:val="single"/>
        </w:rPr>
        <w:t xml:space="preserve">Wiltshire Design Guide </w:t>
      </w:r>
      <w:r w:rsidR="00DC4F3E" w:rsidRPr="00F24B99">
        <w:rPr>
          <w:rFonts w:ascii="Arial" w:hAnsi="Arial" w:cs="Arial"/>
          <w:sz w:val="22"/>
          <w:szCs w:val="22"/>
          <w:u w:val="single"/>
        </w:rPr>
        <w:t>- Appendix D – Design Guidance for Householder extensions</w:t>
      </w:r>
    </w:p>
    <w:bookmarkEnd w:id="0"/>
    <w:p w14:paraId="19CD89F3" w14:textId="77777777" w:rsidR="00DC4F3E" w:rsidRPr="00F24B99" w:rsidRDefault="00DC4F3E" w:rsidP="00CC6665">
      <w:pPr>
        <w:spacing w:line="276" w:lineRule="auto"/>
        <w:rPr>
          <w:rFonts w:ascii="Arial" w:hAnsi="Arial" w:cs="Arial"/>
          <w:sz w:val="22"/>
          <w:szCs w:val="22"/>
          <w:u w:val="single"/>
        </w:rPr>
      </w:pPr>
    </w:p>
    <w:p w14:paraId="791E8FB4" w14:textId="79324D54" w:rsidR="00561AE7" w:rsidRPr="00F24B99" w:rsidRDefault="008D6C52" w:rsidP="00CC6665">
      <w:pPr>
        <w:spacing w:line="276" w:lineRule="auto"/>
        <w:rPr>
          <w:rFonts w:ascii="Arial" w:hAnsi="Arial" w:cs="Arial"/>
          <w:sz w:val="22"/>
          <w:szCs w:val="22"/>
          <w:u w:val="single"/>
        </w:rPr>
      </w:pPr>
      <w:r w:rsidRPr="00F24B99">
        <w:rPr>
          <w:rFonts w:ascii="Arial" w:hAnsi="Arial" w:cs="Arial"/>
          <w:sz w:val="22"/>
          <w:szCs w:val="22"/>
          <w:u w:val="single"/>
        </w:rPr>
        <w:t>The Wiltshire Local Transport Plan 201</w:t>
      </w:r>
      <w:r w:rsidR="008D5791" w:rsidRPr="00F24B99">
        <w:rPr>
          <w:rFonts w:ascii="Arial" w:hAnsi="Arial" w:cs="Arial"/>
          <w:sz w:val="22"/>
          <w:szCs w:val="22"/>
          <w:u w:val="single"/>
        </w:rPr>
        <w:t>1</w:t>
      </w:r>
      <w:r w:rsidRPr="00F24B99">
        <w:rPr>
          <w:rFonts w:ascii="Arial" w:hAnsi="Arial" w:cs="Arial"/>
          <w:sz w:val="22"/>
          <w:szCs w:val="22"/>
          <w:u w:val="single"/>
        </w:rPr>
        <w:t xml:space="preserve"> – 2026: Car Parking Strategy (March 2015).</w:t>
      </w:r>
    </w:p>
    <w:p w14:paraId="68198CF8" w14:textId="77777777" w:rsidR="00DC4F3E" w:rsidRPr="00F24B99" w:rsidRDefault="00DC4F3E" w:rsidP="00CC6665">
      <w:pPr>
        <w:spacing w:line="276" w:lineRule="auto"/>
        <w:rPr>
          <w:rFonts w:ascii="Arial" w:hAnsi="Arial" w:cs="Arial"/>
          <w:sz w:val="22"/>
          <w:szCs w:val="22"/>
        </w:rPr>
      </w:pPr>
    </w:p>
    <w:p w14:paraId="7E5B5138" w14:textId="30DA2106" w:rsidR="00CD6B35" w:rsidRPr="00F24B99" w:rsidRDefault="00CD6B35" w:rsidP="00CC6665">
      <w:pPr>
        <w:spacing w:line="276" w:lineRule="auto"/>
        <w:rPr>
          <w:rFonts w:ascii="Arial" w:hAnsi="Arial" w:cs="Arial"/>
          <w:sz w:val="22"/>
          <w:szCs w:val="22"/>
          <w:u w:val="single"/>
        </w:rPr>
      </w:pPr>
      <w:r w:rsidRPr="00F24B99">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35183E60"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68D5A50" w:rsidR="0060536A" w:rsidRPr="00A51F13" w:rsidRDefault="00D37471" w:rsidP="00CC6665">
      <w:pPr>
        <w:spacing w:line="276" w:lineRule="auto"/>
        <w:rPr>
          <w:rFonts w:ascii="Arial" w:hAnsi="Arial" w:cs="Arial"/>
          <w:bCs/>
          <w:sz w:val="22"/>
          <w:szCs w:val="22"/>
          <w:u w:val="single"/>
        </w:rPr>
      </w:pPr>
      <w:r w:rsidRPr="00A51F13">
        <w:rPr>
          <w:rFonts w:ascii="Arial" w:hAnsi="Arial" w:cs="Arial"/>
          <w:bCs/>
          <w:sz w:val="22"/>
          <w:szCs w:val="22"/>
          <w:u w:val="single"/>
        </w:rPr>
        <w:t xml:space="preserve">Edington </w:t>
      </w:r>
      <w:r w:rsidR="00DC4F3E" w:rsidRPr="00A51F13">
        <w:rPr>
          <w:rFonts w:ascii="Arial" w:hAnsi="Arial" w:cs="Arial"/>
          <w:bCs/>
          <w:sz w:val="22"/>
          <w:szCs w:val="22"/>
          <w:u w:val="single"/>
        </w:rPr>
        <w:t>Parish</w:t>
      </w:r>
      <w:r w:rsidR="005D2581" w:rsidRPr="00A51F13">
        <w:rPr>
          <w:rFonts w:ascii="Arial" w:hAnsi="Arial" w:cs="Arial"/>
          <w:bCs/>
          <w:sz w:val="22"/>
          <w:szCs w:val="22"/>
          <w:u w:val="single"/>
        </w:rPr>
        <w:t xml:space="preserve"> Council</w:t>
      </w:r>
      <w:r w:rsidR="0060536A" w:rsidRPr="00A51F13">
        <w:rPr>
          <w:rFonts w:ascii="Arial" w:hAnsi="Arial" w:cs="Arial"/>
          <w:bCs/>
          <w:sz w:val="22"/>
          <w:szCs w:val="22"/>
          <w:u w:val="single"/>
        </w:rPr>
        <w:t xml:space="preserve"> – </w:t>
      </w:r>
      <w:r w:rsidRPr="00A51F13">
        <w:rPr>
          <w:rFonts w:ascii="Arial" w:hAnsi="Arial" w:cs="Arial"/>
          <w:bCs/>
          <w:sz w:val="22"/>
          <w:szCs w:val="22"/>
          <w:u w:val="single"/>
        </w:rPr>
        <w:t>Supports</w:t>
      </w:r>
    </w:p>
    <w:p w14:paraId="1F36FE15" w14:textId="49D6B214" w:rsidR="00DC4F3E" w:rsidRPr="00A51F13" w:rsidRDefault="00A51F13" w:rsidP="00A51F13">
      <w:pPr>
        <w:spacing w:line="276" w:lineRule="auto"/>
        <w:jc w:val="both"/>
        <w:rPr>
          <w:rFonts w:ascii="Arial" w:hAnsi="Arial" w:cs="Arial"/>
          <w:bCs/>
          <w:sz w:val="22"/>
          <w:szCs w:val="22"/>
        </w:rPr>
      </w:pPr>
      <w:r w:rsidRPr="00A51F13">
        <w:rPr>
          <w:rFonts w:ascii="Arial" w:hAnsi="Arial" w:cs="Arial"/>
          <w:bCs/>
          <w:sz w:val="22"/>
          <w:szCs w:val="22"/>
        </w:rPr>
        <w:t>The Parish Council supports the proposal, noting that it would remove a vehicle from on-street parking on a narrow section of Lower Road near the Monastery Road junction. It considers the off-road parking space beneficial given that Lower Road is used as a through route.</w:t>
      </w:r>
    </w:p>
    <w:p w14:paraId="180F37FF" w14:textId="77777777" w:rsidR="00A51F13" w:rsidRPr="00075C07" w:rsidRDefault="00A51F13" w:rsidP="00CC6665">
      <w:pPr>
        <w:spacing w:line="276" w:lineRule="auto"/>
        <w:rPr>
          <w:rFonts w:ascii="Arial" w:hAnsi="Arial" w:cs="Arial"/>
          <w:bCs/>
          <w:color w:val="FF0000"/>
          <w:sz w:val="22"/>
          <w:szCs w:val="22"/>
        </w:rPr>
      </w:pPr>
    </w:p>
    <w:p w14:paraId="51953FE9" w14:textId="48D2F004" w:rsidR="00DC4F3E" w:rsidRPr="00964675" w:rsidRDefault="00DC4F3E" w:rsidP="00CC6665">
      <w:pPr>
        <w:spacing w:line="276" w:lineRule="auto"/>
        <w:rPr>
          <w:rFonts w:ascii="Arial" w:hAnsi="Arial" w:cs="Arial"/>
          <w:bCs/>
          <w:sz w:val="22"/>
          <w:szCs w:val="22"/>
          <w:u w:val="single"/>
        </w:rPr>
      </w:pPr>
      <w:r w:rsidRPr="00964675">
        <w:rPr>
          <w:rFonts w:ascii="Arial" w:hAnsi="Arial" w:cs="Arial"/>
          <w:bCs/>
          <w:sz w:val="22"/>
          <w:szCs w:val="22"/>
          <w:u w:val="single"/>
        </w:rPr>
        <w:t xml:space="preserve">Local Highway Authority (Wiltshire Council) – </w:t>
      </w:r>
      <w:r w:rsidR="005B0376" w:rsidRPr="00964675">
        <w:rPr>
          <w:rFonts w:ascii="Arial" w:hAnsi="Arial" w:cs="Arial"/>
          <w:bCs/>
          <w:sz w:val="22"/>
          <w:szCs w:val="22"/>
          <w:u w:val="single"/>
        </w:rPr>
        <w:t>Objects</w:t>
      </w:r>
    </w:p>
    <w:p w14:paraId="7ED1B50D" w14:textId="715F38FF" w:rsidR="0060536A" w:rsidRPr="00964675" w:rsidRDefault="00964675" w:rsidP="00CC6665">
      <w:pPr>
        <w:pStyle w:val="NoSpacing"/>
        <w:spacing w:line="276" w:lineRule="auto"/>
      </w:pPr>
      <w:r w:rsidRPr="00964675">
        <w:t>No objection raised to the proposed rear extension but objects to the creation of the front parking bay and vehicle access. The proposed access fails to provide the required visibility splays and on-site turning area, meaning vehicles could not safely enter and leave the site in a forward gear, resulting in highway safety concerns.</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992CA7" w:rsidRDefault="005D2581" w:rsidP="00CC6665">
      <w:pPr>
        <w:spacing w:line="276" w:lineRule="auto"/>
        <w:rPr>
          <w:rFonts w:ascii="Arial" w:hAnsi="Arial" w:cs="Arial"/>
          <w:bCs/>
          <w:sz w:val="22"/>
          <w:szCs w:val="22"/>
        </w:rPr>
      </w:pPr>
    </w:p>
    <w:p w14:paraId="1C30F395" w14:textId="76247FD6" w:rsidR="00B15AD7" w:rsidRPr="00992CA7" w:rsidRDefault="003A1308" w:rsidP="00CC6665">
      <w:pPr>
        <w:spacing w:line="276" w:lineRule="auto"/>
        <w:rPr>
          <w:rFonts w:ascii="Arial" w:hAnsi="Arial" w:cs="Arial"/>
          <w:bCs/>
          <w:sz w:val="22"/>
          <w:szCs w:val="22"/>
        </w:rPr>
      </w:pPr>
      <w:r w:rsidRPr="00992CA7">
        <w:rPr>
          <w:rFonts w:ascii="Arial" w:hAnsi="Arial" w:cs="Arial"/>
          <w:bCs/>
          <w:sz w:val="22"/>
          <w:szCs w:val="22"/>
        </w:rPr>
        <w:t>No</w:t>
      </w:r>
      <w:r w:rsidR="003E43F6" w:rsidRPr="00992CA7">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205E6D" w:rsidRDefault="00606E13" w:rsidP="00CC6665">
      <w:pPr>
        <w:spacing w:line="276" w:lineRule="auto"/>
        <w:rPr>
          <w:rFonts w:ascii="Arial" w:hAnsi="Arial" w:cs="Arial"/>
          <w:sz w:val="22"/>
          <w:szCs w:val="22"/>
        </w:rPr>
      </w:pPr>
    </w:p>
    <w:p w14:paraId="055D1EB6" w14:textId="4E46C394" w:rsidR="00AC6F8D" w:rsidRPr="00205E6D" w:rsidRDefault="00AC6F8D" w:rsidP="00AC6F8D">
      <w:pPr>
        <w:spacing w:line="276" w:lineRule="auto"/>
        <w:jc w:val="both"/>
        <w:rPr>
          <w:rFonts w:ascii="Arial" w:hAnsi="Arial" w:cs="Arial"/>
          <w:b/>
          <w:bCs/>
          <w:sz w:val="22"/>
          <w:szCs w:val="22"/>
          <w:u w:val="single"/>
        </w:rPr>
      </w:pPr>
      <w:r w:rsidRPr="00205E6D">
        <w:rPr>
          <w:rFonts w:ascii="Arial" w:hAnsi="Arial" w:cs="Arial"/>
          <w:sz w:val="22"/>
          <w:szCs w:val="22"/>
        </w:rPr>
        <w:t xml:space="preserve">Householder extensions are generally acceptable in principle, as they typically fall within the established residential curtilage of a property and do not result in new residential development in the open countryside. </w:t>
      </w:r>
      <w:r w:rsidR="000D154A">
        <w:rPr>
          <w:rFonts w:ascii="Arial" w:hAnsi="Arial" w:cs="Arial"/>
          <w:sz w:val="22"/>
          <w:szCs w:val="22"/>
        </w:rPr>
        <w:t xml:space="preserve">The proposal also </w:t>
      </w:r>
      <w:r w:rsidR="000D154A" w:rsidRPr="000D154A">
        <w:rPr>
          <w:rFonts w:ascii="Arial" w:hAnsi="Arial" w:cs="Arial"/>
          <w:sz w:val="22"/>
          <w:szCs w:val="22"/>
        </w:rPr>
        <w:t xml:space="preserve">involves engineering operations to form a new vehicular access and off-street parking area within the domestic curtilage. Whilst </w:t>
      </w:r>
      <w:r w:rsidR="000D154A">
        <w:rPr>
          <w:rFonts w:ascii="Arial" w:hAnsi="Arial" w:cs="Arial"/>
          <w:sz w:val="22"/>
          <w:szCs w:val="22"/>
        </w:rPr>
        <w:t xml:space="preserve">such </w:t>
      </w:r>
      <w:r w:rsidR="000D154A" w:rsidRPr="000D154A">
        <w:rPr>
          <w:rFonts w:ascii="Arial" w:hAnsi="Arial" w:cs="Arial"/>
          <w:sz w:val="22"/>
          <w:szCs w:val="22"/>
        </w:rPr>
        <w:t xml:space="preserve">development within residential curtilages is not unacceptable in principle, such proposals must be assessed on their individual merits, having </w:t>
      </w:r>
      <w:proofErr w:type="gramStart"/>
      <w:r w:rsidR="000D154A" w:rsidRPr="000D154A">
        <w:rPr>
          <w:rFonts w:ascii="Arial" w:hAnsi="Arial" w:cs="Arial"/>
          <w:sz w:val="22"/>
          <w:szCs w:val="22"/>
        </w:rPr>
        <w:t>particular regard</w:t>
      </w:r>
      <w:proofErr w:type="gramEnd"/>
      <w:r w:rsidR="000D154A" w:rsidRPr="000D154A">
        <w:rPr>
          <w:rFonts w:ascii="Arial" w:hAnsi="Arial" w:cs="Arial"/>
          <w:sz w:val="22"/>
          <w:szCs w:val="22"/>
        </w:rPr>
        <w:t xml:space="preserve"> to their impact on the character of the area, heritage assets, and highway safety, having regard to Core Policies 57, 58, 60 and 61 of the Wiltshire Core Strategy.</w:t>
      </w:r>
    </w:p>
    <w:p w14:paraId="2B962CB2" w14:textId="77777777" w:rsidR="006C1101" w:rsidRPr="00075C07" w:rsidRDefault="006C1101"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Default="0062080E" w:rsidP="00CC6665">
      <w:pPr>
        <w:spacing w:line="276" w:lineRule="auto"/>
        <w:jc w:val="both"/>
        <w:rPr>
          <w:rFonts w:ascii="Arial" w:hAnsi="Arial" w:cs="Arial"/>
          <w:sz w:val="22"/>
          <w:szCs w:val="22"/>
        </w:rPr>
      </w:pPr>
    </w:p>
    <w:p w14:paraId="6640FD76" w14:textId="13A30FBA" w:rsidR="00EA3B54" w:rsidRPr="00EA3B54" w:rsidRDefault="00EA3B54" w:rsidP="00EA3B54">
      <w:pPr>
        <w:spacing w:line="276" w:lineRule="auto"/>
        <w:jc w:val="both"/>
        <w:rPr>
          <w:rFonts w:ascii="Arial" w:hAnsi="Arial" w:cs="Arial"/>
          <w:sz w:val="22"/>
          <w:szCs w:val="22"/>
        </w:rPr>
      </w:pPr>
      <w:r w:rsidRPr="00EA3B54">
        <w:rPr>
          <w:rFonts w:ascii="Arial" w:hAnsi="Arial" w:cs="Arial"/>
          <w:sz w:val="22"/>
          <w:szCs w:val="22"/>
        </w:rPr>
        <w:t>Core Policy 51 of the WCS states that development should conserve and protect existing landscape character. It additionally states that local features such as hedgerows and watercourses must be considered as part of any analysis, as well as other matters which relate to the overall distinctive quality of the specific locality in question.</w:t>
      </w:r>
    </w:p>
    <w:p w14:paraId="07191D95" w14:textId="77777777" w:rsidR="00EA3B54" w:rsidRPr="0021580E" w:rsidRDefault="00EA3B54" w:rsidP="00CC6665">
      <w:pPr>
        <w:spacing w:line="276" w:lineRule="auto"/>
        <w:jc w:val="both"/>
        <w:rPr>
          <w:rFonts w:ascii="Arial" w:hAnsi="Arial" w:cs="Arial"/>
          <w:sz w:val="22"/>
          <w:szCs w:val="22"/>
        </w:rPr>
      </w:pPr>
    </w:p>
    <w:p w14:paraId="5BC3C297" w14:textId="77777777" w:rsidR="000D154A" w:rsidRDefault="00005126" w:rsidP="00005126">
      <w:pPr>
        <w:spacing w:line="276" w:lineRule="auto"/>
        <w:jc w:val="both"/>
        <w:rPr>
          <w:rFonts w:ascii="Arial" w:hAnsi="Arial" w:cs="Arial"/>
          <w:sz w:val="22"/>
          <w:szCs w:val="22"/>
        </w:rPr>
      </w:pPr>
      <w:r w:rsidRPr="00005126">
        <w:rPr>
          <w:rFonts w:ascii="Arial" w:hAnsi="Arial" w:cs="Arial"/>
          <w:sz w:val="22"/>
          <w:szCs w:val="22"/>
        </w:rPr>
        <w:t xml:space="preserve">The proposed rear extension, by virtue of its modest footprint, single-storey scale, and siting to the rear, would appear as a proportionate and subordinate addition to the host dwelling. The use of materials, including render and timber joinery, would be consistent with and complementary to the existing property, ensuring a coherent appearance. Given its limited visibility from the public realm, the extension would not result in harm to the character or appearance of the </w:t>
      </w:r>
      <w:proofErr w:type="spellStart"/>
      <w:r w:rsidRPr="00005126">
        <w:rPr>
          <w:rFonts w:ascii="Arial" w:hAnsi="Arial" w:cs="Arial"/>
          <w:sz w:val="22"/>
          <w:szCs w:val="22"/>
        </w:rPr>
        <w:t>streetscene</w:t>
      </w:r>
      <w:proofErr w:type="spellEnd"/>
      <w:r w:rsidRPr="00005126">
        <w:rPr>
          <w:rFonts w:ascii="Arial" w:hAnsi="Arial" w:cs="Arial"/>
          <w:sz w:val="22"/>
          <w:szCs w:val="22"/>
        </w:rPr>
        <w:t xml:space="preserve"> or the wider Conservation Area. </w:t>
      </w:r>
    </w:p>
    <w:p w14:paraId="0D41F4C3" w14:textId="77777777" w:rsidR="000D154A" w:rsidRDefault="000D154A" w:rsidP="00005126">
      <w:pPr>
        <w:spacing w:line="276" w:lineRule="auto"/>
        <w:jc w:val="both"/>
        <w:rPr>
          <w:rFonts w:ascii="Arial" w:hAnsi="Arial" w:cs="Arial"/>
          <w:sz w:val="22"/>
          <w:szCs w:val="22"/>
        </w:rPr>
      </w:pPr>
    </w:p>
    <w:p w14:paraId="7469D3E4" w14:textId="35B0B071" w:rsidR="00005126" w:rsidRPr="00005126" w:rsidRDefault="00005126" w:rsidP="00005126">
      <w:pPr>
        <w:spacing w:line="276" w:lineRule="auto"/>
        <w:jc w:val="both"/>
        <w:rPr>
          <w:rFonts w:ascii="Arial" w:hAnsi="Arial" w:cs="Arial"/>
          <w:sz w:val="22"/>
          <w:szCs w:val="22"/>
        </w:rPr>
      </w:pPr>
      <w:r w:rsidRPr="00005126">
        <w:rPr>
          <w:rFonts w:ascii="Arial" w:hAnsi="Arial" w:cs="Arial"/>
          <w:sz w:val="22"/>
          <w:szCs w:val="22"/>
        </w:rPr>
        <w:t>In respect of the proposed front parking bay,</w:t>
      </w:r>
      <w:r w:rsidR="000D154A">
        <w:rPr>
          <w:rFonts w:ascii="Arial" w:hAnsi="Arial" w:cs="Arial"/>
          <w:sz w:val="22"/>
          <w:szCs w:val="22"/>
        </w:rPr>
        <w:t xml:space="preserve"> </w:t>
      </w:r>
      <w:r w:rsidRPr="00005126">
        <w:rPr>
          <w:rFonts w:ascii="Arial" w:hAnsi="Arial" w:cs="Arial"/>
          <w:sz w:val="22"/>
          <w:szCs w:val="22"/>
        </w:rPr>
        <w:t>the excavation of the front garden and introduction of engineered retaining walls would alter the immediate frontage</w:t>
      </w:r>
      <w:r w:rsidR="000D154A">
        <w:rPr>
          <w:rFonts w:ascii="Arial" w:hAnsi="Arial" w:cs="Arial"/>
          <w:sz w:val="22"/>
          <w:szCs w:val="22"/>
        </w:rPr>
        <w:t>. T</w:t>
      </w:r>
      <w:r w:rsidR="000D154A" w:rsidRPr="000D154A">
        <w:rPr>
          <w:rFonts w:ascii="Arial" w:hAnsi="Arial" w:cs="Arial"/>
          <w:sz w:val="22"/>
          <w:szCs w:val="22"/>
        </w:rPr>
        <w:t>he introduction of a hardstanding in place of a vegetated frontage would have a minor urbanising effect within a verdant setting</w:t>
      </w:r>
      <w:r w:rsidR="000D154A" w:rsidRPr="000D154A">
        <w:rPr>
          <w:rFonts w:ascii="Arial" w:hAnsi="Arial" w:cs="Arial"/>
          <w:sz w:val="22"/>
          <w:szCs w:val="22"/>
        </w:rPr>
        <w:t xml:space="preserve"> </w:t>
      </w:r>
      <w:r w:rsidR="000D154A">
        <w:rPr>
          <w:rFonts w:ascii="Arial" w:hAnsi="Arial" w:cs="Arial"/>
          <w:sz w:val="22"/>
          <w:szCs w:val="22"/>
        </w:rPr>
        <w:t xml:space="preserve">in this context.  However </w:t>
      </w:r>
      <w:r w:rsidRPr="00005126">
        <w:rPr>
          <w:rFonts w:ascii="Arial" w:hAnsi="Arial" w:cs="Arial"/>
          <w:sz w:val="22"/>
          <w:szCs w:val="22"/>
        </w:rPr>
        <w:t>the use of appropriate materials secured by condition would assist in assimilating the development into its context</w:t>
      </w:r>
      <w:r w:rsidR="000D154A">
        <w:rPr>
          <w:rFonts w:ascii="Arial" w:hAnsi="Arial" w:cs="Arial"/>
          <w:sz w:val="22"/>
          <w:szCs w:val="22"/>
        </w:rPr>
        <w:t xml:space="preserve"> and o</w:t>
      </w:r>
      <w:r w:rsidRPr="00005126">
        <w:rPr>
          <w:rFonts w:ascii="Arial" w:hAnsi="Arial" w:cs="Arial"/>
          <w:sz w:val="22"/>
          <w:szCs w:val="22"/>
        </w:rPr>
        <w:t xml:space="preserve">n balance, this harm is considered limited. Overall, subject to appropriate material control, the </w:t>
      </w:r>
      <w:r w:rsidR="000D154A">
        <w:rPr>
          <w:rFonts w:ascii="Arial" w:hAnsi="Arial" w:cs="Arial"/>
          <w:sz w:val="22"/>
          <w:szCs w:val="22"/>
        </w:rPr>
        <w:t xml:space="preserve">visual impact of the </w:t>
      </w:r>
      <w:r w:rsidRPr="00005126">
        <w:rPr>
          <w:rFonts w:ascii="Arial" w:hAnsi="Arial" w:cs="Arial"/>
          <w:sz w:val="22"/>
          <w:szCs w:val="22"/>
        </w:rPr>
        <w:t>proposal is</w:t>
      </w:r>
      <w:r w:rsidR="000D154A">
        <w:rPr>
          <w:rFonts w:ascii="Arial" w:hAnsi="Arial" w:cs="Arial"/>
          <w:sz w:val="22"/>
          <w:szCs w:val="22"/>
        </w:rPr>
        <w:t xml:space="preserve"> not considered </w:t>
      </w:r>
      <w:proofErr w:type="spellStart"/>
      <w:r w:rsidR="000D154A">
        <w:rPr>
          <w:rFonts w:ascii="Arial" w:hAnsi="Arial" w:cs="Arial"/>
          <w:sz w:val="22"/>
          <w:szCs w:val="22"/>
        </w:rPr>
        <w:t>to</w:t>
      </w:r>
      <w:proofErr w:type="spellEnd"/>
      <w:r w:rsidR="000D154A">
        <w:rPr>
          <w:rFonts w:ascii="Arial" w:hAnsi="Arial" w:cs="Arial"/>
          <w:sz w:val="22"/>
          <w:szCs w:val="22"/>
        </w:rPr>
        <w:t xml:space="preserve"> be unduly harmful in the context of the </w:t>
      </w:r>
      <w:r w:rsidRPr="00005126">
        <w:rPr>
          <w:rFonts w:ascii="Arial" w:hAnsi="Arial" w:cs="Arial"/>
          <w:sz w:val="22"/>
          <w:szCs w:val="22"/>
        </w:rPr>
        <w:t xml:space="preserve">character and appearance of </w:t>
      </w:r>
      <w:r w:rsidR="000D154A">
        <w:rPr>
          <w:rFonts w:ascii="Arial" w:hAnsi="Arial" w:cs="Arial"/>
          <w:sz w:val="22"/>
          <w:szCs w:val="22"/>
        </w:rPr>
        <w:t xml:space="preserve">host dwelling </w:t>
      </w:r>
    </w:p>
    <w:p w14:paraId="0188589D" w14:textId="77777777" w:rsidR="00713A31" w:rsidRDefault="00713A31" w:rsidP="00CC6665">
      <w:pPr>
        <w:spacing w:line="276" w:lineRule="auto"/>
        <w:jc w:val="both"/>
        <w:rPr>
          <w:rFonts w:ascii="Arial" w:hAnsi="Arial" w:cs="Arial"/>
          <w:color w:val="000000" w:themeColor="text1"/>
          <w:sz w:val="22"/>
          <w:szCs w:val="22"/>
        </w:rPr>
      </w:pPr>
    </w:p>
    <w:p w14:paraId="632FAD36" w14:textId="3F8CB373" w:rsidR="00DA51B6" w:rsidRPr="00DA51B6" w:rsidRDefault="00DA51B6" w:rsidP="00DA51B6">
      <w:pPr>
        <w:spacing w:line="276" w:lineRule="auto"/>
        <w:jc w:val="both"/>
        <w:rPr>
          <w:rFonts w:ascii="Arial" w:hAnsi="Arial" w:cs="Arial"/>
          <w:color w:val="000000" w:themeColor="text1"/>
          <w:sz w:val="22"/>
          <w:szCs w:val="22"/>
        </w:rPr>
      </w:pPr>
      <w:r w:rsidRPr="00DA51B6">
        <w:rPr>
          <w:rFonts w:ascii="Arial" w:hAnsi="Arial" w:cs="Arial"/>
          <w:color w:val="000000" w:themeColor="text1"/>
          <w:sz w:val="22"/>
          <w:szCs w:val="22"/>
        </w:rPr>
        <w:t xml:space="preserve">The site is located within a Special Landscape Area and benefits from a verdant setting characterised by boundary vegetation and views towards open countryside. The proposed development would result in the partial loss of vegetated frontage to accommodate the parking bay, introducing a more engineered form of development. However, the scale of this change is relatively </w:t>
      </w:r>
      <w:proofErr w:type="gramStart"/>
      <w:r w:rsidRPr="00DA51B6">
        <w:rPr>
          <w:rFonts w:ascii="Arial" w:hAnsi="Arial" w:cs="Arial"/>
          <w:color w:val="000000" w:themeColor="text1"/>
          <w:sz w:val="22"/>
          <w:szCs w:val="22"/>
        </w:rPr>
        <w:t>limited</w:t>
      </w:r>
      <w:proofErr w:type="gramEnd"/>
      <w:r w:rsidRPr="00DA51B6">
        <w:rPr>
          <w:rFonts w:ascii="Arial" w:hAnsi="Arial" w:cs="Arial"/>
          <w:color w:val="000000" w:themeColor="text1"/>
          <w:sz w:val="22"/>
          <w:szCs w:val="22"/>
        </w:rPr>
        <w:t xml:space="preserve"> and </w:t>
      </w:r>
      <w:r w:rsidR="000D154A">
        <w:rPr>
          <w:rFonts w:ascii="Arial" w:hAnsi="Arial" w:cs="Arial"/>
          <w:color w:val="000000" w:themeColor="text1"/>
          <w:sz w:val="22"/>
          <w:szCs w:val="22"/>
        </w:rPr>
        <w:t xml:space="preserve">the effect </w:t>
      </w:r>
      <w:r w:rsidRPr="00DA51B6">
        <w:rPr>
          <w:rFonts w:ascii="Arial" w:hAnsi="Arial" w:cs="Arial"/>
          <w:color w:val="000000" w:themeColor="text1"/>
          <w:sz w:val="22"/>
          <w:szCs w:val="22"/>
        </w:rPr>
        <w:t>would not significantly undermine the wider landscape character</w:t>
      </w:r>
      <w:r w:rsidR="000D154A">
        <w:rPr>
          <w:rFonts w:ascii="Arial" w:hAnsi="Arial" w:cs="Arial"/>
          <w:color w:val="000000" w:themeColor="text1"/>
          <w:sz w:val="22"/>
          <w:szCs w:val="22"/>
        </w:rPr>
        <w:t xml:space="preserve"> and setting</w:t>
      </w:r>
      <w:r w:rsidRPr="00DA51B6">
        <w:rPr>
          <w:rFonts w:ascii="Arial" w:hAnsi="Arial" w:cs="Arial"/>
          <w:color w:val="000000" w:themeColor="text1"/>
          <w:sz w:val="22"/>
          <w:szCs w:val="22"/>
        </w:rPr>
        <w:t>, particularly given the retention of surrounding vegetation and the domestic context of the site. The rear extension would not be visually prominent within the wider landscape. As such, the proposal is considered to conserve the overall landscape character and accords with relevant landscape policies.</w:t>
      </w:r>
    </w:p>
    <w:p w14:paraId="579FD295" w14:textId="77777777" w:rsidR="00DA51B6" w:rsidRPr="00075C07" w:rsidRDefault="00DA51B6" w:rsidP="00CC6665">
      <w:pPr>
        <w:spacing w:line="276" w:lineRule="auto"/>
        <w:jc w:val="both"/>
        <w:rPr>
          <w:rFonts w:ascii="Arial" w:hAnsi="Arial" w:cs="Arial"/>
          <w:color w:val="000000" w:themeColor="text1"/>
          <w:sz w:val="22"/>
          <w:szCs w:val="22"/>
        </w:rPr>
      </w:pPr>
    </w:p>
    <w:p w14:paraId="66BC3641" w14:textId="02169D4A"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Having regard to the above, the proposal complies with the design principles set out in Core Policy </w:t>
      </w:r>
      <w:r w:rsidR="00EA3B54">
        <w:rPr>
          <w:rFonts w:ascii="Arial" w:hAnsi="Arial" w:cs="Arial"/>
          <w:color w:val="000000" w:themeColor="text1"/>
          <w:sz w:val="22"/>
          <w:szCs w:val="22"/>
        </w:rPr>
        <w:t xml:space="preserve">51 and </w:t>
      </w:r>
      <w:r w:rsidRPr="00075C07">
        <w:rPr>
          <w:rFonts w:ascii="Arial" w:hAnsi="Arial" w:cs="Arial"/>
          <w:color w:val="000000" w:themeColor="text1"/>
          <w:sz w:val="22"/>
          <w:szCs w:val="22"/>
        </w:rPr>
        <w:t>57 of the Wiltshire Core Strategy and Appendix D of the Wiltshire Design Guide</w:t>
      </w:r>
      <w:r w:rsidR="000D154A" w:rsidRPr="000D154A">
        <w:rPr>
          <w:rFonts w:ascii="Arial" w:hAnsi="Arial" w:cs="Arial"/>
          <w:color w:val="000000" w:themeColor="text1"/>
          <w:sz w:val="22"/>
          <w:szCs w:val="22"/>
        </w:rPr>
        <w:t xml:space="preserve"> and the NPPF.</w:t>
      </w:r>
    </w:p>
    <w:p w14:paraId="43E0AE03" w14:textId="77777777" w:rsidR="00C94CB8" w:rsidRDefault="00C94CB8" w:rsidP="00CC6665">
      <w:pPr>
        <w:spacing w:line="276" w:lineRule="auto"/>
        <w:rPr>
          <w:rFonts w:ascii="Arial" w:hAnsi="Arial" w:cs="Arial"/>
          <w:sz w:val="22"/>
          <w:szCs w:val="22"/>
        </w:rPr>
      </w:pPr>
    </w:p>
    <w:p w14:paraId="7B87E504" w14:textId="77777777" w:rsidR="00160E45" w:rsidRPr="00075C07" w:rsidRDefault="00160E45" w:rsidP="00160E45">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2769D66C" w14:textId="77777777" w:rsidR="00160E45" w:rsidRDefault="00160E45" w:rsidP="00160E45">
      <w:pPr>
        <w:spacing w:line="276" w:lineRule="auto"/>
        <w:jc w:val="both"/>
        <w:rPr>
          <w:rFonts w:ascii="Arial" w:hAnsi="Arial" w:cs="Arial"/>
          <w:sz w:val="22"/>
          <w:szCs w:val="22"/>
        </w:rPr>
      </w:pPr>
    </w:p>
    <w:p w14:paraId="1CD7AB75" w14:textId="77777777" w:rsidR="00277B21" w:rsidRDefault="00277B21" w:rsidP="00277B21">
      <w:pPr>
        <w:spacing w:line="276" w:lineRule="auto"/>
        <w:jc w:val="both"/>
        <w:rPr>
          <w:rFonts w:ascii="Arial" w:hAnsi="Arial" w:cs="Arial"/>
          <w:sz w:val="22"/>
          <w:szCs w:val="22"/>
        </w:rPr>
      </w:pPr>
      <w:r w:rsidRPr="00277B21">
        <w:rPr>
          <w:rFonts w:ascii="Arial" w:hAnsi="Arial" w:cs="Arial"/>
          <w:sz w:val="22"/>
          <w:szCs w:val="22"/>
        </w:rPr>
        <w:t xml:space="preserve">Core Policy 58 outlines development consideration </w:t>
      </w:r>
      <w:proofErr w:type="gramStart"/>
      <w:r w:rsidRPr="00277B21">
        <w:rPr>
          <w:rFonts w:ascii="Arial" w:hAnsi="Arial" w:cs="Arial"/>
          <w:sz w:val="22"/>
          <w:szCs w:val="22"/>
        </w:rPr>
        <w:t>with regard to</w:t>
      </w:r>
      <w:proofErr w:type="gramEnd"/>
      <w:r w:rsidRPr="00277B21">
        <w:rPr>
          <w:rFonts w:ascii="Arial" w:hAnsi="Arial" w:cs="Arial"/>
          <w:sz w:val="22"/>
          <w:szCs w:val="22"/>
        </w:rPr>
        <w:t xml:space="preserve"> the historic environment. The policy states that heritage assets and their settings must be conserved and, where appropriate, enhanced through any proposed development. In assessing the proposal, special attention has been paid to the desirability of preserving or enhancing the character or appearance of the Edington Conservation Area, in accordance with Section 72(1) of the Planning (Listed Buildings and Conservation Areas) Act 1990.</w:t>
      </w:r>
    </w:p>
    <w:p w14:paraId="423C6885" w14:textId="77777777" w:rsidR="00277B21" w:rsidRPr="00277B21" w:rsidRDefault="00277B21" w:rsidP="00277B21">
      <w:pPr>
        <w:spacing w:line="276" w:lineRule="auto"/>
        <w:jc w:val="both"/>
        <w:rPr>
          <w:rFonts w:ascii="Arial" w:hAnsi="Arial" w:cs="Arial"/>
          <w:sz w:val="22"/>
          <w:szCs w:val="22"/>
        </w:rPr>
      </w:pPr>
    </w:p>
    <w:p w14:paraId="3F1787D6" w14:textId="77777777" w:rsidR="000D154A" w:rsidRDefault="00277B21" w:rsidP="00277B21">
      <w:pPr>
        <w:spacing w:line="276" w:lineRule="auto"/>
        <w:jc w:val="both"/>
        <w:rPr>
          <w:rFonts w:ascii="Arial" w:hAnsi="Arial" w:cs="Arial"/>
          <w:sz w:val="22"/>
          <w:szCs w:val="22"/>
        </w:rPr>
      </w:pPr>
      <w:r w:rsidRPr="00277B21">
        <w:rPr>
          <w:rFonts w:ascii="Arial" w:hAnsi="Arial" w:cs="Arial"/>
          <w:sz w:val="22"/>
          <w:szCs w:val="22"/>
        </w:rPr>
        <w:t xml:space="preserve">The site lies within the Edington Conservation Area, where there is a statutory duty to preserve or enhance its character and appearance. The proposed rear extension, by virtue of its modest scale, subordinate form and limited visibility from public viewpoints, would not result in harm to the significance of the Conservation Area. </w:t>
      </w:r>
    </w:p>
    <w:p w14:paraId="48380FC1" w14:textId="77777777" w:rsidR="000D154A" w:rsidRDefault="000D154A" w:rsidP="00277B21">
      <w:pPr>
        <w:spacing w:line="276" w:lineRule="auto"/>
        <w:jc w:val="both"/>
        <w:rPr>
          <w:rFonts w:ascii="Arial" w:hAnsi="Arial" w:cs="Arial"/>
          <w:sz w:val="22"/>
          <w:szCs w:val="22"/>
        </w:rPr>
      </w:pPr>
    </w:p>
    <w:p w14:paraId="18D97369" w14:textId="7F4A1895" w:rsidR="00277B21" w:rsidRDefault="00277B21" w:rsidP="00277B21">
      <w:pPr>
        <w:spacing w:line="276" w:lineRule="auto"/>
        <w:jc w:val="both"/>
        <w:rPr>
          <w:rFonts w:ascii="Arial" w:hAnsi="Arial" w:cs="Arial"/>
          <w:sz w:val="22"/>
          <w:szCs w:val="22"/>
        </w:rPr>
      </w:pPr>
      <w:r w:rsidRPr="00277B21">
        <w:rPr>
          <w:rFonts w:ascii="Arial" w:hAnsi="Arial" w:cs="Arial"/>
          <w:sz w:val="22"/>
          <w:szCs w:val="22"/>
        </w:rPr>
        <w:t xml:space="preserve">However, the alterations to the front of the property, including the creation of the parking bay and associated engineering works, would result in the loss of the existing informal, cottage-style frontage and introduce a more engineered appearance that is </w:t>
      </w:r>
      <w:r w:rsidR="000D154A">
        <w:rPr>
          <w:rFonts w:ascii="Arial" w:hAnsi="Arial" w:cs="Arial"/>
          <w:sz w:val="22"/>
          <w:szCs w:val="22"/>
        </w:rPr>
        <w:t xml:space="preserve">considered to be </w:t>
      </w:r>
      <w:r w:rsidRPr="00277B21">
        <w:rPr>
          <w:rFonts w:ascii="Arial" w:hAnsi="Arial" w:cs="Arial"/>
          <w:sz w:val="22"/>
          <w:szCs w:val="22"/>
        </w:rPr>
        <w:t>at odds with the prevailing character of this part of the terrace</w:t>
      </w:r>
      <w:r w:rsidR="00D76C88">
        <w:rPr>
          <w:rFonts w:ascii="Arial" w:hAnsi="Arial" w:cs="Arial"/>
          <w:sz w:val="22"/>
          <w:szCs w:val="22"/>
        </w:rPr>
        <w:t xml:space="preserve"> and </w:t>
      </w:r>
      <w:proofErr w:type="spellStart"/>
      <w:r w:rsidR="00D76C88">
        <w:rPr>
          <w:rFonts w:ascii="Arial" w:hAnsi="Arial" w:cs="Arial"/>
          <w:sz w:val="22"/>
          <w:szCs w:val="22"/>
        </w:rPr>
        <w:t>streetscene</w:t>
      </w:r>
      <w:proofErr w:type="spellEnd"/>
      <w:r w:rsidRPr="00277B21">
        <w:rPr>
          <w:rFonts w:ascii="Arial" w:hAnsi="Arial" w:cs="Arial"/>
          <w:sz w:val="22"/>
          <w:szCs w:val="22"/>
        </w:rPr>
        <w:t xml:space="preserve">. Whilst there is some variation within the wider </w:t>
      </w:r>
      <w:proofErr w:type="spellStart"/>
      <w:r w:rsidRPr="00277B21">
        <w:rPr>
          <w:rFonts w:ascii="Arial" w:hAnsi="Arial" w:cs="Arial"/>
          <w:sz w:val="22"/>
          <w:szCs w:val="22"/>
        </w:rPr>
        <w:t>streetscene</w:t>
      </w:r>
      <w:proofErr w:type="spellEnd"/>
      <w:r w:rsidRPr="00277B21">
        <w:rPr>
          <w:rFonts w:ascii="Arial" w:hAnsi="Arial" w:cs="Arial"/>
          <w:sz w:val="22"/>
          <w:szCs w:val="22"/>
        </w:rPr>
        <w:t xml:space="preserve">, the works would nonetheless introduce a more urbanised form of development </w:t>
      </w:r>
      <w:r w:rsidR="000D154A">
        <w:rPr>
          <w:rFonts w:ascii="Arial" w:hAnsi="Arial" w:cs="Arial"/>
          <w:sz w:val="22"/>
          <w:szCs w:val="22"/>
        </w:rPr>
        <w:t xml:space="preserve">that would </w:t>
      </w:r>
      <w:r w:rsidR="000D154A" w:rsidRPr="000D154A">
        <w:rPr>
          <w:rFonts w:ascii="Arial" w:hAnsi="Arial" w:cs="Arial"/>
          <w:sz w:val="22"/>
          <w:szCs w:val="22"/>
        </w:rPr>
        <w:t xml:space="preserve">erode the traditional domestic frontage </w:t>
      </w:r>
      <w:r w:rsidRPr="00277B21">
        <w:rPr>
          <w:rFonts w:ascii="Arial" w:hAnsi="Arial" w:cs="Arial"/>
          <w:sz w:val="22"/>
          <w:szCs w:val="22"/>
        </w:rPr>
        <w:t>within a sensitive heritage setting.</w:t>
      </w:r>
      <w:r w:rsidR="000D154A">
        <w:rPr>
          <w:rFonts w:ascii="Arial" w:hAnsi="Arial" w:cs="Arial"/>
          <w:sz w:val="22"/>
          <w:szCs w:val="22"/>
        </w:rPr>
        <w:t xml:space="preserve">  The works to the frontage would not have a neutral impact on the character and appearance of the Conservation Area and would therefore fail to preserve its character and appearance. </w:t>
      </w:r>
    </w:p>
    <w:p w14:paraId="63A93568" w14:textId="77777777" w:rsidR="00277B21" w:rsidRDefault="00277B21" w:rsidP="00277B21">
      <w:pPr>
        <w:spacing w:line="276" w:lineRule="auto"/>
        <w:jc w:val="both"/>
        <w:rPr>
          <w:rFonts w:ascii="Arial" w:hAnsi="Arial" w:cs="Arial"/>
          <w:sz w:val="22"/>
          <w:szCs w:val="22"/>
        </w:rPr>
      </w:pPr>
    </w:p>
    <w:p w14:paraId="312A905C" w14:textId="77777777" w:rsidR="00277B21" w:rsidRDefault="00277B21" w:rsidP="00277B21">
      <w:pPr>
        <w:spacing w:line="276" w:lineRule="auto"/>
        <w:rPr>
          <w:rFonts w:ascii="Arial" w:hAnsi="Arial" w:cs="Arial"/>
          <w:sz w:val="22"/>
          <w:szCs w:val="22"/>
        </w:rPr>
      </w:pPr>
      <w:r>
        <w:rPr>
          <w:rFonts w:ascii="Arial" w:hAnsi="Arial" w:cs="Arial"/>
          <w:noProof/>
          <w:sz w:val="22"/>
          <w:szCs w:val="22"/>
        </w:rPr>
        <w:drawing>
          <wp:inline distT="0" distB="0" distL="0" distR="0" wp14:anchorId="7C4A28CD" wp14:editId="6B2C8596">
            <wp:extent cx="6619875" cy="3657600"/>
            <wp:effectExtent l="0" t="0" r="6350" b="0"/>
            <wp:docPr id="411781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19875" cy="3657600"/>
                    </a:xfrm>
                    <a:prstGeom prst="rect">
                      <a:avLst/>
                    </a:prstGeom>
                    <a:noFill/>
                    <a:ln>
                      <a:noFill/>
                    </a:ln>
                  </pic:spPr>
                </pic:pic>
              </a:graphicData>
            </a:graphic>
          </wp:inline>
        </w:drawing>
      </w:r>
    </w:p>
    <w:p w14:paraId="48F0DD4F" w14:textId="77777777" w:rsidR="00277B21" w:rsidRPr="005F7D70" w:rsidRDefault="00277B21" w:rsidP="00277B21">
      <w:pPr>
        <w:spacing w:line="276" w:lineRule="auto"/>
        <w:jc w:val="center"/>
        <w:rPr>
          <w:rFonts w:ascii="Arial" w:hAnsi="Arial" w:cs="Arial"/>
          <w:i/>
          <w:iCs/>
          <w:sz w:val="22"/>
          <w:szCs w:val="22"/>
        </w:rPr>
      </w:pPr>
      <w:r w:rsidRPr="005F7D70">
        <w:rPr>
          <w:rFonts w:ascii="Arial" w:hAnsi="Arial" w:cs="Arial"/>
          <w:i/>
          <w:iCs/>
          <w:sz w:val="22"/>
          <w:szCs w:val="22"/>
        </w:rPr>
        <w:t>Existing and Proposed Elevations</w:t>
      </w:r>
    </w:p>
    <w:p w14:paraId="07DDE951" w14:textId="77777777" w:rsidR="00277B21" w:rsidRPr="00277B21" w:rsidRDefault="00277B21" w:rsidP="00277B21">
      <w:pPr>
        <w:spacing w:line="276" w:lineRule="auto"/>
        <w:jc w:val="both"/>
        <w:rPr>
          <w:rFonts w:ascii="Arial" w:hAnsi="Arial" w:cs="Arial"/>
          <w:sz w:val="22"/>
          <w:szCs w:val="22"/>
        </w:rPr>
      </w:pPr>
    </w:p>
    <w:p w14:paraId="0991F261" w14:textId="45F89170" w:rsidR="005E2668" w:rsidRDefault="00277B21" w:rsidP="00277B21">
      <w:pPr>
        <w:spacing w:line="276" w:lineRule="auto"/>
        <w:jc w:val="both"/>
        <w:rPr>
          <w:rFonts w:ascii="Arial" w:hAnsi="Arial" w:cs="Arial"/>
          <w:sz w:val="22"/>
          <w:szCs w:val="22"/>
        </w:rPr>
      </w:pPr>
      <w:r w:rsidRPr="00277B21">
        <w:rPr>
          <w:rFonts w:ascii="Arial" w:hAnsi="Arial" w:cs="Arial"/>
          <w:sz w:val="22"/>
          <w:szCs w:val="22"/>
        </w:rPr>
        <w:t xml:space="preserve">Taking these factors into account, </w:t>
      </w:r>
      <w:r w:rsidR="000D154A">
        <w:rPr>
          <w:rFonts w:ascii="Arial" w:hAnsi="Arial" w:cs="Arial"/>
          <w:sz w:val="22"/>
          <w:szCs w:val="22"/>
        </w:rPr>
        <w:t xml:space="preserve">it is concluded that </w:t>
      </w:r>
      <w:r w:rsidRPr="00277B21">
        <w:rPr>
          <w:rFonts w:ascii="Arial" w:hAnsi="Arial" w:cs="Arial"/>
          <w:sz w:val="22"/>
          <w:szCs w:val="22"/>
        </w:rPr>
        <w:t>the proposal would give rise to less than substantial harm</w:t>
      </w:r>
      <w:r w:rsidR="005E2668">
        <w:rPr>
          <w:rFonts w:ascii="Arial" w:hAnsi="Arial" w:cs="Arial"/>
          <w:sz w:val="22"/>
          <w:szCs w:val="22"/>
        </w:rPr>
        <w:t>,</w:t>
      </w:r>
      <w:r w:rsidRPr="00277B21">
        <w:rPr>
          <w:rFonts w:ascii="Arial" w:hAnsi="Arial" w:cs="Arial"/>
          <w:sz w:val="22"/>
          <w:szCs w:val="22"/>
        </w:rPr>
        <w:t xml:space="preserve"> at the lower end of the spectrum, to the </w:t>
      </w:r>
      <w:r w:rsidR="005E2668">
        <w:rPr>
          <w:rFonts w:ascii="Arial" w:hAnsi="Arial" w:cs="Arial"/>
          <w:sz w:val="22"/>
          <w:szCs w:val="22"/>
        </w:rPr>
        <w:t xml:space="preserve">character, appearance and </w:t>
      </w:r>
      <w:r w:rsidRPr="00277B21">
        <w:rPr>
          <w:rFonts w:ascii="Arial" w:hAnsi="Arial" w:cs="Arial"/>
          <w:sz w:val="22"/>
          <w:szCs w:val="22"/>
        </w:rPr>
        <w:t xml:space="preserve">significance of the Edington Conservation Area. In accordance with the NPPF, </w:t>
      </w:r>
      <w:r w:rsidR="005E2668">
        <w:rPr>
          <w:rFonts w:ascii="Arial" w:hAnsi="Arial" w:cs="Arial"/>
          <w:sz w:val="22"/>
          <w:szCs w:val="22"/>
        </w:rPr>
        <w:t xml:space="preserve">any </w:t>
      </w:r>
      <w:r w:rsidRPr="00277B21">
        <w:rPr>
          <w:rFonts w:ascii="Arial" w:hAnsi="Arial" w:cs="Arial"/>
          <w:sz w:val="22"/>
          <w:szCs w:val="22"/>
        </w:rPr>
        <w:t>harm</w:t>
      </w:r>
      <w:r w:rsidR="005E2668">
        <w:rPr>
          <w:rFonts w:ascii="Arial" w:hAnsi="Arial" w:cs="Arial"/>
          <w:sz w:val="22"/>
          <w:szCs w:val="22"/>
        </w:rPr>
        <w:t xml:space="preserve"> to heritage assets</w:t>
      </w:r>
      <w:r w:rsidRPr="00277B21">
        <w:rPr>
          <w:rFonts w:ascii="Arial" w:hAnsi="Arial" w:cs="Arial"/>
          <w:sz w:val="22"/>
          <w:szCs w:val="22"/>
        </w:rPr>
        <w:t xml:space="preserve"> must be weighed against the public benefits of the proposal. In this instance, the identified benefits are limited and primarily relate to the provision of private off-street parking, which </w:t>
      </w:r>
      <w:r w:rsidR="005E2668">
        <w:rPr>
          <w:rFonts w:ascii="Arial" w:hAnsi="Arial" w:cs="Arial"/>
          <w:sz w:val="22"/>
          <w:szCs w:val="22"/>
        </w:rPr>
        <w:t xml:space="preserve">in this case would not </w:t>
      </w:r>
      <w:r w:rsidR="00D76C88">
        <w:rPr>
          <w:rFonts w:ascii="Arial" w:hAnsi="Arial" w:cs="Arial"/>
          <w:sz w:val="22"/>
          <w:szCs w:val="22"/>
        </w:rPr>
        <w:t>represent</w:t>
      </w:r>
      <w:r w:rsidR="005E2668">
        <w:rPr>
          <w:rFonts w:ascii="Arial" w:hAnsi="Arial" w:cs="Arial"/>
          <w:sz w:val="22"/>
          <w:szCs w:val="22"/>
        </w:rPr>
        <w:t xml:space="preserve"> </w:t>
      </w:r>
      <w:r w:rsidRPr="00277B21">
        <w:rPr>
          <w:rFonts w:ascii="Arial" w:hAnsi="Arial" w:cs="Arial"/>
          <w:sz w:val="22"/>
          <w:szCs w:val="22"/>
        </w:rPr>
        <w:t>wider public benefit</w:t>
      </w:r>
      <w:r w:rsidR="005E2668">
        <w:rPr>
          <w:rFonts w:ascii="Arial" w:hAnsi="Arial" w:cs="Arial"/>
          <w:sz w:val="22"/>
          <w:szCs w:val="22"/>
        </w:rPr>
        <w:t xml:space="preserve"> </w:t>
      </w:r>
      <w:proofErr w:type="gramStart"/>
      <w:r w:rsidR="005E2668">
        <w:rPr>
          <w:rFonts w:ascii="Arial" w:hAnsi="Arial" w:cs="Arial"/>
          <w:sz w:val="22"/>
          <w:szCs w:val="22"/>
        </w:rPr>
        <w:t>in light of</w:t>
      </w:r>
      <w:proofErr w:type="gramEnd"/>
      <w:r w:rsidR="005E2668">
        <w:rPr>
          <w:rFonts w:ascii="Arial" w:hAnsi="Arial" w:cs="Arial"/>
          <w:sz w:val="22"/>
          <w:szCs w:val="22"/>
        </w:rPr>
        <w:t xml:space="preserve"> the adverse impact on the highway, set out in a subsequent section of the report.  </w:t>
      </w:r>
      <w:r w:rsidRPr="00277B21">
        <w:rPr>
          <w:rFonts w:ascii="Arial" w:hAnsi="Arial" w:cs="Arial"/>
          <w:sz w:val="22"/>
          <w:szCs w:val="22"/>
        </w:rPr>
        <w:t>It is therefore considered that</w:t>
      </w:r>
      <w:r w:rsidR="005E2668">
        <w:rPr>
          <w:rFonts w:ascii="Arial" w:hAnsi="Arial" w:cs="Arial"/>
          <w:sz w:val="22"/>
          <w:szCs w:val="22"/>
        </w:rPr>
        <w:t xml:space="preserve"> in the absence of </w:t>
      </w:r>
      <w:r w:rsidRPr="00277B21">
        <w:rPr>
          <w:rFonts w:ascii="Arial" w:hAnsi="Arial" w:cs="Arial"/>
          <w:sz w:val="22"/>
          <w:szCs w:val="22"/>
        </w:rPr>
        <w:t>public benefit associated with the propos</w:t>
      </w:r>
      <w:r w:rsidR="005E2668">
        <w:rPr>
          <w:rFonts w:ascii="Arial" w:hAnsi="Arial" w:cs="Arial"/>
          <w:sz w:val="22"/>
          <w:szCs w:val="22"/>
        </w:rPr>
        <w:t xml:space="preserve">ed creation of off-street parking, the identified harm, whilst limited, would not be outweighed.  </w:t>
      </w:r>
    </w:p>
    <w:p w14:paraId="4E13E4B9" w14:textId="77777777" w:rsidR="005E2668" w:rsidRDefault="005E2668" w:rsidP="00277B21">
      <w:pPr>
        <w:spacing w:line="276" w:lineRule="auto"/>
        <w:jc w:val="both"/>
        <w:rPr>
          <w:rFonts w:ascii="Arial" w:hAnsi="Arial" w:cs="Arial"/>
          <w:sz w:val="22"/>
          <w:szCs w:val="22"/>
        </w:rPr>
      </w:pPr>
    </w:p>
    <w:p w14:paraId="692D36B1" w14:textId="551EBA5C" w:rsidR="00277B21" w:rsidRPr="00277B21" w:rsidRDefault="00277B21" w:rsidP="00277B21">
      <w:pPr>
        <w:spacing w:line="276" w:lineRule="auto"/>
        <w:jc w:val="both"/>
        <w:rPr>
          <w:rFonts w:ascii="Arial" w:hAnsi="Arial" w:cs="Arial"/>
          <w:sz w:val="22"/>
          <w:szCs w:val="22"/>
        </w:rPr>
      </w:pPr>
      <w:r w:rsidRPr="00277B21">
        <w:rPr>
          <w:rFonts w:ascii="Arial" w:hAnsi="Arial" w:cs="Arial"/>
          <w:sz w:val="22"/>
          <w:szCs w:val="22"/>
        </w:rPr>
        <w:t xml:space="preserve">As such, </w:t>
      </w:r>
      <w:r w:rsidR="005E2668">
        <w:rPr>
          <w:rFonts w:ascii="Arial" w:hAnsi="Arial" w:cs="Arial"/>
          <w:sz w:val="22"/>
          <w:szCs w:val="22"/>
        </w:rPr>
        <w:t xml:space="preserve">it is concluded that </w:t>
      </w:r>
      <w:r w:rsidRPr="00277B21">
        <w:rPr>
          <w:rFonts w:ascii="Arial" w:hAnsi="Arial" w:cs="Arial"/>
          <w:sz w:val="22"/>
          <w:szCs w:val="22"/>
        </w:rPr>
        <w:t>the proposal fails to preserve the character and appearance of the Conservation Area and conflicts with Core Policy 58 of the Wiltshire Core Strategy and the provisions of the NPPF</w:t>
      </w:r>
      <w:r w:rsidR="005E2668">
        <w:rPr>
          <w:rFonts w:ascii="Arial" w:hAnsi="Arial" w:cs="Arial"/>
          <w:sz w:val="22"/>
          <w:szCs w:val="22"/>
        </w:rPr>
        <w:t xml:space="preserve"> and that this would support a reason for refusal</w:t>
      </w:r>
      <w:r w:rsidR="00D76C88">
        <w:rPr>
          <w:rFonts w:ascii="Arial" w:hAnsi="Arial" w:cs="Arial"/>
          <w:sz w:val="22"/>
          <w:szCs w:val="22"/>
        </w:rPr>
        <w:t xml:space="preserve"> </w:t>
      </w:r>
      <w:r w:rsidR="00D76C88" w:rsidRPr="00D76C88">
        <w:rPr>
          <w:rFonts w:ascii="Arial" w:hAnsi="Arial" w:cs="Arial"/>
          <w:sz w:val="22"/>
          <w:szCs w:val="22"/>
        </w:rPr>
        <w:t>having regard to the duties set out in Section 72 of the Act</w:t>
      </w:r>
      <w:r w:rsidR="00D76C88">
        <w:rPr>
          <w:rFonts w:ascii="Arial" w:hAnsi="Arial" w:cs="Arial"/>
          <w:sz w:val="22"/>
          <w:szCs w:val="22"/>
        </w:rPr>
        <w:t>.</w:t>
      </w:r>
    </w:p>
    <w:p w14:paraId="02A2D4D5" w14:textId="77777777" w:rsidR="003D6B2C" w:rsidRPr="00075C07" w:rsidRDefault="003D6B2C"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564A3DD2" w:rsidR="00BA0474" w:rsidRPr="008928E9"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8928E9">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742238" w:rsidRDefault="00BA0474" w:rsidP="00CC6665">
      <w:pPr>
        <w:spacing w:line="276" w:lineRule="auto"/>
        <w:jc w:val="both"/>
        <w:rPr>
          <w:rFonts w:ascii="Arial" w:hAnsi="Arial" w:cs="Arial"/>
          <w:sz w:val="22"/>
          <w:szCs w:val="22"/>
        </w:rPr>
      </w:pPr>
    </w:p>
    <w:p w14:paraId="4672A201" w14:textId="77777777" w:rsidR="00742238" w:rsidRPr="00742238" w:rsidRDefault="00742238" w:rsidP="00742238">
      <w:pPr>
        <w:spacing w:line="276" w:lineRule="auto"/>
        <w:jc w:val="both"/>
        <w:rPr>
          <w:rFonts w:ascii="Arial" w:hAnsi="Arial" w:cs="Arial"/>
          <w:sz w:val="22"/>
          <w:szCs w:val="22"/>
        </w:rPr>
      </w:pPr>
      <w:r w:rsidRPr="00742238">
        <w:rPr>
          <w:rFonts w:ascii="Arial" w:hAnsi="Arial" w:cs="Arial"/>
          <w:sz w:val="22"/>
          <w:szCs w:val="22"/>
        </w:rPr>
        <w:t>The proposed rear extension is limited in scale and height and would not project to an extent that would result in an overbearing or oppressive impact on neighbouring occupiers. It would not introduce any side-facing habitable room windows that would give rise to overlooking or loss of privacy. Openings are directed southwards into the applicant’s own garden area, thereby maintaining acceptable levels of amenity for adjacent properties. Given its scale and relationship to neighbouring boundaries, the proposal would not result in a material loss of light or outlook. Furthermore, the use of the parking area to the front is not considered to introduce unacceptable levels of noise or disturbance beyond that typically associated with a residential use. Accordingly, the proposal would not result in harm to neighbouring amenity and is considered to comply with relevant amenity policies and guidance.</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5205606F"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8928E9">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r w:rsidR="008928E9">
        <w:rPr>
          <w:rFonts w:ascii="Arial" w:hAnsi="Arial" w:cs="Arial"/>
          <w:color w:val="000000" w:themeColor="text1"/>
          <w:sz w:val="22"/>
          <w:szCs w:val="22"/>
        </w:rPr>
        <w:t xml:space="preserve"> </w:t>
      </w: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47660AAA" w14:textId="77777777" w:rsidR="008A2FEE" w:rsidRDefault="008A2FEE" w:rsidP="008A2FEE">
      <w:pPr>
        <w:spacing w:line="276" w:lineRule="auto"/>
        <w:jc w:val="both"/>
        <w:rPr>
          <w:rFonts w:ascii="Arial" w:hAnsi="Arial" w:cs="Arial"/>
          <w:sz w:val="22"/>
          <w:szCs w:val="22"/>
        </w:rPr>
      </w:pPr>
    </w:p>
    <w:p w14:paraId="24804CA5" w14:textId="1A01855D" w:rsidR="00441C5A" w:rsidRPr="008A2FEE" w:rsidRDefault="00841628" w:rsidP="008A2FEE">
      <w:pPr>
        <w:spacing w:line="276" w:lineRule="auto"/>
        <w:jc w:val="both"/>
        <w:rPr>
          <w:rFonts w:ascii="Arial" w:hAnsi="Arial" w:cs="Arial"/>
          <w:sz w:val="22"/>
          <w:szCs w:val="22"/>
        </w:rPr>
      </w:pPr>
      <w:r w:rsidRPr="008A2FEE">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8A2FEE">
        <w:rPr>
          <w:rFonts w:ascii="Arial" w:hAnsi="Arial" w:cs="Arial"/>
          <w:sz w:val="22"/>
          <w:szCs w:val="22"/>
        </w:rPr>
        <w:t>.</w:t>
      </w:r>
      <w:r w:rsidR="00EC61CC" w:rsidRPr="008A2FEE">
        <w:rPr>
          <w:rFonts w:ascii="Arial" w:hAnsi="Arial" w:cs="Arial"/>
          <w:sz w:val="22"/>
          <w:szCs w:val="22"/>
        </w:rPr>
        <w:t xml:space="preserve"> </w:t>
      </w:r>
      <w:r w:rsidR="0006177E" w:rsidRPr="008A2FEE">
        <w:rPr>
          <w:rFonts w:ascii="Arial" w:hAnsi="Arial" w:cs="Arial"/>
          <w:sz w:val="22"/>
          <w:szCs w:val="22"/>
        </w:rPr>
        <w:t>Paragraph 116 of the NPPF states that “</w:t>
      </w:r>
      <w:r w:rsidR="0006177E" w:rsidRPr="008A2FEE">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8A2FEE">
        <w:rPr>
          <w:rFonts w:ascii="Arial" w:hAnsi="Arial" w:cs="Arial"/>
          <w:sz w:val="22"/>
          <w:szCs w:val="22"/>
        </w:rPr>
        <w:t xml:space="preserve">”. </w:t>
      </w:r>
      <w:r w:rsidR="00441C5A" w:rsidRPr="008A2FEE">
        <w:rPr>
          <w:rFonts w:ascii="Arial" w:hAnsi="Arial" w:cs="Arial"/>
          <w:sz w:val="22"/>
          <w:szCs w:val="22"/>
        </w:rPr>
        <w:t xml:space="preserve">The WCS, through Core Policy 64, outlines the need for development to comply with a minimum level of parking standards. </w:t>
      </w:r>
    </w:p>
    <w:p w14:paraId="635338F2" w14:textId="77777777" w:rsidR="008A2FEE" w:rsidRPr="008A2FEE" w:rsidRDefault="008A2FEE" w:rsidP="008A2FEE">
      <w:pPr>
        <w:spacing w:line="276" w:lineRule="auto"/>
        <w:jc w:val="both"/>
        <w:rPr>
          <w:rFonts w:ascii="Arial" w:hAnsi="Arial" w:cs="Arial"/>
          <w:sz w:val="22"/>
          <w:szCs w:val="22"/>
        </w:rPr>
      </w:pPr>
    </w:p>
    <w:p w14:paraId="1E3EEAAE" w14:textId="77777777" w:rsidR="008A2FEE" w:rsidRPr="008A2FEE" w:rsidRDefault="008A2FEE" w:rsidP="008A2FEE">
      <w:pPr>
        <w:spacing w:line="276" w:lineRule="auto"/>
        <w:jc w:val="both"/>
        <w:rPr>
          <w:rFonts w:ascii="Arial" w:hAnsi="Arial" w:cs="Arial"/>
          <w:sz w:val="22"/>
          <w:szCs w:val="22"/>
        </w:rPr>
      </w:pPr>
      <w:r w:rsidRPr="008A2FEE">
        <w:rPr>
          <w:rFonts w:ascii="Arial" w:hAnsi="Arial" w:cs="Arial"/>
          <w:sz w:val="22"/>
          <w:szCs w:val="22"/>
        </w:rPr>
        <w:t>The proposed development seeks to introduce a new vehicular access and off-street parking provision to serve an existing mid-terrace dwelling fronting Lower Road. It is acknowledged that the proposal would not result in an uplift in trip generation and may offer some benefit through the removal of an element of existing on-street parking, which currently constrains the carriageway. However, the acceptability of the proposal must be considered primarily in terms of whether it would provide a safe and suitable means of access in accordance with adopted highway standards.</w:t>
      </w:r>
    </w:p>
    <w:p w14:paraId="3ED0DDDA" w14:textId="77777777" w:rsidR="008A2FEE" w:rsidRPr="008A2FEE" w:rsidRDefault="008A2FEE" w:rsidP="008A2FEE">
      <w:pPr>
        <w:spacing w:line="276" w:lineRule="auto"/>
        <w:jc w:val="both"/>
        <w:rPr>
          <w:rFonts w:ascii="Arial" w:hAnsi="Arial" w:cs="Arial"/>
          <w:sz w:val="22"/>
          <w:szCs w:val="22"/>
        </w:rPr>
      </w:pPr>
    </w:p>
    <w:p w14:paraId="6EBDE35C" w14:textId="3E17EC4F" w:rsidR="008A2FEE" w:rsidRPr="008A2FEE" w:rsidRDefault="008A2FEE" w:rsidP="008A2FEE">
      <w:pPr>
        <w:spacing w:line="276" w:lineRule="auto"/>
        <w:jc w:val="both"/>
        <w:rPr>
          <w:rFonts w:ascii="Arial" w:hAnsi="Arial" w:cs="Arial"/>
          <w:sz w:val="22"/>
          <w:szCs w:val="22"/>
        </w:rPr>
      </w:pPr>
      <w:r w:rsidRPr="008A2FEE">
        <w:rPr>
          <w:rFonts w:ascii="Arial" w:hAnsi="Arial" w:cs="Arial"/>
          <w:sz w:val="22"/>
          <w:szCs w:val="22"/>
        </w:rPr>
        <w:t>In this regard, the Highway Authority has raised clear and substantive objections. The site is located on a section of road subject to a 20mph speed limit, where visibility splays of approximately 2.4m x 25m are required in both directions. The submitted plans demonstrate that these standards cannot be achieved, with visibility to the east being particularly constrained due to</w:t>
      </w:r>
      <w:r w:rsidR="00D06895">
        <w:rPr>
          <w:rFonts w:ascii="Arial" w:hAnsi="Arial" w:cs="Arial"/>
          <w:sz w:val="22"/>
          <w:szCs w:val="22"/>
        </w:rPr>
        <w:t xml:space="preserve"> both the neighbouring properties front boundary treatment, the raising topography of the site,</w:t>
      </w:r>
      <w:r w:rsidRPr="008A2FEE">
        <w:rPr>
          <w:rFonts w:ascii="Arial" w:hAnsi="Arial" w:cs="Arial"/>
          <w:sz w:val="22"/>
          <w:szCs w:val="22"/>
        </w:rPr>
        <w:t xml:space="preserve"> </w:t>
      </w:r>
      <w:r w:rsidR="00D06895">
        <w:rPr>
          <w:rFonts w:ascii="Arial" w:hAnsi="Arial" w:cs="Arial"/>
          <w:sz w:val="22"/>
          <w:szCs w:val="22"/>
        </w:rPr>
        <w:t xml:space="preserve">and </w:t>
      </w:r>
      <w:r w:rsidRPr="008A2FEE">
        <w:rPr>
          <w:rFonts w:ascii="Arial" w:hAnsi="Arial" w:cs="Arial"/>
          <w:sz w:val="22"/>
          <w:szCs w:val="22"/>
        </w:rPr>
        <w:t>the proximity of the junction with Monastery Road (approximately 29m from the site). The applicant’s own evidence indicates that only very limited visibility of approximately 3.5m can be achieved in this direction. This represents a significant shortfall against required standards and would create a scenario whereby vehicles emerging from the proposed parking bay would have insufficient opportunity to observe and respond safely to oncoming traffic</w:t>
      </w:r>
      <w:r w:rsidR="005E2668">
        <w:rPr>
          <w:rFonts w:ascii="Arial" w:hAnsi="Arial" w:cs="Arial"/>
          <w:sz w:val="22"/>
          <w:szCs w:val="22"/>
        </w:rPr>
        <w:t>, including pedestrians/cyclists using the highway</w:t>
      </w:r>
      <w:r w:rsidRPr="008A2FEE">
        <w:rPr>
          <w:rFonts w:ascii="Arial" w:hAnsi="Arial" w:cs="Arial"/>
          <w:sz w:val="22"/>
          <w:szCs w:val="22"/>
        </w:rPr>
        <w:t>. This risk is materially exacerbated by the site’s relationship with the nearby junction, particularly for vehicles turning westbound from Monastery Road, which would have very limited awareness of vehicles manoeuvring out of the site.</w:t>
      </w:r>
    </w:p>
    <w:p w14:paraId="268169AA" w14:textId="77777777" w:rsidR="008A2FEE" w:rsidRPr="008A2FEE" w:rsidRDefault="008A2FEE" w:rsidP="008A2FEE">
      <w:pPr>
        <w:spacing w:line="276" w:lineRule="auto"/>
        <w:jc w:val="both"/>
        <w:rPr>
          <w:rFonts w:ascii="Arial" w:hAnsi="Arial" w:cs="Arial"/>
          <w:sz w:val="22"/>
          <w:szCs w:val="22"/>
        </w:rPr>
      </w:pPr>
    </w:p>
    <w:p w14:paraId="1FD76A89" w14:textId="77777777" w:rsidR="005E2668" w:rsidRDefault="008A2FEE" w:rsidP="008A2FEE">
      <w:pPr>
        <w:spacing w:line="276" w:lineRule="auto"/>
        <w:jc w:val="both"/>
        <w:rPr>
          <w:rFonts w:ascii="Arial" w:hAnsi="Arial" w:cs="Arial"/>
          <w:sz w:val="22"/>
          <w:szCs w:val="22"/>
        </w:rPr>
      </w:pPr>
      <w:r w:rsidRPr="008A2FEE">
        <w:rPr>
          <w:rFonts w:ascii="Arial" w:hAnsi="Arial" w:cs="Arial"/>
          <w:sz w:val="22"/>
          <w:szCs w:val="22"/>
        </w:rPr>
        <w:t xml:space="preserve">Furthermore, the proposal </w:t>
      </w:r>
      <w:r w:rsidR="00261351">
        <w:rPr>
          <w:rFonts w:ascii="Arial" w:hAnsi="Arial" w:cs="Arial"/>
          <w:sz w:val="22"/>
          <w:szCs w:val="22"/>
        </w:rPr>
        <w:t>is incapable of</w:t>
      </w:r>
      <w:r w:rsidRPr="008A2FEE">
        <w:rPr>
          <w:rFonts w:ascii="Arial" w:hAnsi="Arial" w:cs="Arial"/>
          <w:sz w:val="22"/>
          <w:szCs w:val="22"/>
        </w:rPr>
        <w:t xml:space="preserve"> provid</w:t>
      </w:r>
      <w:r w:rsidR="00261351">
        <w:rPr>
          <w:rFonts w:ascii="Arial" w:hAnsi="Arial" w:cs="Arial"/>
          <w:sz w:val="22"/>
          <w:szCs w:val="22"/>
        </w:rPr>
        <w:t>ing</w:t>
      </w:r>
      <w:r w:rsidRPr="008A2FEE">
        <w:rPr>
          <w:rFonts w:ascii="Arial" w:hAnsi="Arial" w:cs="Arial"/>
          <w:sz w:val="22"/>
          <w:szCs w:val="22"/>
        </w:rPr>
        <w:t xml:space="preserve"> sufficient space within the site for vehicles to turn, resulting in a reliance on vehicles reversing either into or out of the highway. This arrangement is generally considered unacceptable in highway safety terms, particularly on a through route where traffic movements are influenced by a nearby junction. The suggestion that visibility limitations could be mitigated </w:t>
      </w:r>
      <w:proofErr w:type="gramStart"/>
      <w:r w:rsidRPr="008A2FEE">
        <w:rPr>
          <w:rFonts w:ascii="Arial" w:hAnsi="Arial" w:cs="Arial"/>
          <w:sz w:val="22"/>
          <w:szCs w:val="22"/>
        </w:rPr>
        <w:t>through the use of</w:t>
      </w:r>
      <w:proofErr w:type="gramEnd"/>
      <w:r w:rsidRPr="008A2FEE">
        <w:rPr>
          <w:rFonts w:ascii="Arial" w:hAnsi="Arial" w:cs="Arial"/>
          <w:sz w:val="22"/>
          <w:szCs w:val="22"/>
        </w:rPr>
        <w:t xml:space="preserve"> mirrors is not supported by the Highway Authority and</w:t>
      </w:r>
      <w:r w:rsidR="005E2668">
        <w:rPr>
          <w:rFonts w:ascii="Arial" w:hAnsi="Arial" w:cs="Arial"/>
          <w:sz w:val="22"/>
          <w:szCs w:val="22"/>
        </w:rPr>
        <w:t xml:space="preserve"> accordingly</w:t>
      </w:r>
      <w:r w:rsidRPr="008A2FEE">
        <w:rPr>
          <w:rFonts w:ascii="Arial" w:hAnsi="Arial" w:cs="Arial"/>
          <w:sz w:val="22"/>
          <w:szCs w:val="22"/>
        </w:rPr>
        <w:t xml:space="preserve"> is given no weight, given the inherent reliability issues associated with such measures.</w:t>
      </w:r>
      <w:r w:rsidR="005742D0">
        <w:rPr>
          <w:rFonts w:ascii="Arial" w:hAnsi="Arial" w:cs="Arial"/>
          <w:sz w:val="22"/>
          <w:szCs w:val="22"/>
        </w:rPr>
        <w:t xml:space="preserve"> The location of any such </w:t>
      </w:r>
      <w:r w:rsidR="003F6D7D">
        <w:rPr>
          <w:rFonts w:ascii="Arial" w:hAnsi="Arial" w:cs="Arial"/>
          <w:sz w:val="22"/>
          <w:szCs w:val="22"/>
        </w:rPr>
        <w:t>mirror would be outside of the application site and therefore could not be reasonably condition</w:t>
      </w:r>
      <w:r w:rsidR="000F473D">
        <w:rPr>
          <w:rFonts w:ascii="Arial" w:hAnsi="Arial" w:cs="Arial"/>
          <w:sz w:val="22"/>
          <w:szCs w:val="22"/>
        </w:rPr>
        <w:t>ed.</w:t>
      </w:r>
      <w:r w:rsidRPr="008A2FEE">
        <w:rPr>
          <w:rFonts w:ascii="Arial" w:hAnsi="Arial" w:cs="Arial"/>
          <w:sz w:val="22"/>
          <w:szCs w:val="22"/>
        </w:rPr>
        <w:t xml:space="preserve"> </w:t>
      </w:r>
    </w:p>
    <w:p w14:paraId="0859050E" w14:textId="77777777" w:rsidR="005E2668" w:rsidRDefault="005E2668" w:rsidP="008A2FEE">
      <w:pPr>
        <w:spacing w:line="276" w:lineRule="auto"/>
        <w:jc w:val="both"/>
        <w:rPr>
          <w:rFonts w:ascii="Arial" w:hAnsi="Arial" w:cs="Arial"/>
          <w:sz w:val="22"/>
          <w:szCs w:val="22"/>
        </w:rPr>
      </w:pPr>
    </w:p>
    <w:p w14:paraId="05C82B93" w14:textId="261ED834" w:rsidR="008A2FEE" w:rsidRPr="008A2FEE" w:rsidRDefault="008A2FEE" w:rsidP="008A2FEE">
      <w:pPr>
        <w:spacing w:line="276" w:lineRule="auto"/>
        <w:jc w:val="both"/>
        <w:rPr>
          <w:rFonts w:ascii="Arial" w:hAnsi="Arial" w:cs="Arial"/>
          <w:sz w:val="22"/>
          <w:szCs w:val="22"/>
        </w:rPr>
      </w:pPr>
      <w:r w:rsidRPr="008A2FEE">
        <w:rPr>
          <w:rFonts w:ascii="Arial" w:hAnsi="Arial" w:cs="Arial"/>
          <w:sz w:val="22"/>
          <w:szCs w:val="22"/>
        </w:rPr>
        <w:t xml:space="preserve">Whilst it is recognised that the existing parking situation along Lower Road is constrained and suboptimal, the proposal would </w:t>
      </w:r>
      <w:r w:rsidR="000F473D">
        <w:rPr>
          <w:rFonts w:ascii="Arial" w:hAnsi="Arial" w:cs="Arial"/>
          <w:sz w:val="22"/>
          <w:szCs w:val="22"/>
        </w:rPr>
        <w:t>result in</w:t>
      </w:r>
      <w:r w:rsidRPr="008A2FEE">
        <w:rPr>
          <w:rFonts w:ascii="Arial" w:hAnsi="Arial" w:cs="Arial"/>
          <w:sz w:val="22"/>
          <w:szCs w:val="22"/>
        </w:rPr>
        <w:t xml:space="preserve"> a substandard access arrangement that fails to meet current safety requirements and introduces an increased potential for conflict between highway users. </w:t>
      </w:r>
      <w:r w:rsidR="00C57D08">
        <w:rPr>
          <w:rFonts w:ascii="Arial" w:hAnsi="Arial" w:cs="Arial"/>
          <w:sz w:val="22"/>
          <w:szCs w:val="22"/>
        </w:rPr>
        <w:t>H</w:t>
      </w:r>
      <w:r w:rsidR="00C57D08" w:rsidRPr="001F267F">
        <w:rPr>
          <w:rFonts w:ascii="Arial" w:hAnsi="Arial" w:cs="Arial"/>
          <w:sz w:val="22"/>
          <w:szCs w:val="22"/>
        </w:rPr>
        <w:t>aving regard to paragraph 116 of the National Planning Policy Framework, the cumulative effect of these deficiencies is considered to result in a severe impact on the safe and efficient operation of the highway network.</w:t>
      </w:r>
      <w:r w:rsidR="00C57D08">
        <w:rPr>
          <w:rFonts w:ascii="Arial" w:hAnsi="Arial" w:cs="Arial"/>
          <w:sz w:val="22"/>
          <w:szCs w:val="22"/>
        </w:rPr>
        <w:t xml:space="preserve"> </w:t>
      </w:r>
      <w:r w:rsidR="00C57D08" w:rsidRPr="001316A4">
        <w:rPr>
          <w:rFonts w:ascii="Arial" w:hAnsi="Arial" w:cs="Arial"/>
          <w:sz w:val="22"/>
          <w:szCs w:val="22"/>
        </w:rPr>
        <w:t>As such, the development is considered to result in an unacceptable impact on highway safety and conflicts with Core Policies 60 and 61 of the Wiltshire Core Strategy and Paragraph 116 of the National Planning Policy Framework.</w:t>
      </w:r>
    </w:p>
    <w:p w14:paraId="1D84EB61" w14:textId="77777777" w:rsidR="002A73D1" w:rsidRDefault="002A73D1" w:rsidP="00CC6665">
      <w:pPr>
        <w:spacing w:line="276" w:lineRule="auto"/>
        <w:rPr>
          <w:rFonts w:ascii="Arial" w:hAnsi="Arial" w:cs="Arial"/>
          <w:sz w:val="22"/>
          <w:szCs w:val="22"/>
        </w:rPr>
      </w:pPr>
    </w:p>
    <w:p w14:paraId="1B7C0B65" w14:textId="77777777" w:rsidR="00AA3B6C" w:rsidRDefault="00AA3B6C" w:rsidP="00AA3B6C">
      <w:pPr>
        <w:spacing w:line="276" w:lineRule="auto"/>
        <w:rPr>
          <w:rFonts w:ascii="Arial" w:hAnsi="Arial" w:cs="Arial"/>
          <w:sz w:val="22"/>
          <w:szCs w:val="22"/>
        </w:rPr>
      </w:pPr>
      <w:r w:rsidRPr="00FE0E87">
        <w:rPr>
          <w:rFonts w:ascii="Arial" w:hAnsi="Arial" w:cs="Arial"/>
          <w:noProof/>
          <w:sz w:val="22"/>
          <w:szCs w:val="22"/>
        </w:rPr>
        <w:drawing>
          <wp:inline distT="0" distB="0" distL="0" distR="0" wp14:anchorId="53FB8B97" wp14:editId="523334E6">
            <wp:extent cx="6629400" cy="2259330"/>
            <wp:effectExtent l="0" t="0" r="0" b="7620"/>
            <wp:docPr id="1426126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57266" name=""/>
                    <pic:cNvPicPr/>
                  </pic:nvPicPr>
                  <pic:blipFill>
                    <a:blip r:embed="rId7"/>
                    <a:stretch>
                      <a:fillRect/>
                    </a:stretch>
                  </pic:blipFill>
                  <pic:spPr>
                    <a:xfrm>
                      <a:off x="0" y="0"/>
                      <a:ext cx="6629400" cy="2259330"/>
                    </a:xfrm>
                    <a:prstGeom prst="rect">
                      <a:avLst/>
                    </a:prstGeom>
                  </pic:spPr>
                </pic:pic>
              </a:graphicData>
            </a:graphic>
          </wp:inline>
        </w:drawing>
      </w:r>
    </w:p>
    <w:p w14:paraId="00CDEE7F" w14:textId="77777777" w:rsidR="00AA3B6C" w:rsidRDefault="00AA3B6C" w:rsidP="00AA3B6C">
      <w:pPr>
        <w:spacing w:line="276" w:lineRule="auto"/>
        <w:jc w:val="center"/>
        <w:rPr>
          <w:rFonts w:ascii="Arial" w:hAnsi="Arial" w:cs="Arial"/>
          <w:i/>
          <w:iCs/>
          <w:sz w:val="22"/>
          <w:szCs w:val="22"/>
        </w:rPr>
      </w:pPr>
      <w:r w:rsidRPr="00FE0E87">
        <w:rPr>
          <w:rFonts w:ascii="Arial" w:hAnsi="Arial" w:cs="Arial"/>
          <w:i/>
          <w:iCs/>
          <w:sz w:val="22"/>
          <w:szCs w:val="22"/>
        </w:rPr>
        <w:t>Proposed Parking Space</w:t>
      </w:r>
    </w:p>
    <w:p w14:paraId="01110D16" w14:textId="77777777" w:rsidR="00AA3B6C" w:rsidRPr="00FE0E87" w:rsidRDefault="00AA3B6C" w:rsidP="00AA3B6C">
      <w:pPr>
        <w:spacing w:line="276" w:lineRule="auto"/>
        <w:jc w:val="center"/>
        <w:rPr>
          <w:rFonts w:ascii="Arial" w:hAnsi="Arial" w:cs="Arial"/>
          <w:i/>
          <w:iCs/>
          <w:sz w:val="22"/>
          <w:szCs w:val="22"/>
        </w:rPr>
      </w:pPr>
    </w:p>
    <w:p w14:paraId="5E780288" w14:textId="77777777" w:rsidR="003D04A8" w:rsidRDefault="003D04A8" w:rsidP="003D04A8">
      <w:pPr>
        <w:spacing w:line="276" w:lineRule="auto"/>
        <w:jc w:val="center"/>
        <w:rPr>
          <w:rFonts w:ascii="Arial" w:hAnsi="Arial" w:cs="Arial"/>
          <w:sz w:val="22"/>
          <w:szCs w:val="22"/>
        </w:rPr>
      </w:pPr>
      <w:r w:rsidRPr="00312E97">
        <w:rPr>
          <w:rFonts w:ascii="Arial" w:hAnsi="Arial" w:cs="Arial"/>
          <w:noProof/>
          <w:sz w:val="22"/>
          <w:szCs w:val="22"/>
        </w:rPr>
        <w:drawing>
          <wp:inline distT="0" distB="0" distL="0" distR="0" wp14:anchorId="44132601" wp14:editId="2FB44A5D">
            <wp:extent cx="6629400" cy="3763010"/>
            <wp:effectExtent l="0" t="0" r="0" b="8890"/>
            <wp:docPr id="592399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900909" name=""/>
                    <pic:cNvPicPr/>
                  </pic:nvPicPr>
                  <pic:blipFill>
                    <a:blip r:embed="rId8"/>
                    <a:stretch>
                      <a:fillRect/>
                    </a:stretch>
                  </pic:blipFill>
                  <pic:spPr>
                    <a:xfrm>
                      <a:off x="0" y="0"/>
                      <a:ext cx="6629400" cy="3763010"/>
                    </a:xfrm>
                    <a:prstGeom prst="rect">
                      <a:avLst/>
                    </a:prstGeom>
                  </pic:spPr>
                </pic:pic>
              </a:graphicData>
            </a:graphic>
          </wp:inline>
        </w:drawing>
      </w:r>
    </w:p>
    <w:p w14:paraId="3D05F1F3" w14:textId="77777777" w:rsidR="003D04A8" w:rsidRDefault="003D04A8" w:rsidP="003D04A8">
      <w:pPr>
        <w:spacing w:line="276" w:lineRule="auto"/>
        <w:jc w:val="center"/>
        <w:rPr>
          <w:rFonts w:ascii="Arial" w:hAnsi="Arial" w:cs="Arial"/>
          <w:i/>
          <w:iCs/>
          <w:sz w:val="22"/>
          <w:szCs w:val="22"/>
        </w:rPr>
      </w:pPr>
      <w:r w:rsidRPr="00C80180">
        <w:rPr>
          <w:rFonts w:ascii="Arial" w:hAnsi="Arial" w:cs="Arial"/>
          <w:i/>
          <w:iCs/>
          <w:sz w:val="22"/>
          <w:szCs w:val="22"/>
        </w:rPr>
        <w:t>Front Elevation</w:t>
      </w:r>
    </w:p>
    <w:p w14:paraId="09A989E4" w14:textId="77777777" w:rsidR="003D04A8" w:rsidRPr="00C80180" w:rsidRDefault="003D04A8" w:rsidP="003D04A8">
      <w:pPr>
        <w:spacing w:line="276" w:lineRule="auto"/>
        <w:jc w:val="center"/>
        <w:rPr>
          <w:rFonts w:ascii="Arial" w:hAnsi="Arial" w:cs="Arial"/>
          <w:i/>
          <w:iCs/>
          <w:sz w:val="22"/>
          <w:szCs w:val="22"/>
        </w:rPr>
      </w:pPr>
    </w:p>
    <w:p w14:paraId="7FF2C827" w14:textId="77777777" w:rsidR="00FE0E87" w:rsidRDefault="00FE0E87" w:rsidP="00CC6665">
      <w:pPr>
        <w:spacing w:line="276" w:lineRule="auto"/>
        <w:rPr>
          <w:rFonts w:ascii="Arial" w:hAnsi="Arial" w:cs="Arial"/>
          <w:sz w:val="22"/>
          <w:szCs w:val="22"/>
        </w:rPr>
      </w:pPr>
    </w:p>
    <w:p w14:paraId="5192D9DD" w14:textId="77777777" w:rsidR="00C80180" w:rsidRPr="00075C07" w:rsidRDefault="00C80180" w:rsidP="00CC6665">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3325B8FF" w14:textId="77777777" w:rsidR="00EE0DA4" w:rsidRPr="00075C07" w:rsidRDefault="00EE0DA4" w:rsidP="00CC6665">
      <w:pPr>
        <w:spacing w:line="276" w:lineRule="auto"/>
        <w:rPr>
          <w:rFonts w:ascii="Arial" w:hAnsi="Arial" w:cs="Arial"/>
          <w:b/>
          <w:bCs/>
          <w:i/>
          <w:iCs/>
          <w:sz w:val="22"/>
          <w:szCs w:val="22"/>
          <w:u w:val="single"/>
        </w:rPr>
      </w:pPr>
    </w:p>
    <w:p w14:paraId="24664B8A" w14:textId="07E9D068" w:rsidR="00640499" w:rsidRPr="00EE0DA4" w:rsidRDefault="00640499" w:rsidP="00EE0DA4">
      <w:pPr>
        <w:spacing w:line="276" w:lineRule="auto"/>
        <w:jc w:val="both"/>
        <w:rPr>
          <w:rFonts w:ascii="Arial" w:hAnsi="Arial" w:cs="Arial"/>
          <w:b/>
          <w:bCs/>
          <w:sz w:val="22"/>
          <w:szCs w:val="22"/>
        </w:rPr>
      </w:pPr>
      <w:r w:rsidRPr="00EE0DA4">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p>
    <w:p w14:paraId="281939E2" w14:textId="77777777" w:rsidR="0050269B" w:rsidRPr="00EE0DA4" w:rsidRDefault="0050269B" w:rsidP="00EE0DA4">
      <w:pPr>
        <w:spacing w:line="276" w:lineRule="auto"/>
        <w:jc w:val="both"/>
        <w:rPr>
          <w:rFonts w:ascii="Arial" w:hAnsi="Arial" w:cs="Arial"/>
          <w:sz w:val="22"/>
          <w:szCs w:val="22"/>
          <w:u w:val="single"/>
        </w:rPr>
      </w:pPr>
    </w:p>
    <w:p w14:paraId="6ACE54F6" w14:textId="77777777" w:rsidR="0050269B" w:rsidRPr="00EE0DA4" w:rsidRDefault="0050269B" w:rsidP="00EE0DA4">
      <w:pPr>
        <w:spacing w:line="276" w:lineRule="auto"/>
        <w:jc w:val="both"/>
        <w:rPr>
          <w:rFonts w:ascii="Arial" w:hAnsi="Arial" w:cs="Arial"/>
          <w:sz w:val="22"/>
          <w:szCs w:val="22"/>
        </w:rPr>
      </w:pPr>
      <w:r w:rsidRPr="00EE0DA4">
        <w:rPr>
          <w:rFonts w:ascii="Arial" w:hAnsi="Arial" w:cs="Arial"/>
          <w:sz w:val="22"/>
          <w:szCs w:val="22"/>
        </w:rPr>
        <w:t>Householder planning applications are exempt from the requirement to deliver Biodiversity Net Gain under Schedule 7A, Section 4(2)(a) of the Town and Country Planning Act 1990, as inserted by the Environment Act 2021.</w:t>
      </w:r>
    </w:p>
    <w:p w14:paraId="19FD70BD" w14:textId="77777777" w:rsidR="0050269B" w:rsidRPr="00EE0DA4" w:rsidRDefault="0050269B" w:rsidP="00EE0DA4">
      <w:pPr>
        <w:spacing w:line="276" w:lineRule="auto"/>
        <w:jc w:val="both"/>
        <w:rPr>
          <w:rFonts w:ascii="Arial" w:hAnsi="Arial" w:cs="Arial"/>
          <w:sz w:val="22"/>
          <w:szCs w:val="22"/>
        </w:rPr>
      </w:pPr>
    </w:p>
    <w:p w14:paraId="3CBDCC2A" w14:textId="6B549F04" w:rsidR="00EE0DA4" w:rsidRPr="00EE0DA4" w:rsidRDefault="00EE0DA4" w:rsidP="00EE0DA4">
      <w:pPr>
        <w:spacing w:line="276" w:lineRule="auto"/>
        <w:jc w:val="both"/>
        <w:rPr>
          <w:rFonts w:ascii="Arial" w:hAnsi="Arial" w:cs="Arial"/>
          <w:sz w:val="22"/>
          <w:szCs w:val="22"/>
        </w:rPr>
      </w:pPr>
      <w:r w:rsidRPr="00EE0DA4">
        <w:rPr>
          <w:rFonts w:ascii="Arial" w:hAnsi="Arial" w:cs="Arial"/>
          <w:sz w:val="22"/>
          <w:szCs w:val="22"/>
        </w:rPr>
        <w:t>The proposal relates primarily to development within an existing residential curtilage, with the rear extension occupying an area of hardstanding or managed garden space, thereby limiting its impact on ecological features. Whilst a priority habitat is noted adjoining the site to the south, the development is separated from this area and is not considered likely to result in direct harm or disturbance. Given the limited scale and nature of the works, the proposal is unlikely to give rise to impacts on protected species. The proposal is therefore considered to accord with relevant ecological policies and national guidance.</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2629C805" w14:textId="77777777" w:rsidR="000A3BB5" w:rsidRDefault="000A3BB5" w:rsidP="000A3BB5">
      <w:pPr>
        <w:spacing w:line="276" w:lineRule="auto"/>
        <w:jc w:val="both"/>
        <w:rPr>
          <w:rFonts w:ascii="Arial" w:hAnsi="Arial" w:cs="Arial"/>
          <w:sz w:val="22"/>
          <w:szCs w:val="22"/>
        </w:rPr>
      </w:pPr>
    </w:p>
    <w:p w14:paraId="0B23C44A" w14:textId="31410356" w:rsidR="00AD3402" w:rsidRPr="00921213" w:rsidRDefault="00921213" w:rsidP="000A3BB5">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921213">
        <w:rPr>
          <w:rFonts w:ascii="Arial" w:hAnsi="Arial" w:cs="Arial"/>
          <w:sz w:val="22"/>
          <w:szCs w:val="22"/>
        </w:rPr>
        <w:t>SuDS</w:t>
      </w:r>
      <w:proofErr w:type="spellEnd"/>
      <w:r w:rsidRPr="00921213">
        <w:rPr>
          <w:rFonts w:ascii="Arial" w:hAnsi="Arial" w:cs="Arial"/>
          <w:sz w:val="22"/>
          <w:szCs w:val="22"/>
        </w:rPr>
        <w:t>)—that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necessary, ensuring that drainage strategies are robust, technically compliant, and aligned with national policy.</w:t>
      </w:r>
      <w:r w:rsidR="00AD3402" w:rsidRPr="00921213">
        <w:rPr>
          <w:rFonts w:ascii="Arial" w:hAnsi="Arial" w:cs="Arial"/>
          <w:sz w:val="22"/>
          <w:szCs w:val="22"/>
        </w:rPr>
        <w:t xml:space="preserve"> The NPPF sets out the application of a sequential, risk-based approach to the location of new development in paragraph 172. </w:t>
      </w:r>
      <w:bookmarkStart w:id="2" w:name="_Hlk212729867"/>
    </w:p>
    <w:p w14:paraId="3A68D544" w14:textId="762DF0CB" w:rsidR="002A73D1" w:rsidRDefault="002A73D1" w:rsidP="000A3BB5">
      <w:pPr>
        <w:spacing w:line="276" w:lineRule="auto"/>
        <w:jc w:val="both"/>
        <w:rPr>
          <w:rFonts w:ascii="Arial" w:hAnsi="Arial" w:cs="Arial"/>
          <w:sz w:val="22"/>
          <w:szCs w:val="22"/>
        </w:rPr>
      </w:pPr>
    </w:p>
    <w:bookmarkEnd w:id="2"/>
    <w:p w14:paraId="7DE91A47" w14:textId="41500BFF" w:rsidR="000A3BB5" w:rsidRPr="000A3BB5" w:rsidRDefault="000A3BB5" w:rsidP="000A3BB5">
      <w:pPr>
        <w:spacing w:line="276" w:lineRule="auto"/>
        <w:jc w:val="both"/>
        <w:rPr>
          <w:rFonts w:ascii="Arial" w:hAnsi="Arial" w:cs="Arial"/>
          <w:sz w:val="22"/>
          <w:szCs w:val="22"/>
        </w:rPr>
      </w:pPr>
      <w:r w:rsidRPr="000A3BB5">
        <w:rPr>
          <w:rFonts w:ascii="Arial" w:hAnsi="Arial" w:cs="Arial"/>
          <w:sz w:val="22"/>
          <w:szCs w:val="22"/>
        </w:rPr>
        <w:t>The site lies within Flood Zone 1, indicating a low probability of fluvial flooding. The Council’s Strategic Flood Risk Assessment identifies a potential risk of groundwater flooding, with levels relatively close to the surface; however, the scale of the development is modest and primarily confined to an existing residential plot. The use of a permeable surface for the proposed parking area represents a sustainable drainage approach which would assist in managing surface water run-off. There is no identified risk of surface water flooding affecting the site.</w:t>
      </w:r>
      <w:r w:rsidR="001327DF" w:rsidRPr="001327DF">
        <w:t xml:space="preserve"> </w:t>
      </w:r>
      <w:r w:rsidR="001327DF" w:rsidRPr="001327DF">
        <w:rPr>
          <w:rFonts w:ascii="Arial" w:hAnsi="Arial" w:cs="Arial"/>
          <w:sz w:val="22"/>
          <w:szCs w:val="22"/>
        </w:rPr>
        <w:t xml:space="preserve">In the event of </w:t>
      </w:r>
      <w:proofErr w:type="gramStart"/>
      <w:r w:rsidR="001327DF" w:rsidRPr="001327DF">
        <w:rPr>
          <w:rFonts w:ascii="Arial" w:hAnsi="Arial" w:cs="Arial"/>
          <w:sz w:val="22"/>
          <w:szCs w:val="22"/>
        </w:rPr>
        <w:t>approval</w:t>
      </w:r>
      <w:proofErr w:type="gramEnd"/>
      <w:r w:rsidR="001327DF" w:rsidRPr="001327DF">
        <w:rPr>
          <w:rFonts w:ascii="Arial" w:hAnsi="Arial" w:cs="Arial"/>
          <w:sz w:val="22"/>
          <w:szCs w:val="22"/>
        </w:rPr>
        <w:t xml:space="preserve"> a condition requiring means of preventing </w:t>
      </w:r>
      <w:r w:rsidR="001327DF">
        <w:rPr>
          <w:rFonts w:ascii="Arial" w:hAnsi="Arial" w:cs="Arial"/>
          <w:sz w:val="22"/>
          <w:szCs w:val="22"/>
        </w:rPr>
        <w:t xml:space="preserve">water </w:t>
      </w:r>
      <w:r w:rsidR="001327DF" w:rsidRPr="001327DF">
        <w:rPr>
          <w:rFonts w:ascii="Arial" w:hAnsi="Arial" w:cs="Arial"/>
          <w:sz w:val="22"/>
          <w:szCs w:val="22"/>
        </w:rPr>
        <w:t>run</w:t>
      </w:r>
      <w:r w:rsidR="001327DF">
        <w:rPr>
          <w:rFonts w:ascii="Arial" w:hAnsi="Arial" w:cs="Arial"/>
          <w:sz w:val="22"/>
          <w:szCs w:val="22"/>
        </w:rPr>
        <w:t>off onto the highway would be recommended.</w:t>
      </w:r>
      <w:r w:rsidRPr="000A3BB5">
        <w:rPr>
          <w:rFonts w:ascii="Arial" w:hAnsi="Arial" w:cs="Arial"/>
          <w:sz w:val="22"/>
          <w:szCs w:val="22"/>
        </w:rPr>
        <w:t xml:space="preserve"> In the absence of any significant intensification of development or increase in impermeable area, the proposal is not considered to exacerbate flood risk on or off the site. As such, the development is acceptable in flood risk and drainage terms and complies with relevant policy.</w:t>
      </w:r>
      <w:r w:rsidR="001327DF">
        <w:rPr>
          <w:rFonts w:ascii="Arial" w:hAnsi="Arial" w:cs="Arial"/>
          <w:sz w:val="22"/>
          <w:szCs w:val="22"/>
        </w:rPr>
        <w:t xml:space="preserve"> </w:t>
      </w:r>
    </w:p>
    <w:p w14:paraId="6F44F3EA" w14:textId="77777777" w:rsidR="00EC61CC" w:rsidRPr="00EC61CC" w:rsidRDefault="00EC61CC"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598F063B" w14:textId="35350580" w:rsidR="00D91066" w:rsidRDefault="00D91066" w:rsidP="00D91066">
      <w:pPr>
        <w:spacing w:line="276" w:lineRule="auto"/>
        <w:jc w:val="both"/>
        <w:rPr>
          <w:rFonts w:ascii="Arial" w:hAnsi="Arial" w:cs="Arial"/>
          <w:color w:val="000000" w:themeColor="text1"/>
          <w:sz w:val="22"/>
          <w:szCs w:val="22"/>
        </w:rPr>
      </w:pPr>
      <w:r w:rsidRPr="00D91066">
        <w:rPr>
          <w:rFonts w:ascii="Arial" w:hAnsi="Arial" w:cs="Arial"/>
          <w:color w:val="000000" w:themeColor="text1"/>
          <w:sz w:val="22"/>
          <w:szCs w:val="22"/>
        </w:rPr>
        <w:t xml:space="preserve">The proposed rear extension </w:t>
      </w:r>
      <w:proofErr w:type="gramStart"/>
      <w:r w:rsidRPr="00D91066">
        <w:rPr>
          <w:rFonts w:ascii="Arial" w:hAnsi="Arial" w:cs="Arial"/>
          <w:color w:val="000000" w:themeColor="text1"/>
          <w:sz w:val="22"/>
          <w:szCs w:val="22"/>
        </w:rPr>
        <w:t>is considered to be</w:t>
      </w:r>
      <w:proofErr w:type="gramEnd"/>
      <w:r w:rsidRPr="00D91066">
        <w:rPr>
          <w:rFonts w:ascii="Arial" w:hAnsi="Arial" w:cs="Arial"/>
          <w:color w:val="000000" w:themeColor="text1"/>
          <w:sz w:val="22"/>
          <w:szCs w:val="22"/>
        </w:rPr>
        <w:t xml:space="preserve"> acceptable in principle and would not give rise to harm in respect of design, residential amenity, ecology, or flood risk, complying with the relevant policies of the Wiltshire Core Strategy and the NPPF in those respects. However, significant concerns arise in relation to the formation of the proposed vehicular access and off-street parking provision. The development fails to demonstrate that a safe and suitable access to the highway network can be achieved, due to severely restricted visibility to the east, the proximity of the junction with Monastery Road, and the inability to accommodate turning within the site, resulting in vehicles needing to reverse onto the highway. Notwithstanding the existing constrained parking arrangements along Lower Road, the proposal would </w:t>
      </w:r>
      <w:r w:rsidR="00381453">
        <w:rPr>
          <w:rFonts w:ascii="Arial" w:hAnsi="Arial" w:cs="Arial"/>
          <w:color w:val="000000" w:themeColor="text1"/>
          <w:sz w:val="22"/>
          <w:szCs w:val="22"/>
        </w:rPr>
        <w:t xml:space="preserve">result in </w:t>
      </w:r>
      <w:r w:rsidRPr="00D91066">
        <w:rPr>
          <w:rFonts w:ascii="Arial" w:hAnsi="Arial" w:cs="Arial"/>
          <w:color w:val="000000" w:themeColor="text1"/>
          <w:sz w:val="22"/>
          <w:szCs w:val="22"/>
        </w:rPr>
        <w:t>a substandard and unsafe access arrangement which would give rise to an unacceptable risk to highway safety.</w:t>
      </w:r>
    </w:p>
    <w:p w14:paraId="1B073082" w14:textId="77777777" w:rsidR="00D91066" w:rsidRPr="00D91066" w:rsidRDefault="00D91066" w:rsidP="00D91066">
      <w:pPr>
        <w:spacing w:line="276" w:lineRule="auto"/>
        <w:jc w:val="both"/>
        <w:rPr>
          <w:rFonts w:ascii="Arial" w:hAnsi="Arial" w:cs="Arial"/>
          <w:color w:val="000000" w:themeColor="text1"/>
          <w:sz w:val="22"/>
          <w:szCs w:val="22"/>
        </w:rPr>
      </w:pPr>
    </w:p>
    <w:p w14:paraId="2CCDF61B" w14:textId="5EEEDADA" w:rsidR="00C00B65" w:rsidRDefault="00D91066" w:rsidP="00D91066">
      <w:pPr>
        <w:spacing w:line="276" w:lineRule="auto"/>
        <w:jc w:val="both"/>
        <w:rPr>
          <w:rFonts w:ascii="Arial" w:hAnsi="Arial" w:cs="Arial"/>
          <w:color w:val="000000" w:themeColor="text1"/>
          <w:sz w:val="22"/>
          <w:szCs w:val="22"/>
        </w:rPr>
      </w:pPr>
      <w:r w:rsidRPr="00D91066">
        <w:rPr>
          <w:rFonts w:ascii="Arial" w:hAnsi="Arial" w:cs="Arial"/>
          <w:color w:val="000000" w:themeColor="text1"/>
          <w:sz w:val="22"/>
          <w:szCs w:val="22"/>
        </w:rPr>
        <w:t>Paragraph 116 of the NPPF makes clear that development should be refused where there would be an unacceptable impact on highway safety. In this instance, the identified harm is clear and is afforded significant weight. There are no material considerations that would outweigh this harm. Accordingly, the application is recommended for refusal on highway safety grounds, with conflict identified against Core Policies 60 and 61 of the Wiltshire Core Strategy and the provisions of the NPPF.</w:t>
      </w:r>
    </w:p>
    <w:p w14:paraId="5B812452" w14:textId="77777777" w:rsidR="001327DF" w:rsidRDefault="001327DF" w:rsidP="00D91066">
      <w:pPr>
        <w:spacing w:line="276" w:lineRule="auto"/>
        <w:jc w:val="both"/>
        <w:rPr>
          <w:rFonts w:ascii="Arial" w:hAnsi="Arial" w:cs="Arial"/>
          <w:color w:val="000000" w:themeColor="text1"/>
          <w:sz w:val="22"/>
          <w:szCs w:val="22"/>
        </w:rPr>
      </w:pPr>
    </w:p>
    <w:p w14:paraId="3E1DE2DF" w14:textId="7EA0029D" w:rsidR="001327DF" w:rsidRDefault="001327DF" w:rsidP="00D91066">
      <w:pPr>
        <w:spacing w:line="276" w:lineRule="auto"/>
        <w:jc w:val="both"/>
        <w:rPr>
          <w:rFonts w:ascii="Arial" w:hAnsi="Arial" w:cs="Arial"/>
          <w:color w:val="000000" w:themeColor="text1"/>
          <w:sz w:val="22"/>
          <w:szCs w:val="22"/>
        </w:rPr>
      </w:pPr>
      <w:r w:rsidRPr="001327DF">
        <w:rPr>
          <w:rFonts w:ascii="Arial" w:hAnsi="Arial" w:cs="Arial"/>
          <w:color w:val="000000" w:themeColor="text1"/>
          <w:sz w:val="22"/>
          <w:szCs w:val="22"/>
        </w:rPr>
        <w:t>Additionally, whilst a suitable design, with material</w:t>
      </w:r>
      <w:r w:rsidR="00E16876">
        <w:rPr>
          <w:rFonts w:ascii="Arial" w:hAnsi="Arial" w:cs="Arial"/>
          <w:color w:val="000000" w:themeColor="text1"/>
          <w:sz w:val="22"/>
          <w:szCs w:val="22"/>
        </w:rPr>
        <w:t>s</w:t>
      </w:r>
      <w:r w:rsidRPr="001327DF">
        <w:rPr>
          <w:rFonts w:ascii="Arial" w:hAnsi="Arial" w:cs="Arial"/>
          <w:color w:val="000000" w:themeColor="text1"/>
          <w:sz w:val="22"/>
          <w:szCs w:val="22"/>
        </w:rPr>
        <w:t xml:space="preserve"> to be agreed by condition, can be achieved, the significant alteration to the site frontage would fail to preserve the </w:t>
      </w:r>
      <w:r w:rsidRPr="001327DF">
        <w:rPr>
          <w:rFonts w:ascii="Arial" w:hAnsi="Arial" w:cs="Arial"/>
          <w:color w:val="000000" w:themeColor="text1"/>
          <w:sz w:val="22"/>
          <w:szCs w:val="22"/>
        </w:rPr>
        <w:t>character</w:t>
      </w:r>
      <w:r w:rsidRPr="001327DF">
        <w:rPr>
          <w:rFonts w:ascii="Arial" w:hAnsi="Arial" w:cs="Arial"/>
          <w:color w:val="000000" w:themeColor="text1"/>
          <w:sz w:val="22"/>
          <w:szCs w:val="22"/>
        </w:rPr>
        <w:t xml:space="preserve"> and appearance of the Conservation Area and there is less than substantial harm to </w:t>
      </w:r>
      <w:r w:rsidRPr="001327DF">
        <w:rPr>
          <w:rFonts w:ascii="Arial" w:hAnsi="Arial" w:cs="Arial"/>
          <w:color w:val="000000" w:themeColor="text1"/>
          <w:sz w:val="22"/>
          <w:szCs w:val="22"/>
        </w:rPr>
        <w:t>heritage</w:t>
      </w:r>
      <w:r w:rsidRPr="001327DF">
        <w:rPr>
          <w:rFonts w:ascii="Arial" w:hAnsi="Arial" w:cs="Arial"/>
          <w:color w:val="000000" w:themeColor="text1"/>
          <w:sz w:val="22"/>
          <w:szCs w:val="22"/>
        </w:rPr>
        <w:t xml:space="preserve"> assets as a result, contrary to Core Policy 58 of the Wiltshire Core Strategy and the provisions of the NPPF. </w:t>
      </w:r>
    </w:p>
    <w:p w14:paraId="1EF4484A" w14:textId="77777777" w:rsidR="00E16876" w:rsidRDefault="00E16876" w:rsidP="00D91066">
      <w:pPr>
        <w:spacing w:line="276" w:lineRule="auto"/>
        <w:jc w:val="both"/>
        <w:rPr>
          <w:rFonts w:ascii="Arial" w:hAnsi="Arial" w:cs="Arial"/>
          <w:color w:val="000000" w:themeColor="text1"/>
          <w:sz w:val="22"/>
          <w:szCs w:val="22"/>
        </w:rPr>
      </w:pPr>
    </w:p>
    <w:p w14:paraId="5E4A1012" w14:textId="1B8B1BB6" w:rsidR="00E16876" w:rsidRPr="001327DF" w:rsidRDefault="00E16876" w:rsidP="00D91066">
      <w:pPr>
        <w:spacing w:line="276" w:lineRule="auto"/>
        <w:jc w:val="both"/>
        <w:rPr>
          <w:rFonts w:ascii="Arial" w:hAnsi="Arial" w:cs="Arial"/>
          <w:color w:val="000000" w:themeColor="text1"/>
          <w:sz w:val="22"/>
          <w:szCs w:val="22"/>
        </w:rPr>
      </w:pPr>
      <w:r w:rsidRPr="00E16876">
        <w:rPr>
          <w:rFonts w:ascii="Arial" w:hAnsi="Arial" w:cs="Arial"/>
          <w:color w:val="000000" w:themeColor="text1"/>
          <w:sz w:val="22"/>
          <w:szCs w:val="22"/>
        </w:rPr>
        <w:t>The application is therefore recommended for refusal.</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48C7BC68"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w:t>
      </w:r>
      <w:r w:rsidR="00F4292F">
        <w:rPr>
          <w:rFonts w:ascii="Arial" w:hAnsi="Arial" w:cs="Arial"/>
          <w:b/>
          <w:bCs/>
          <w:sz w:val="22"/>
          <w:szCs w:val="22"/>
        </w:rPr>
        <w:t xml:space="preserve"> REFUSED for the following reason(s)</w:t>
      </w:r>
      <w:r w:rsidRPr="00075C07">
        <w:rPr>
          <w:rFonts w:ascii="Arial" w:hAnsi="Arial" w:cs="Arial"/>
          <w:b/>
          <w:bCs/>
          <w:sz w:val="22"/>
          <w:szCs w:val="22"/>
        </w:rPr>
        <w:t>:</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62629294" w14:textId="434F2E22" w:rsidR="0054530C" w:rsidRDefault="007515EF" w:rsidP="00032988">
      <w:pPr>
        <w:spacing w:line="276" w:lineRule="auto"/>
        <w:jc w:val="both"/>
        <w:rPr>
          <w:rFonts w:ascii="Arial" w:hAnsi="Arial" w:cs="Arial"/>
          <w:color w:val="000000" w:themeColor="text1"/>
          <w:sz w:val="22"/>
          <w:szCs w:val="22"/>
        </w:rPr>
      </w:pPr>
      <w:r w:rsidRPr="007515EF">
        <w:rPr>
          <w:rFonts w:ascii="Arial" w:hAnsi="Arial" w:cs="Arial"/>
          <w:color w:val="000000" w:themeColor="text1"/>
          <w:sz w:val="22"/>
          <w:szCs w:val="22"/>
        </w:rPr>
        <w:t xml:space="preserve">The proposed development, by reason of inadequate visibility splays at the site access in both directions, particularly to the east </w:t>
      </w:r>
      <w:proofErr w:type="gramStart"/>
      <w:r w:rsidRPr="007515EF">
        <w:rPr>
          <w:rFonts w:ascii="Arial" w:hAnsi="Arial" w:cs="Arial"/>
          <w:color w:val="000000" w:themeColor="text1"/>
          <w:sz w:val="22"/>
          <w:szCs w:val="22"/>
        </w:rPr>
        <w:t>as a consequence of</w:t>
      </w:r>
      <w:proofErr w:type="gramEnd"/>
      <w:r w:rsidRPr="007515EF">
        <w:rPr>
          <w:rFonts w:ascii="Arial" w:hAnsi="Arial" w:cs="Arial"/>
          <w:color w:val="000000" w:themeColor="text1"/>
          <w:sz w:val="22"/>
          <w:szCs w:val="22"/>
        </w:rPr>
        <w:t xml:space="preserve"> site constraints and the proximity of the junction with Monastery Road, together with the failure to provide adequate on-site turning facilities, would result in an unsatisfactory means of access. The proposal would necessitate vehicles reversing onto and from the public highway, whilst the restricted visibility available to drivers would increase the likelihood of conflict with passing vehicles, pedestrians and other highway users. The development would therefore give rise to an unacceptable risk to highway safety. As such, the proposal is contrary to Core Policies 60 and 61 of the Wiltshire Core Strategy and Paragraph 116 of the National Planning Policy Framework.</w:t>
      </w:r>
    </w:p>
    <w:p w14:paraId="388F8987" w14:textId="77777777" w:rsidR="007515EF" w:rsidRDefault="007515EF" w:rsidP="00032988">
      <w:pPr>
        <w:spacing w:line="276" w:lineRule="auto"/>
        <w:jc w:val="both"/>
        <w:rPr>
          <w:rFonts w:ascii="Arial" w:hAnsi="Arial" w:cs="Arial"/>
          <w:color w:val="000000" w:themeColor="text1"/>
          <w:sz w:val="22"/>
          <w:szCs w:val="22"/>
        </w:rPr>
      </w:pPr>
    </w:p>
    <w:p w14:paraId="1EFEE2FF" w14:textId="3072EE19" w:rsidR="0054530C" w:rsidRDefault="0054530C" w:rsidP="00032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2.</w:t>
      </w:r>
    </w:p>
    <w:p w14:paraId="5CE28398" w14:textId="1A9DDF5F" w:rsidR="0054530C" w:rsidRPr="00032988" w:rsidRDefault="007515EF" w:rsidP="00032988">
      <w:pPr>
        <w:spacing w:line="276" w:lineRule="auto"/>
        <w:jc w:val="both"/>
        <w:rPr>
          <w:rFonts w:ascii="Arial" w:hAnsi="Arial" w:cs="Arial"/>
          <w:color w:val="000000" w:themeColor="text1"/>
          <w:sz w:val="22"/>
          <w:szCs w:val="22"/>
        </w:rPr>
      </w:pPr>
      <w:r w:rsidRPr="007515EF">
        <w:rPr>
          <w:rFonts w:ascii="Arial" w:hAnsi="Arial" w:cs="Arial"/>
          <w:color w:val="000000" w:themeColor="text1"/>
          <w:sz w:val="22"/>
          <w:szCs w:val="22"/>
        </w:rPr>
        <w:t>The proposed development, by reason of the loss of the existing informal cottage-style frontage and the introduction of a prominent engineered parking area, retaining structures and associated domestic paraphernalia, would result in an urbanising and visually intrusive form of development that would fail to preserve the character and appearance of the Edington Conservation Area. This would give rise to less than substantial harm to the significance of the designated heritage asset. The identified harm is not outweighed by any public benefits arising from the proposal. The development therefore conflicts with Core Policy 58 of the Wiltshire Core Strategy, the statutory duty under Section 72(1) of the Planning (Listed Buildings and Conservation Areas) Act 1990, and the heritage objectives of the National Planning Policy Framework.</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126"/>
    <w:rsid w:val="00005FDC"/>
    <w:rsid w:val="00011F00"/>
    <w:rsid w:val="00015622"/>
    <w:rsid w:val="00015C0D"/>
    <w:rsid w:val="00031287"/>
    <w:rsid w:val="00032988"/>
    <w:rsid w:val="00040E0B"/>
    <w:rsid w:val="00044328"/>
    <w:rsid w:val="000456D0"/>
    <w:rsid w:val="00047943"/>
    <w:rsid w:val="0006177E"/>
    <w:rsid w:val="00062A40"/>
    <w:rsid w:val="0007364A"/>
    <w:rsid w:val="00075C07"/>
    <w:rsid w:val="00081734"/>
    <w:rsid w:val="0008663E"/>
    <w:rsid w:val="00087823"/>
    <w:rsid w:val="000927B2"/>
    <w:rsid w:val="000A3BB5"/>
    <w:rsid w:val="000B0456"/>
    <w:rsid w:val="000B3CAF"/>
    <w:rsid w:val="000B4D97"/>
    <w:rsid w:val="000C6EF7"/>
    <w:rsid w:val="000D01DA"/>
    <w:rsid w:val="000D0E39"/>
    <w:rsid w:val="000D154A"/>
    <w:rsid w:val="000E3596"/>
    <w:rsid w:val="000E38BA"/>
    <w:rsid w:val="000E5A43"/>
    <w:rsid w:val="000F1D22"/>
    <w:rsid w:val="000F473D"/>
    <w:rsid w:val="001003C2"/>
    <w:rsid w:val="00102137"/>
    <w:rsid w:val="00110FD1"/>
    <w:rsid w:val="00113A8D"/>
    <w:rsid w:val="0012283E"/>
    <w:rsid w:val="0012332F"/>
    <w:rsid w:val="001251AE"/>
    <w:rsid w:val="00131B65"/>
    <w:rsid w:val="001327DF"/>
    <w:rsid w:val="001424D4"/>
    <w:rsid w:val="0015620C"/>
    <w:rsid w:val="00157E20"/>
    <w:rsid w:val="001602BB"/>
    <w:rsid w:val="00160E45"/>
    <w:rsid w:val="00162F3E"/>
    <w:rsid w:val="0016397C"/>
    <w:rsid w:val="00164DC7"/>
    <w:rsid w:val="00172434"/>
    <w:rsid w:val="0017440C"/>
    <w:rsid w:val="0018465E"/>
    <w:rsid w:val="001929B3"/>
    <w:rsid w:val="00193EC7"/>
    <w:rsid w:val="001A0A2E"/>
    <w:rsid w:val="001A0F50"/>
    <w:rsid w:val="001A14B2"/>
    <w:rsid w:val="001B17F8"/>
    <w:rsid w:val="001B2AF4"/>
    <w:rsid w:val="001B3883"/>
    <w:rsid w:val="001C4291"/>
    <w:rsid w:val="001C770A"/>
    <w:rsid w:val="001D3680"/>
    <w:rsid w:val="001E210B"/>
    <w:rsid w:val="001F52AF"/>
    <w:rsid w:val="001F69D5"/>
    <w:rsid w:val="00205E6D"/>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53CE"/>
    <w:rsid w:val="002574DF"/>
    <w:rsid w:val="00261351"/>
    <w:rsid w:val="00262F2E"/>
    <w:rsid w:val="002755A2"/>
    <w:rsid w:val="00277B21"/>
    <w:rsid w:val="0028102A"/>
    <w:rsid w:val="002A0353"/>
    <w:rsid w:val="002A1715"/>
    <w:rsid w:val="002A607F"/>
    <w:rsid w:val="002A73D1"/>
    <w:rsid w:val="002B2380"/>
    <w:rsid w:val="002B5192"/>
    <w:rsid w:val="002B5AA2"/>
    <w:rsid w:val="002C4607"/>
    <w:rsid w:val="002C650A"/>
    <w:rsid w:val="002E02F9"/>
    <w:rsid w:val="002E6332"/>
    <w:rsid w:val="002E6872"/>
    <w:rsid w:val="002F0CC6"/>
    <w:rsid w:val="002F4101"/>
    <w:rsid w:val="002F53F9"/>
    <w:rsid w:val="00303570"/>
    <w:rsid w:val="00304DA1"/>
    <w:rsid w:val="00306089"/>
    <w:rsid w:val="00312E97"/>
    <w:rsid w:val="00313982"/>
    <w:rsid w:val="003240DB"/>
    <w:rsid w:val="00327C79"/>
    <w:rsid w:val="00327F1B"/>
    <w:rsid w:val="0033669A"/>
    <w:rsid w:val="00341989"/>
    <w:rsid w:val="0035771C"/>
    <w:rsid w:val="00363BD7"/>
    <w:rsid w:val="00364DE7"/>
    <w:rsid w:val="00371825"/>
    <w:rsid w:val="00371AAC"/>
    <w:rsid w:val="00380A7B"/>
    <w:rsid w:val="00381453"/>
    <w:rsid w:val="00383F2A"/>
    <w:rsid w:val="00384A5F"/>
    <w:rsid w:val="00387981"/>
    <w:rsid w:val="00393865"/>
    <w:rsid w:val="003A1308"/>
    <w:rsid w:val="003A3155"/>
    <w:rsid w:val="003A7F6C"/>
    <w:rsid w:val="003B136F"/>
    <w:rsid w:val="003B26C9"/>
    <w:rsid w:val="003B4330"/>
    <w:rsid w:val="003B4451"/>
    <w:rsid w:val="003C3FF7"/>
    <w:rsid w:val="003C76C7"/>
    <w:rsid w:val="003C7844"/>
    <w:rsid w:val="003D015A"/>
    <w:rsid w:val="003D04A8"/>
    <w:rsid w:val="003D1E9D"/>
    <w:rsid w:val="003D5C26"/>
    <w:rsid w:val="003D6B2C"/>
    <w:rsid w:val="003E43F6"/>
    <w:rsid w:val="003F6D7D"/>
    <w:rsid w:val="00401C63"/>
    <w:rsid w:val="00402BA4"/>
    <w:rsid w:val="00403FEB"/>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D557F"/>
    <w:rsid w:val="004E5366"/>
    <w:rsid w:val="004E5947"/>
    <w:rsid w:val="004E7A6C"/>
    <w:rsid w:val="004F26D5"/>
    <w:rsid w:val="004F57B4"/>
    <w:rsid w:val="0050043D"/>
    <w:rsid w:val="0050269B"/>
    <w:rsid w:val="0051231F"/>
    <w:rsid w:val="0051622F"/>
    <w:rsid w:val="005214B8"/>
    <w:rsid w:val="00522A6A"/>
    <w:rsid w:val="0053334B"/>
    <w:rsid w:val="00537CE4"/>
    <w:rsid w:val="00540D8E"/>
    <w:rsid w:val="005435B4"/>
    <w:rsid w:val="0054530C"/>
    <w:rsid w:val="00552306"/>
    <w:rsid w:val="00554E40"/>
    <w:rsid w:val="00556B5B"/>
    <w:rsid w:val="00557B1E"/>
    <w:rsid w:val="00561AE7"/>
    <w:rsid w:val="0056508E"/>
    <w:rsid w:val="005742D0"/>
    <w:rsid w:val="00580DA8"/>
    <w:rsid w:val="00594C14"/>
    <w:rsid w:val="005A3D8E"/>
    <w:rsid w:val="005A6526"/>
    <w:rsid w:val="005A7264"/>
    <w:rsid w:val="005B0376"/>
    <w:rsid w:val="005B1CA8"/>
    <w:rsid w:val="005B7582"/>
    <w:rsid w:val="005C0C82"/>
    <w:rsid w:val="005C30A6"/>
    <w:rsid w:val="005C5A46"/>
    <w:rsid w:val="005D2581"/>
    <w:rsid w:val="005D7F1D"/>
    <w:rsid w:val="005E2668"/>
    <w:rsid w:val="005F0C1A"/>
    <w:rsid w:val="005F0F03"/>
    <w:rsid w:val="005F4AFC"/>
    <w:rsid w:val="005F7D70"/>
    <w:rsid w:val="00601AAD"/>
    <w:rsid w:val="0060536A"/>
    <w:rsid w:val="00606E13"/>
    <w:rsid w:val="00611D0C"/>
    <w:rsid w:val="006139DE"/>
    <w:rsid w:val="00614357"/>
    <w:rsid w:val="0062080E"/>
    <w:rsid w:val="006325D0"/>
    <w:rsid w:val="006361C6"/>
    <w:rsid w:val="00640499"/>
    <w:rsid w:val="0064099D"/>
    <w:rsid w:val="0064468A"/>
    <w:rsid w:val="006475CE"/>
    <w:rsid w:val="00650186"/>
    <w:rsid w:val="00652B96"/>
    <w:rsid w:val="00653201"/>
    <w:rsid w:val="006646C2"/>
    <w:rsid w:val="006659C8"/>
    <w:rsid w:val="0067097F"/>
    <w:rsid w:val="006765B6"/>
    <w:rsid w:val="00685272"/>
    <w:rsid w:val="00687041"/>
    <w:rsid w:val="00694DDA"/>
    <w:rsid w:val="006968E4"/>
    <w:rsid w:val="00696DB1"/>
    <w:rsid w:val="006A046D"/>
    <w:rsid w:val="006A0C82"/>
    <w:rsid w:val="006A676B"/>
    <w:rsid w:val="006B4ED4"/>
    <w:rsid w:val="006C0878"/>
    <w:rsid w:val="006C1101"/>
    <w:rsid w:val="006C3E6E"/>
    <w:rsid w:val="006C68D8"/>
    <w:rsid w:val="006D2DAA"/>
    <w:rsid w:val="006D522C"/>
    <w:rsid w:val="006E26D9"/>
    <w:rsid w:val="006E7161"/>
    <w:rsid w:val="006F3CE5"/>
    <w:rsid w:val="006F6EEE"/>
    <w:rsid w:val="00701E79"/>
    <w:rsid w:val="00703B1E"/>
    <w:rsid w:val="00710117"/>
    <w:rsid w:val="00710144"/>
    <w:rsid w:val="0071151F"/>
    <w:rsid w:val="007126AD"/>
    <w:rsid w:val="00713A31"/>
    <w:rsid w:val="00714DA1"/>
    <w:rsid w:val="00724032"/>
    <w:rsid w:val="0072500F"/>
    <w:rsid w:val="0072605C"/>
    <w:rsid w:val="007336B3"/>
    <w:rsid w:val="0073376C"/>
    <w:rsid w:val="00742238"/>
    <w:rsid w:val="007515EF"/>
    <w:rsid w:val="00751CD6"/>
    <w:rsid w:val="0076074E"/>
    <w:rsid w:val="00765813"/>
    <w:rsid w:val="00773C1F"/>
    <w:rsid w:val="00774BF0"/>
    <w:rsid w:val="00777F61"/>
    <w:rsid w:val="0078630E"/>
    <w:rsid w:val="00794688"/>
    <w:rsid w:val="007A3D0E"/>
    <w:rsid w:val="007A5705"/>
    <w:rsid w:val="007A61A7"/>
    <w:rsid w:val="007B2237"/>
    <w:rsid w:val="007B2589"/>
    <w:rsid w:val="007B3765"/>
    <w:rsid w:val="007C4434"/>
    <w:rsid w:val="007C5693"/>
    <w:rsid w:val="007D167B"/>
    <w:rsid w:val="007D69FB"/>
    <w:rsid w:val="007E0B02"/>
    <w:rsid w:val="007E19A1"/>
    <w:rsid w:val="007F204C"/>
    <w:rsid w:val="007F5BAA"/>
    <w:rsid w:val="00812AF8"/>
    <w:rsid w:val="0081484B"/>
    <w:rsid w:val="00820464"/>
    <w:rsid w:val="00826B63"/>
    <w:rsid w:val="00827534"/>
    <w:rsid w:val="00827906"/>
    <w:rsid w:val="00831793"/>
    <w:rsid w:val="00841628"/>
    <w:rsid w:val="00845779"/>
    <w:rsid w:val="00856BF8"/>
    <w:rsid w:val="008610E2"/>
    <w:rsid w:val="0086349B"/>
    <w:rsid w:val="0086459F"/>
    <w:rsid w:val="00871565"/>
    <w:rsid w:val="00874E1A"/>
    <w:rsid w:val="00876612"/>
    <w:rsid w:val="00880ECF"/>
    <w:rsid w:val="0088368E"/>
    <w:rsid w:val="00890257"/>
    <w:rsid w:val="008928E9"/>
    <w:rsid w:val="0089746E"/>
    <w:rsid w:val="0089794B"/>
    <w:rsid w:val="008A2FEE"/>
    <w:rsid w:val="008A6179"/>
    <w:rsid w:val="008B1BB2"/>
    <w:rsid w:val="008B6D55"/>
    <w:rsid w:val="008B781F"/>
    <w:rsid w:val="008C2CBB"/>
    <w:rsid w:val="008D19FA"/>
    <w:rsid w:val="008D5791"/>
    <w:rsid w:val="008D6C52"/>
    <w:rsid w:val="008E0965"/>
    <w:rsid w:val="008E5C53"/>
    <w:rsid w:val="008F1CFF"/>
    <w:rsid w:val="00905C36"/>
    <w:rsid w:val="00911C57"/>
    <w:rsid w:val="00914E93"/>
    <w:rsid w:val="00921213"/>
    <w:rsid w:val="00921461"/>
    <w:rsid w:val="00934ADF"/>
    <w:rsid w:val="00937BE7"/>
    <w:rsid w:val="009403D1"/>
    <w:rsid w:val="00944708"/>
    <w:rsid w:val="00946DDB"/>
    <w:rsid w:val="00960475"/>
    <w:rsid w:val="00964675"/>
    <w:rsid w:val="009753A2"/>
    <w:rsid w:val="009803C6"/>
    <w:rsid w:val="0098148F"/>
    <w:rsid w:val="00982397"/>
    <w:rsid w:val="00982730"/>
    <w:rsid w:val="00982EB1"/>
    <w:rsid w:val="00990E62"/>
    <w:rsid w:val="00992CA7"/>
    <w:rsid w:val="00995309"/>
    <w:rsid w:val="009969D7"/>
    <w:rsid w:val="00997306"/>
    <w:rsid w:val="009A5A55"/>
    <w:rsid w:val="009C0B7F"/>
    <w:rsid w:val="009C68FD"/>
    <w:rsid w:val="009D2F03"/>
    <w:rsid w:val="009D621E"/>
    <w:rsid w:val="009E223C"/>
    <w:rsid w:val="009E23EC"/>
    <w:rsid w:val="009E6324"/>
    <w:rsid w:val="00A12B0C"/>
    <w:rsid w:val="00A2028D"/>
    <w:rsid w:val="00A30B4D"/>
    <w:rsid w:val="00A30B7E"/>
    <w:rsid w:val="00A349B0"/>
    <w:rsid w:val="00A36B4E"/>
    <w:rsid w:val="00A37686"/>
    <w:rsid w:val="00A42C19"/>
    <w:rsid w:val="00A4573C"/>
    <w:rsid w:val="00A51F13"/>
    <w:rsid w:val="00A56B02"/>
    <w:rsid w:val="00A65218"/>
    <w:rsid w:val="00A71CD4"/>
    <w:rsid w:val="00A83801"/>
    <w:rsid w:val="00A84775"/>
    <w:rsid w:val="00A860E2"/>
    <w:rsid w:val="00A9321F"/>
    <w:rsid w:val="00A938B9"/>
    <w:rsid w:val="00AA3B6C"/>
    <w:rsid w:val="00AA3D23"/>
    <w:rsid w:val="00AB1E61"/>
    <w:rsid w:val="00AB2910"/>
    <w:rsid w:val="00AC22E2"/>
    <w:rsid w:val="00AC499A"/>
    <w:rsid w:val="00AC4DAE"/>
    <w:rsid w:val="00AC6F8D"/>
    <w:rsid w:val="00AD0940"/>
    <w:rsid w:val="00AD1819"/>
    <w:rsid w:val="00AD3402"/>
    <w:rsid w:val="00AD4290"/>
    <w:rsid w:val="00AE3D1A"/>
    <w:rsid w:val="00AE53C4"/>
    <w:rsid w:val="00AF3D01"/>
    <w:rsid w:val="00B04020"/>
    <w:rsid w:val="00B125B4"/>
    <w:rsid w:val="00B13966"/>
    <w:rsid w:val="00B149EB"/>
    <w:rsid w:val="00B15AD7"/>
    <w:rsid w:val="00B169D2"/>
    <w:rsid w:val="00B16AEF"/>
    <w:rsid w:val="00B20C1F"/>
    <w:rsid w:val="00B21D27"/>
    <w:rsid w:val="00B27418"/>
    <w:rsid w:val="00B31880"/>
    <w:rsid w:val="00B35AFB"/>
    <w:rsid w:val="00B40BA3"/>
    <w:rsid w:val="00B41FA9"/>
    <w:rsid w:val="00B42171"/>
    <w:rsid w:val="00B43110"/>
    <w:rsid w:val="00B47DE8"/>
    <w:rsid w:val="00B53A9C"/>
    <w:rsid w:val="00B5556F"/>
    <w:rsid w:val="00B62AC6"/>
    <w:rsid w:val="00B812E0"/>
    <w:rsid w:val="00B86414"/>
    <w:rsid w:val="00B86CE9"/>
    <w:rsid w:val="00BA0474"/>
    <w:rsid w:val="00BB0CA0"/>
    <w:rsid w:val="00BB2CE7"/>
    <w:rsid w:val="00BB5469"/>
    <w:rsid w:val="00BB5ED0"/>
    <w:rsid w:val="00BC39D3"/>
    <w:rsid w:val="00BC78BB"/>
    <w:rsid w:val="00BD07DC"/>
    <w:rsid w:val="00BD1E86"/>
    <w:rsid w:val="00BD3BD3"/>
    <w:rsid w:val="00BD44C1"/>
    <w:rsid w:val="00BD5CE2"/>
    <w:rsid w:val="00BE04AB"/>
    <w:rsid w:val="00BE644A"/>
    <w:rsid w:val="00BF0BA3"/>
    <w:rsid w:val="00BF4374"/>
    <w:rsid w:val="00BF52C1"/>
    <w:rsid w:val="00C00B65"/>
    <w:rsid w:val="00C0213E"/>
    <w:rsid w:val="00C02D65"/>
    <w:rsid w:val="00C25413"/>
    <w:rsid w:val="00C328B6"/>
    <w:rsid w:val="00C44B5F"/>
    <w:rsid w:val="00C46050"/>
    <w:rsid w:val="00C53B6A"/>
    <w:rsid w:val="00C563CE"/>
    <w:rsid w:val="00C56682"/>
    <w:rsid w:val="00C568B6"/>
    <w:rsid w:val="00C57D08"/>
    <w:rsid w:val="00C63478"/>
    <w:rsid w:val="00C64924"/>
    <w:rsid w:val="00C664A5"/>
    <w:rsid w:val="00C71367"/>
    <w:rsid w:val="00C72D5A"/>
    <w:rsid w:val="00C77C50"/>
    <w:rsid w:val="00C80180"/>
    <w:rsid w:val="00C848E4"/>
    <w:rsid w:val="00C94CB8"/>
    <w:rsid w:val="00CB13B4"/>
    <w:rsid w:val="00CB502A"/>
    <w:rsid w:val="00CC03E4"/>
    <w:rsid w:val="00CC144B"/>
    <w:rsid w:val="00CC6665"/>
    <w:rsid w:val="00CD6B35"/>
    <w:rsid w:val="00CF554E"/>
    <w:rsid w:val="00D00163"/>
    <w:rsid w:val="00D0446F"/>
    <w:rsid w:val="00D06895"/>
    <w:rsid w:val="00D077DE"/>
    <w:rsid w:val="00D132AC"/>
    <w:rsid w:val="00D14819"/>
    <w:rsid w:val="00D1724C"/>
    <w:rsid w:val="00D21893"/>
    <w:rsid w:val="00D230F8"/>
    <w:rsid w:val="00D26887"/>
    <w:rsid w:val="00D302CF"/>
    <w:rsid w:val="00D349DE"/>
    <w:rsid w:val="00D34D83"/>
    <w:rsid w:val="00D37471"/>
    <w:rsid w:val="00D40240"/>
    <w:rsid w:val="00D40959"/>
    <w:rsid w:val="00D422AF"/>
    <w:rsid w:val="00D61D82"/>
    <w:rsid w:val="00D66197"/>
    <w:rsid w:val="00D70231"/>
    <w:rsid w:val="00D76C88"/>
    <w:rsid w:val="00D8351D"/>
    <w:rsid w:val="00D8452E"/>
    <w:rsid w:val="00D91066"/>
    <w:rsid w:val="00D97A03"/>
    <w:rsid w:val="00DA037B"/>
    <w:rsid w:val="00DA51B6"/>
    <w:rsid w:val="00DA5825"/>
    <w:rsid w:val="00DC4C05"/>
    <w:rsid w:val="00DC4F3E"/>
    <w:rsid w:val="00DC64E7"/>
    <w:rsid w:val="00DD29A1"/>
    <w:rsid w:val="00DD5EA1"/>
    <w:rsid w:val="00DE0178"/>
    <w:rsid w:val="00DE34F6"/>
    <w:rsid w:val="00DE745B"/>
    <w:rsid w:val="00DE7788"/>
    <w:rsid w:val="00DF6A51"/>
    <w:rsid w:val="00E011E0"/>
    <w:rsid w:val="00E16876"/>
    <w:rsid w:val="00E179DC"/>
    <w:rsid w:val="00E3514F"/>
    <w:rsid w:val="00E362CA"/>
    <w:rsid w:val="00E43B49"/>
    <w:rsid w:val="00E55D48"/>
    <w:rsid w:val="00E600A1"/>
    <w:rsid w:val="00E64624"/>
    <w:rsid w:val="00E746AD"/>
    <w:rsid w:val="00E747FF"/>
    <w:rsid w:val="00E85E15"/>
    <w:rsid w:val="00E93D2E"/>
    <w:rsid w:val="00E94629"/>
    <w:rsid w:val="00EA0C6C"/>
    <w:rsid w:val="00EA3B54"/>
    <w:rsid w:val="00EA64F5"/>
    <w:rsid w:val="00EB28F6"/>
    <w:rsid w:val="00EB3DCC"/>
    <w:rsid w:val="00EC249D"/>
    <w:rsid w:val="00EC61CC"/>
    <w:rsid w:val="00ED180D"/>
    <w:rsid w:val="00EE0DA4"/>
    <w:rsid w:val="00EE28CA"/>
    <w:rsid w:val="00EE40F7"/>
    <w:rsid w:val="00EF01B2"/>
    <w:rsid w:val="00EF4944"/>
    <w:rsid w:val="00EF556E"/>
    <w:rsid w:val="00EF7DEB"/>
    <w:rsid w:val="00F07090"/>
    <w:rsid w:val="00F168AD"/>
    <w:rsid w:val="00F1756F"/>
    <w:rsid w:val="00F21CAC"/>
    <w:rsid w:val="00F221E9"/>
    <w:rsid w:val="00F23765"/>
    <w:rsid w:val="00F24B99"/>
    <w:rsid w:val="00F334BC"/>
    <w:rsid w:val="00F35E07"/>
    <w:rsid w:val="00F40F94"/>
    <w:rsid w:val="00F4292F"/>
    <w:rsid w:val="00F45C7C"/>
    <w:rsid w:val="00F5017A"/>
    <w:rsid w:val="00F60F64"/>
    <w:rsid w:val="00F61A37"/>
    <w:rsid w:val="00F62BCD"/>
    <w:rsid w:val="00F703B8"/>
    <w:rsid w:val="00F75B93"/>
    <w:rsid w:val="00F8024A"/>
    <w:rsid w:val="00F80B6C"/>
    <w:rsid w:val="00F86950"/>
    <w:rsid w:val="00F95080"/>
    <w:rsid w:val="00F96130"/>
    <w:rsid w:val="00F9784D"/>
    <w:rsid w:val="00FA1A62"/>
    <w:rsid w:val="00FA2CEC"/>
    <w:rsid w:val="00FB1E29"/>
    <w:rsid w:val="00FB21BA"/>
    <w:rsid w:val="00FD4D99"/>
    <w:rsid w:val="00FD4F9F"/>
    <w:rsid w:val="00FD6102"/>
    <w:rsid w:val="00FD706E"/>
    <w:rsid w:val="00FE0E87"/>
    <w:rsid w:val="00FE0FB2"/>
    <w:rsid w:val="00FE203F"/>
    <w:rsid w:val="00FE655C"/>
    <w:rsid w:val="00FE71AF"/>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305</TotalTime>
  <Pages>1</Pages>
  <Words>3544</Words>
  <Characters>20202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193</cp:revision>
  <cp:lastPrinted>2007-12-19T10:51:00Z</cp:lastPrinted>
  <dcterms:created xsi:type="dcterms:W3CDTF">2025-06-02T09:27:00Z</dcterms:created>
  <dcterms:modified xsi:type="dcterms:W3CDTF">2026-07-13T13:08:00Z</dcterms:modified>
</cp:coreProperties>
</file>