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75C8B" w:rsidRDefault="00575C8B">
      <w:r>
        <w:t xml:space="preserve">                                      BAYDON MANOR FARM BUILDINGS,</w:t>
      </w:r>
    </w:p>
    <w:p w:rsidR="00575C8B" w:rsidRDefault="00575C8B"/>
    <w:p w:rsidR="00575C8B" w:rsidRDefault="00575C8B">
      <w:r>
        <w:t xml:space="preserve">                                       MARRIDGE HILL, RAMSBURY. SN8 2HG</w:t>
      </w:r>
    </w:p>
    <w:p w:rsidR="00575C8B" w:rsidRDefault="00575C8B"/>
    <w:p w:rsidR="00575C8B" w:rsidRDefault="00575C8B">
      <w:r>
        <w:t xml:space="preserve">                     </w:t>
      </w:r>
    </w:p>
    <w:p w:rsidR="00575C8B" w:rsidRDefault="00575C8B">
      <w:r>
        <w:t xml:space="preserve">                        CONVERSION OF GOAT BARN TO A SINGLE DWELLING.</w:t>
      </w:r>
    </w:p>
    <w:p w:rsidR="00575C8B" w:rsidRDefault="00575C8B"/>
    <w:p w:rsidR="00575C8B" w:rsidRDefault="00575C8B">
      <w:r>
        <w:t xml:space="preserve">                            PLANNING APPLICATION REF: PL/2025/09448.</w:t>
      </w:r>
    </w:p>
    <w:p w:rsidR="00575C8B" w:rsidRDefault="00575C8B"/>
    <w:p w:rsidR="00575C8B" w:rsidRDefault="00575C8B"/>
    <w:p w:rsidR="00575C8B" w:rsidRDefault="00575C8B">
      <w:r>
        <w:t xml:space="preserve">                          ADDENDUM TO PLANNING &amp; HERITAGE STATEMENT.</w:t>
      </w:r>
    </w:p>
    <w:p w:rsidR="00575C8B" w:rsidRDefault="00575C8B"/>
    <w:p w:rsidR="00575C8B" w:rsidRDefault="00575C8B">
      <w:r>
        <w:t xml:space="preserve">        </w:t>
      </w:r>
    </w:p>
    <w:p w:rsidR="00575C8B" w:rsidRDefault="00575C8B">
      <w:r>
        <w:t xml:space="preserve">                                BY APT PLANNING LTD FOR </w:t>
      </w:r>
      <w:r w:rsidR="00043D4B">
        <w:t xml:space="preserve">THE </w:t>
      </w:r>
      <w:r>
        <w:t>APPLICANT.</w:t>
      </w:r>
    </w:p>
    <w:p w:rsidR="00575C8B" w:rsidRDefault="00575C8B"/>
    <w:p w:rsidR="00575C8B" w:rsidRDefault="00575C8B"/>
    <w:p w:rsidR="00575C8B" w:rsidRDefault="00575C8B"/>
    <w:p w:rsidR="00575C8B" w:rsidRDefault="00575C8B"/>
    <w:p w:rsidR="00575C8B" w:rsidRDefault="00575C8B"/>
    <w:p w:rsidR="00575C8B" w:rsidRDefault="00575C8B"/>
    <w:p w:rsidR="00575C8B" w:rsidRDefault="00575C8B"/>
    <w:p w:rsidR="00575C8B" w:rsidRDefault="00575C8B"/>
    <w:p w:rsidR="00575C8B" w:rsidRDefault="00575C8B"/>
    <w:p w:rsidR="00575C8B" w:rsidRDefault="00575C8B"/>
    <w:p w:rsidR="00575C8B" w:rsidRDefault="00575C8B"/>
    <w:p w:rsidR="00575C8B" w:rsidRDefault="00575C8B"/>
    <w:p w:rsidR="00575C8B" w:rsidRDefault="00575C8B"/>
    <w:p w:rsidR="00575C8B" w:rsidRDefault="00575C8B"/>
    <w:p w:rsidR="00575C8B" w:rsidRDefault="00575C8B"/>
    <w:p w:rsidR="00575C8B" w:rsidRDefault="00575C8B"/>
    <w:p w:rsidR="00575C8B" w:rsidRDefault="00575C8B"/>
    <w:p w:rsidR="00575C8B" w:rsidRDefault="00575C8B"/>
    <w:p w:rsidR="00575C8B" w:rsidRDefault="00575C8B"/>
    <w:p w:rsidR="00575C8B" w:rsidRDefault="00575C8B"/>
    <w:p w:rsidR="00575C8B" w:rsidRDefault="00575C8B"/>
    <w:p w:rsidR="00575C8B" w:rsidRDefault="00575C8B"/>
    <w:p w:rsidR="00575C8B" w:rsidRDefault="00575C8B"/>
    <w:p w:rsidR="00575C8B" w:rsidRDefault="00575C8B"/>
    <w:p w:rsidR="00575C8B" w:rsidRDefault="00575C8B"/>
    <w:p w:rsidR="00575C8B" w:rsidRDefault="00575C8B"/>
    <w:p w:rsidR="00575C8B" w:rsidRDefault="00575C8B"/>
    <w:p w:rsidR="00575C8B" w:rsidRDefault="00575C8B"/>
    <w:p w:rsidR="00575C8B" w:rsidRDefault="00575C8B">
      <w:r>
        <w:t xml:space="preserve">                                                   1</w:t>
      </w:r>
      <w:r w:rsidR="00A72F00">
        <w:t>9</w:t>
      </w:r>
      <w:r w:rsidRPr="00575C8B">
        <w:rPr>
          <w:vertAlign w:val="superscript"/>
        </w:rPr>
        <w:t>th</w:t>
      </w:r>
      <w:r>
        <w:t xml:space="preserve"> JUNE 2026.</w:t>
      </w:r>
    </w:p>
    <w:p w:rsidR="00575C8B" w:rsidRDefault="00575C8B"/>
    <w:p w:rsidR="00575C8B" w:rsidRDefault="00575C8B"/>
    <w:p w:rsidR="00575C8B" w:rsidRDefault="00575C8B"/>
    <w:p w:rsidR="00575C8B" w:rsidRDefault="00575C8B"/>
    <w:p w:rsidR="00575C8B" w:rsidRDefault="00575C8B" w:rsidP="00575C8B">
      <w:pPr>
        <w:pStyle w:val="ListParagraph"/>
        <w:numPr>
          <w:ilvl w:val="0"/>
          <w:numId w:val="1"/>
        </w:numPr>
      </w:pPr>
      <w:r>
        <w:lastRenderedPageBreak/>
        <w:t>This Addendum responds to the Case Officer’s comments dated 3</w:t>
      </w:r>
      <w:r w:rsidRPr="00575C8B">
        <w:rPr>
          <w:vertAlign w:val="superscript"/>
        </w:rPr>
        <w:t>rd</w:t>
      </w:r>
      <w:r>
        <w:t xml:space="preserve"> June 2026, relating to Core Strategy Policy CP48.</w:t>
      </w:r>
    </w:p>
    <w:p w:rsidR="00575C8B" w:rsidRDefault="00575C8B" w:rsidP="00575C8B">
      <w:pPr>
        <w:pStyle w:val="ListParagraph"/>
      </w:pPr>
    </w:p>
    <w:p w:rsidR="00575C8B" w:rsidRDefault="00575C8B" w:rsidP="00575C8B">
      <w:pPr>
        <w:pStyle w:val="ListParagraph"/>
        <w:numPr>
          <w:ilvl w:val="0"/>
          <w:numId w:val="1"/>
        </w:numPr>
      </w:pPr>
      <w:r>
        <w:t>The County Council requires a full justification against each of the relevant criteria of Wiltshire Core Strategy Policy CP48 on Supporting Rural Life.</w:t>
      </w:r>
    </w:p>
    <w:p w:rsidR="00575C8B" w:rsidRDefault="00575C8B" w:rsidP="00575C8B">
      <w:pPr>
        <w:pStyle w:val="ListParagraph"/>
      </w:pPr>
    </w:p>
    <w:p w:rsidR="00575C8B" w:rsidRDefault="00575C8B" w:rsidP="00575C8B">
      <w:pPr>
        <w:pStyle w:val="ListParagraph"/>
        <w:numPr>
          <w:ilvl w:val="0"/>
          <w:numId w:val="1"/>
        </w:numPr>
      </w:pPr>
      <w:r>
        <w:t>The County Council also seeks evidence demonstrating how non-residential uses are not practical.</w:t>
      </w:r>
    </w:p>
    <w:p w:rsidR="00575C8B" w:rsidRDefault="00575C8B" w:rsidP="00575C8B">
      <w:pPr>
        <w:pStyle w:val="ListParagraph"/>
      </w:pPr>
    </w:p>
    <w:p w:rsidR="00575C8B" w:rsidRDefault="00575C8B" w:rsidP="00575C8B">
      <w:pPr>
        <w:pStyle w:val="ListParagraph"/>
        <w:numPr>
          <w:ilvl w:val="0"/>
          <w:numId w:val="1"/>
        </w:numPr>
      </w:pPr>
      <w:r>
        <w:t>THE 2015 CORE STRATEGY POLICY CP48 on Supporting Rural Life.</w:t>
      </w:r>
    </w:p>
    <w:p w:rsidR="00575C8B" w:rsidRDefault="00575C8B" w:rsidP="00575C8B">
      <w:pPr>
        <w:pStyle w:val="ListParagraph"/>
      </w:pPr>
    </w:p>
    <w:p w:rsidR="00575C8B" w:rsidRDefault="00575C8B" w:rsidP="00575C8B">
      <w:pPr>
        <w:pStyle w:val="ListParagraph"/>
        <w:numPr>
          <w:ilvl w:val="1"/>
          <w:numId w:val="1"/>
        </w:numPr>
      </w:pPr>
      <w:r>
        <w:t>The relevant section relates to the Conversion &amp; re-use of rural buildings.</w:t>
      </w:r>
    </w:p>
    <w:p w:rsidR="00575C8B" w:rsidRDefault="00575C8B" w:rsidP="00575C8B">
      <w:pPr>
        <w:pStyle w:val="ListParagraph"/>
      </w:pPr>
    </w:p>
    <w:p w:rsidR="00575C8B" w:rsidRDefault="00575C8B" w:rsidP="00575C8B">
      <w:pPr>
        <w:pStyle w:val="ListParagraph"/>
      </w:pPr>
      <w:r>
        <w:t xml:space="preserve">It states that </w:t>
      </w:r>
      <w:r w:rsidR="00043D4B">
        <w:t>“</w:t>
      </w:r>
      <w:r>
        <w:t>proposals for employment, tourism, cultural &amp; community uses will be supported where they satisfy the following criteria:</w:t>
      </w:r>
    </w:p>
    <w:p w:rsidR="00575C8B" w:rsidRDefault="00575C8B" w:rsidP="00575C8B">
      <w:pPr>
        <w:pStyle w:val="ListParagraph"/>
      </w:pPr>
    </w:p>
    <w:p w:rsidR="00575C8B" w:rsidRDefault="00575C8B" w:rsidP="00575C8B">
      <w:pPr>
        <w:pStyle w:val="ListParagraph"/>
        <w:numPr>
          <w:ilvl w:val="0"/>
          <w:numId w:val="2"/>
        </w:numPr>
      </w:pPr>
      <w:r>
        <w:t>The buildings are structurally sound &amp; capable of conversion without major re-building, with only necessary extensions or modifications which preserve the character of the original building.</w:t>
      </w:r>
    </w:p>
    <w:p w:rsidR="00575C8B" w:rsidRDefault="00575C8B" w:rsidP="00575C8B">
      <w:pPr>
        <w:pStyle w:val="ListParagraph"/>
        <w:ind w:left="1440"/>
      </w:pPr>
    </w:p>
    <w:p w:rsidR="00575C8B" w:rsidRDefault="00575C8B" w:rsidP="00575C8B">
      <w:pPr>
        <w:pStyle w:val="ListParagraph"/>
        <w:numPr>
          <w:ilvl w:val="0"/>
          <w:numId w:val="2"/>
        </w:numPr>
      </w:pPr>
      <w:r>
        <w:t>The use would not detract from the character or appearance of the landscape or settlement, &amp; would not be detrimental to the amenities of residential areas.</w:t>
      </w:r>
    </w:p>
    <w:p w:rsidR="00575C8B" w:rsidRDefault="00575C8B" w:rsidP="00575C8B">
      <w:pPr>
        <w:pStyle w:val="ListParagraph"/>
        <w:ind w:left="1440"/>
      </w:pPr>
    </w:p>
    <w:p w:rsidR="00575C8B" w:rsidRDefault="00575C8B" w:rsidP="00575C8B">
      <w:pPr>
        <w:pStyle w:val="ListParagraph"/>
        <w:numPr>
          <w:ilvl w:val="0"/>
          <w:numId w:val="2"/>
        </w:numPr>
      </w:pPr>
      <w:r>
        <w:t>The building can be served by adequate access &amp; infrastructure.</w:t>
      </w:r>
    </w:p>
    <w:p w:rsidR="00575C8B" w:rsidRDefault="00575C8B" w:rsidP="00575C8B">
      <w:pPr>
        <w:pStyle w:val="ListParagraph"/>
      </w:pPr>
    </w:p>
    <w:p w:rsidR="00575C8B" w:rsidRDefault="00575C8B" w:rsidP="00575C8B">
      <w:pPr>
        <w:pStyle w:val="ListParagraph"/>
        <w:numPr>
          <w:ilvl w:val="0"/>
          <w:numId w:val="2"/>
        </w:numPr>
      </w:pPr>
      <w:r>
        <w:t>The site has reasonable access to local services.</w:t>
      </w:r>
    </w:p>
    <w:p w:rsidR="00575C8B" w:rsidRDefault="00575C8B" w:rsidP="00575C8B">
      <w:pPr>
        <w:pStyle w:val="ListParagraph"/>
      </w:pPr>
    </w:p>
    <w:p w:rsidR="00575C8B" w:rsidRDefault="00575C8B" w:rsidP="00575C8B">
      <w:pPr>
        <w:pStyle w:val="ListParagraph"/>
        <w:numPr>
          <w:ilvl w:val="0"/>
          <w:numId w:val="2"/>
        </w:numPr>
      </w:pPr>
      <w:r>
        <w:t>The conversion or re-use of a heritage asset would lead to its viable long-term safeguarding.</w:t>
      </w:r>
    </w:p>
    <w:p w:rsidR="00575C8B" w:rsidRDefault="00575C8B" w:rsidP="00575C8B"/>
    <w:p w:rsidR="00575C8B" w:rsidRDefault="00575C8B" w:rsidP="00575C8B">
      <w:pPr>
        <w:pStyle w:val="ListParagraph"/>
        <w:numPr>
          <w:ilvl w:val="1"/>
          <w:numId w:val="1"/>
        </w:numPr>
      </w:pPr>
      <w:r>
        <w:t>Where there is evidence that the above uses are not practical, residential development may be appropriate where it meets the above criteria.</w:t>
      </w:r>
    </w:p>
    <w:p w:rsidR="00575C8B" w:rsidRDefault="00575C8B" w:rsidP="00575C8B">
      <w:pPr>
        <w:pStyle w:val="ListParagraph"/>
      </w:pPr>
    </w:p>
    <w:p w:rsidR="00575C8B" w:rsidRDefault="00575C8B" w:rsidP="00575C8B">
      <w:pPr>
        <w:pStyle w:val="ListParagraph"/>
        <w:numPr>
          <w:ilvl w:val="1"/>
          <w:numId w:val="1"/>
        </w:numPr>
      </w:pPr>
      <w:r>
        <w:t>In isolated locations, the re-use of redundant or dis-used buildings for residential purposes may be permitted where justified by special circumstances, in line with national policy.</w:t>
      </w:r>
      <w:r w:rsidR="00043D4B">
        <w:t>”</w:t>
      </w:r>
    </w:p>
    <w:p w:rsidR="00575C8B" w:rsidRDefault="00575C8B"/>
    <w:p w:rsidR="00575C8B" w:rsidRDefault="00575C8B"/>
    <w:p w:rsidR="00575C8B" w:rsidRDefault="00575C8B"/>
    <w:p w:rsidR="00575C8B" w:rsidRDefault="00575C8B"/>
    <w:p w:rsidR="00575C8B" w:rsidRDefault="00575C8B"/>
    <w:p w:rsidR="00575C8B" w:rsidRDefault="00575C8B"/>
    <w:p w:rsidR="00575C8B" w:rsidRDefault="005E38D8">
      <w:r>
        <w:t xml:space="preserve">                                                                      1.</w:t>
      </w:r>
    </w:p>
    <w:p w:rsidR="005E38D8" w:rsidRDefault="005E38D8"/>
    <w:p w:rsidR="005E38D8" w:rsidRDefault="005E38D8"/>
    <w:p w:rsidR="005E38D8" w:rsidRDefault="005E38D8"/>
    <w:p w:rsidR="005E38D8" w:rsidRDefault="005E38D8" w:rsidP="005E38D8">
      <w:pPr>
        <w:pStyle w:val="ListParagraph"/>
        <w:numPr>
          <w:ilvl w:val="0"/>
          <w:numId w:val="1"/>
        </w:numPr>
      </w:pPr>
      <w:r>
        <w:lastRenderedPageBreak/>
        <w:t>THE APPLICANT’S RESPONSE TO THE CASE OFFICER’S COMMENTS, June 2026.</w:t>
      </w:r>
    </w:p>
    <w:p w:rsidR="005E38D8" w:rsidRDefault="005E38D8" w:rsidP="005E38D8"/>
    <w:p w:rsidR="005E38D8" w:rsidRDefault="005E38D8" w:rsidP="005E38D8">
      <w:pPr>
        <w:pStyle w:val="ListParagraph"/>
        <w:numPr>
          <w:ilvl w:val="1"/>
          <w:numId w:val="1"/>
        </w:numPr>
      </w:pPr>
      <w:r>
        <w:t>The purpose of Policy CP48 is to Support Rural Life.</w:t>
      </w:r>
    </w:p>
    <w:p w:rsidR="005E38D8" w:rsidRDefault="005E38D8" w:rsidP="005E38D8">
      <w:pPr>
        <w:pStyle w:val="ListParagraph"/>
      </w:pPr>
    </w:p>
    <w:p w:rsidR="005E38D8" w:rsidRDefault="005E38D8" w:rsidP="005E38D8">
      <w:pPr>
        <w:pStyle w:val="ListParagraph"/>
        <w:numPr>
          <w:ilvl w:val="1"/>
          <w:numId w:val="1"/>
        </w:numPr>
      </w:pPr>
      <w:r>
        <w:t xml:space="preserve"> It is therefore seen as a Positive Policy, whose aim is to support rural life.</w:t>
      </w:r>
    </w:p>
    <w:p w:rsidR="005E38D8" w:rsidRDefault="005E38D8" w:rsidP="005E38D8">
      <w:pPr>
        <w:pStyle w:val="ListParagraph"/>
      </w:pPr>
    </w:p>
    <w:p w:rsidR="005E38D8" w:rsidRDefault="005E38D8" w:rsidP="005E38D8">
      <w:pPr>
        <w:pStyle w:val="ListParagraph"/>
        <w:numPr>
          <w:ilvl w:val="1"/>
          <w:numId w:val="1"/>
        </w:numPr>
      </w:pPr>
      <w:r>
        <w:t xml:space="preserve">Paragraph 4.25 of the Core Strategy identifies Policy CP48 as an Exception to Policy CP1 &amp; CP2 on Settlement Strategy, to respond to local circumstance &amp; national policy. </w:t>
      </w:r>
      <w:r w:rsidR="00E27C39">
        <w:t>Policies CP1/CP2</w:t>
      </w:r>
      <w:r>
        <w:t xml:space="preserve"> focus development in the Principal Settlements, Market Towns, Local Services Centres, &amp; Large &amp; Small villages.</w:t>
      </w:r>
      <w:r w:rsidR="00E220B9">
        <w:t xml:space="preserve"> Appendix C states that 35% of all development came from windfall sites, &amp; the delivery strategy prioritised such sites, as it reduced the requirement to deliver sites from new housing allocations.</w:t>
      </w:r>
    </w:p>
    <w:p w:rsidR="005E38D8" w:rsidRDefault="005E38D8" w:rsidP="005E38D8">
      <w:pPr>
        <w:pStyle w:val="ListParagraph"/>
      </w:pPr>
    </w:p>
    <w:p w:rsidR="005E38D8" w:rsidRDefault="005E38D8" w:rsidP="005E38D8">
      <w:pPr>
        <w:pStyle w:val="ListParagraph"/>
        <w:numPr>
          <w:ilvl w:val="1"/>
          <w:numId w:val="1"/>
        </w:numPr>
      </w:pPr>
      <w:r>
        <w:t xml:space="preserve">The fact that </w:t>
      </w:r>
      <w:r w:rsidR="00E220B9">
        <w:t>Policy CP48</w:t>
      </w:r>
      <w:r>
        <w:t xml:space="preserve"> specifically relates to isolated locations, shows it to be an Exceptions Policy, restricted to the </w:t>
      </w:r>
      <w:r w:rsidR="00043D4B">
        <w:t xml:space="preserve">residential </w:t>
      </w:r>
      <w:r>
        <w:t>conversion &amp; re-use of rural buildings.</w:t>
      </w:r>
    </w:p>
    <w:p w:rsidR="005E38D8" w:rsidRDefault="005E38D8" w:rsidP="005E38D8">
      <w:pPr>
        <w:pStyle w:val="ListParagraph"/>
      </w:pPr>
    </w:p>
    <w:p w:rsidR="005E38D8" w:rsidRDefault="005E38D8" w:rsidP="005E38D8">
      <w:pPr>
        <w:pStyle w:val="ListParagraph"/>
        <w:numPr>
          <w:ilvl w:val="1"/>
          <w:numId w:val="1"/>
        </w:numPr>
      </w:pPr>
      <w:r>
        <w:t xml:space="preserve">In May 2024, the Government </w:t>
      </w:r>
      <w:r w:rsidR="00A125A9">
        <w:t xml:space="preserve">changed national policy, to </w:t>
      </w:r>
      <w:r>
        <w:t xml:space="preserve">allow farmers to convert unused buildings into up to 10 new homes. It sought to turbocharge rural housing development, which only delivered 5,000 dwellings over 10 years since April 2014. </w:t>
      </w:r>
    </w:p>
    <w:p w:rsidR="005E38D8" w:rsidRDefault="005E38D8" w:rsidP="005E38D8">
      <w:pPr>
        <w:ind w:left="720"/>
      </w:pPr>
      <w:r>
        <w:t xml:space="preserve">This increased the number of conversions of agricultural building to new </w:t>
      </w:r>
      <w:proofErr w:type="gramStart"/>
      <w:r>
        <w:t>homes  under</w:t>
      </w:r>
      <w:proofErr w:type="gramEnd"/>
      <w:r>
        <w:t xml:space="preserve"> Class Q, Permitted Development Rights from 3 up to 10 new homes. </w:t>
      </w:r>
    </w:p>
    <w:p w:rsidR="005E38D8" w:rsidRDefault="005E38D8" w:rsidP="005E38D8">
      <w:pPr>
        <w:pStyle w:val="ListParagraph"/>
      </w:pPr>
    </w:p>
    <w:p w:rsidR="005E38D8" w:rsidRDefault="005E38D8" w:rsidP="005E38D8">
      <w:pPr>
        <w:pStyle w:val="ListParagraph"/>
        <w:numPr>
          <w:ilvl w:val="1"/>
          <w:numId w:val="1"/>
        </w:numPr>
      </w:pPr>
      <w:r>
        <w:t xml:space="preserve">Class Q of the 2015 Permitted Development Order allows a change of use of an agricultural building, &amp; any land within its curtilage, to change to a </w:t>
      </w:r>
      <w:proofErr w:type="gramStart"/>
      <w:r>
        <w:t>Class C3 residential use, &amp; building operations</w:t>
      </w:r>
      <w:proofErr w:type="gramEnd"/>
      <w:r>
        <w:t xml:space="preserve"> necessary to convert the building. </w:t>
      </w:r>
    </w:p>
    <w:p w:rsidR="005E38D8" w:rsidRDefault="005E38D8" w:rsidP="005E38D8">
      <w:pPr>
        <w:pStyle w:val="ListParagraph"/>
      </w:pPr>
      <w:r>
        <w:t xml:space="preserve">This includes the installation of windows, doors, roofs, or exterior walls, and </w:t>
      </w:r>
    </w:p>
    <w:p w:rsidR="005E38D8" w:rsidRDefault="005E38D8" w:rsidP="005E38D8">
      <w:pPr>
        <w:pStyle w:val="ListParagraph"/>
      </w:pPr>
      <w:r>
        <w:t>water, drainage, electricity, gas or other services.</w:t>
      </w:r>
    </w:p>
    <w:p w:rsidR="005E38D8" w:rsidRDefault="005E38D8" w:rsidP="005E38D8">
      <w:pPr>
        <w:pStyle w:val="ListParagraph"/>
      </w:pPr>
      <w:r>
        <w:t>It allows partial demolition to the extent necessary for the building to function as a dwellinghouse.</w:t>
      </w:r>
    </w:p>
    <w:p w:rsidR="005E38D8" w:rsidRDefault="005E38D8" w:rsidP="005E38D8"/>
    <w:p w:rsidR="005E38D8" w:rsidRDefault="005E38D8" w:rsidP="005E38D8">
      <w:pPr>
        <w:pStyle w:val="ListParagraph"/>
        <w:numPr>
          <w:ilvl w:val="1"/>
          <w:numId w:val="1"/>
        </w:numPr>
      </w:pPr>
      <w:r>
        <w:t xml:space="preserve">In December 2024, Government policy, in Plan for Change, was overhauled, heavily relying on the re-use of existing buildings &amp; land, to help meet its target of 1.5million new homes over 5 years. </w:t>
      </w:r>
    </w:p>
    <w:p w:rsidR="005E38D8" w:rsidRDefault="005E38D8" w:rsidP="005E38D8">
      <w:pPr>
        <w:pStyle w:val="ListParagraph"/>
      </w:pPr>
    </w:p>
    <w:p w:rsidR="005E38D8" w:rsidRDefault="005E38D8" w:rsidP="005E38D8">
      <w:pPr>
        <w:pStyle w:val="ListParagraph"/>
        <w:numPr>
          <w:ilvl w:val="1"/>
          <w:numId w:val="1"/>
        </w:numPr>
      </w:pPr>
      <w:r>
        <w:t xml:space="preserve">   The 2015 Wiltshire Core Strategy housing requirements therefore no longer reflect current Government Policy on Housing Need. This was demonstrated when the Inspectors for the new Local Plan advised the Council to withdraw the Local Plan. The June 2025 Wiltshire 5-year Housing Land Supply Report identified a 2.4 years housing land supply, with a shortfall of almost 10,000 dwellings.</w:t>
      </w:r>
    </w:p>
    <w:p w:rsidR="005E38D8" w:rsidRDefault="005E38D8" w:rsidP="005E38D8">
      <w:pPr>
        <w:pStyle w:val="ListParagraph"/>
      </w:pPr>
    </w:p>
    <w:p w:rsidR="005E38D8" w:rsidRDefault="005E38D8" w:rsidP="005E38D8">
      <w:pPr>
        <w:pStyle w:val="ListParagraph"/>
        <w:numPr>
          <w:ilvl w:val="1"/>
          <w:numId w:val="1"/>
        </w:numPr>
      </w:pPr>
      <w:r>
        <w:t xml:space="preserve">Limited weight can therefore be given to </w:t>
      </w:r>
      <w:r w:rsidR="00EE344C">
        <w:t>the</w:t>
      </w:r>
      <w:r>
        <w:t xml:space="preserve"> </w:t>
      </w:r>
      <w:proofErr w:type="gramStart"/>
      <w:r w:rsidR="00A125A9">
        <w:t>10-year old</w:t>
      </w:r>
      <w:proofErr w:type="gramEnd"/>
      <w:r>
        <w:t xml:space="preserve"> </w:t>
      </w:r>
      <w:r w:rsidR="00A125A9">
        <w:t>P</w:t>
      </w:r>
      <w:r>
        <w:t>olicy</w:t>
      </w:r>
      <w:r w:rsidR="00EE344C">
        <w:t xml:space="preserve"> CP48</w:t>
      </w:r>
      <w:r>
        <w:t xml:space="preserve">, to the extent that it does not reflect the need for housing in the current Dec. 2024 NPPF.  </w:t>
      </w:r>
    </w:p>
    <w:p w:rsidR="00A125A9" w:rsidRDefault="00EE344C" w:rsidP="00EE344C">
      <w:r>
        <w:t xml:space="preserve">             The “Tilted Balance” is therefore triggered. The NPPF</w:t>
      </w:r>
      <w:r w:rsidR="00A125A9">
        <w:t>, paragraph 11 d),</w:t>
      </w:r>
      <w:r>
        <w:t xml:space="preserve"> states that</w:t>
      </w:r>
    </w:p>
    <w:p w:rsidR="00EE344C" w:rsidRDefault="00A125A9" w:rsidP="00EE344C">
      <w:r>
        <w:t xml:space="preserve">            </w:t>
      </w:r>
      <w:r w:rsidR="00EE344C">
        <w:t xml:space="preserve"> </w:t>
      </w:r>
      <w:r>
        <w:t>applications should be granted permission</w:t>
      </w:r>
      <w:r w:rsidR="00EE344C">
        <w:t xml:space="preserve">, </w:t>
      </w:r>
      <w:r>
        <w:t>“</w:t>
      </w:r>
      <w:r w:rsidR="00EE344C">
        <w:t xml:space="preserve">unless </w:t>
      </w:r>
      <w:r>
        <w:t>any</w:t>
      </w:r>
      <w:r w:rsidR="00EE344C">
        <w:t xml:space="preserve"> adverse impacts</w:t>
      </w:r>
      <w:r>
        <w:t xml:space="preserve"> of doing so</w:t>
      </w:r>
    </w:p>
    <w:p w:rsidR="00A125A9" w:rsidRDefault="00EE344C" w:rsidP="00EE344C">
      <w:r>
        <w:t xml:space="preserve">            </w:t>
      </w:r>
      <w:r w:rsidR="00A125A9">
        <w:t xml:space="preserve">would </w:t>
      </w:r>
      <w:r>
        <w:t xml:space="preserve">significantly &amp; demonstrably outweighs the benefits, </w:t>
      </w:r>
      <w:r w:rsidR="00A125A9">
        <w:t>when assessed against</w:t>
      </w:r>
    </w:p>
    <w:p w:rsidR="005E38D8" w:rsidRDefault="00A125A9" w:rsidP="00EE344C">
      <w:r>
        <w:t xml:space="preserve">            the NPPF policies, as a whole.” In this case,</w:t>
      </w:r>
      <w:r w:rsidR="00EE344C">
        <w:t xml:space="preserve"> meeting </w:t>
      </w:r>
      <w:r>
        <w:t xml:space="preserve">the </w:t>
      </w:r>
      <w:r w:rsidR="00EE344C">
        <w:t xml:space="preserve">housing needs in the NPPF. </w:t>
      </w:r>
    </w:p>
    <w:p w:rsidR="005E38D8" w:rsidRDefault="00A72F00" w:rsidP="00E220B9">
      <w:r>
        <w:t xml:space="preserve">                                                                        2.</w:t>
      </w:r>
    </w:p>
    <w:p w:rsidR="005E38D8" w:rsidRDefault="005E38D8" w:rsidP="005E38D8">
      <w:pPr>
        <w:pStyle w:val="ListParagraph"/>
      </w:pPr>
    </w:p>
    <w:p w:rsidR="005E38D8" w:rsidRDefault="005E38D8" w:rsidP="005E38D8">
      <w:pPr>
        <w:pStyle w:val="ListParagraph"/>
        <w:numPr>
          <w:ilvl w:val="1"/>
          <w:numId w:val="1"/>
        </w:numPr>
      </w:pPr>
      <w:r>
        <w:t>Policy CP48 states that where employment, tourism, cultural &amp; community uses are not practical, a residential use may be appropriate</w:t>
      </w:r>
      <w:r w:rsidR="00E220B9">
        <w:t>,</w:t>
      </w:r>
      <w:r>
        <w:t xml:space="preserve"> if it meets the listed criteria.</w:t>
      </w:r>
    </w:p>
    <w:p w:rsidR="005E38D8" w:rsidRDefault="005E38D8" w:rsidP="005E38D8">
      <w:pPr>
        <w:pStyle w:val="ListParagraph"/>
      </w:pPr>
    </w:p>
    <w:p w:rsidR="00A72F00" w:rsidRDefault="005E38D8" w:rsidP="005E38D8">
      <w:pPr>
        <w:pStyle w:val="ListParagraph"/>
      </w:pPr>
      <w:r>
        <w:t>An employment use was found to be i</w:t>
      </w:r>
      <w:r w:rsidR="00E220B9">
        <w:t>nappropriate</w:t>
      </w:r>
      <w:r>
        <w:t xml:space="preserve"> in the 2002 appeal decision</w:t>
      </w:r>
      <w:r w:rsidR="00A125A9">
        <w:t xml:space="preserve"> to convert the Goat Barn to a dwelling, ref: APP/E3905/A/01/1073777.</w:t>
      </w:r>
    </w:p>
    <w:p w:rsidR="00A72F00" w:rsidRDefault="005E38D8" w:rsidP="005E38D8">
      <w:pPr>
        <w:pStyle w:val="ListParagraph"/>
      </w:pPr>
      <w:r>
        <w:t xml:space="preserve"> </w:t>
      </w:r>
    </w:p>
    <w:p w:rsidR="00A72F00" w:rsidRDefault="00A125A9" w:rsidP="00A72F00">
      <w:pPr>
        <w:pStyle w:val="ListParagraph"/>
        <w:numPr>
          <w:ilvl w:val="0"/>
          <w:numId w:val="3"/>
        </w:numPr>
      </w:pPr>
      <w:r>
        <w:t xml:space="preserve">In paragraph 2, </w:t>
      </w:r>
      <w:r w:rsidR="00E220B9">
        <w:t>t</w:t>
      </w:r>
      <w:r>
        <w:t>he</w:t>
      </w:r>
      <w:r w:rsidR="00E220B9">
        <w:t xml:space="preserve"> Inspector</w:t>
      </w:r>
      <w:r>
        <w:t xml:space="preserve"> agreed that the setting of listed buildings, </w:t>
      </w:r>
      <w:proofErr w:type="spellStart"/>
      <w:r>
        <w:t>Baydon</w:t>
      </w:r>
      <w:proofErr w:type="spellEnd"/>
      <w:r>
        <w:t xml:space="preserve"> Manor &amp; its Conservatory, would be unaffected</w:t>
      </w:r>
      <w:r w:rsidR="00A72F00">
        <w:t>, being at least 80 metres away.</w:t>
      </w:r>
      <w:r>
        <w:t xml:space="preserve"> </w:t>
      </w:r>
    </w:p>
    <w:p w:rsidR="00A72F00" w:rsidRDefault="005E38D8" w:rsidP="00A72F00">
      <w:pPr>
        <w:pStyle w:val="ListParagraph"/>
        <w:numPr>
          <w:ilvl w:val="0"/>
          <w:numId w:val="3"/>
        </w:numPr>
      </w:pPr>
      <w:r>
        <w:t xml:space="preserve">Paragraph 3 of the appeal decision letter states that the appeal was determined on Policy DP15 of the 2011 Structure Plan, which focused on conversions in rural areas </w:t>
      </w:r>
      <w:r w:rsidR="00A72F00">
        <w:t>to</w:t>
      </w:r>
      <w:r>
        <w:t xml:space="preserve"> diversify the economy to provide jobs. </w:t>
      </w:r>
    </w:p>
    <w:p w:rsidR="005E38D8" w:rsidRDefault="005E38D8" w:rsidP="00A72F00">
      <w:pPr>
        <w:pStyle w:val="ListParagraph"/>
        <w:numPr>
          <w:ilvl w:val="0"/>
          <w:numId w:val="3"/>
        </w:numPr>
      </w:pPr>
      <w:r>
        <w:t>The Council Officers considered that:</w:t>
      </w:r>
    </w:p>
    <w:p w:rsidR="00A72F00" w:rsidRDefault="00A72F00" w:rsidP="00A72F00">
      <w:r>
        <w:t xml:space="preserve">                        </w:t>
      </w:r>
      <w:r w:rsidR="005E38D8">
        <w:t xml:space="preserve"> “</w:t>
      </w:r>
      <w:proofErr w:type="gramStart"/>
      <w:r w:rsidR="005E38D8">
        <w:t>poor</w:t>
      </w:r>
      <w:proofErr w:type="gramEnd"/>
      <w:r w:rsidR="005E38D8">
        <w:t xml:space="preserve"> vehicular access between the main highway network &amp; the appeal site</w:t>
      </w:r>
    </w:p>
    <w:p w:rsidR="00A72F00" w:rsidRDefault="00A72F00" w:rsidP="00A72F00">
      <w:r>
        <w:t xml:space="preserve">                         </w:t>
      </w:r>
      <w:r w:rsidR="005E38D8">
        <w:t xml:space="preserve"> would make an employment use inappropriate</w:t>
      </w:r>
      <w:r w:rsidR="00A125A9">
        <w:t>.”</w:t>
      </w:r>
    </w:p>
    <w:p w:rsidR="00A72F00" w:rsidRDefault="00A125A9" w:rsidP="00A72F00">
      <w:pPr>
        <w:pStyle w:val="ListParagraph"/>
        <w:numPr>
          <w:ilvl w:val="0"/>
          <w:numId w:val="3"/>
        </w:numPr>
      </w:pPr>
      <w:r>
        <w:t>The Inspector found</w:t>
      </w:r>
      <w:r w:rsidR="005E38D8">
        <w:t xml:space="preserve"> </w:t>
      </w:r>
      <w:r w:rsidR="00A72F00">
        <w:t xml:space="preserve">that </w:t>
      </w:r>
      <w:r w:rsidR="005E38D8">
        <w:t xml:space="preserve">the </w:t>
      </w:r>
      <w:r w:rsidR="00A72F00">
        <w:t>mile long “</w:t>
      </w:r>
      <w:r w:rsidR="005E38D8">
        <w:t xml:space="preserve">intervening road </w:t>
      </w:r>
      <w:r>
        <w:t>to be</w:t>
      </w:r>
      <w:r w:rsidR="005E38D8">
        <w:t xml:space="preserve"> stee</w:t>
      </w:r>
      <w:r w:rsidR="00E220B9">
        <w:t>p</w:t>
      </w:r>
      <w:r w:rsidR="005E38D8">
        <w:t>, winding</w:t>
      </w:r>
    </w:p>
    <w:p w:rsidR="005E38D8" w:rsidRDefault="005E38D8" w:rsidP="00A72F00">
      <w:pPr>
        <w:pStyle w:val="ListParagraph"/>
        <w:ind w:left="1440"/>
      </w:pPr>
      <w:r>
        <w:t xml:space="preserve"> &amp; narrow</w:t>
      </w:r>
      <w:r w:rsidR="00E220B9">
        <w:t>,</w:t>
      </w:r>
      <w:r>
        <w:t>”</w:t>
      </w:r>
      <w:r w:rsidR="00E220B9">
        <w:t xml:space="preserve"> and </w:t>
      </w:r>
      <w:r>
        <w:t>accepted the Council Officer’s advice.</w:t>
      </w:r>
    </w:p>
    <w:p w:rsidR="00E220B9" w:rsidRDefault="00E220B9" w:rsidP="00A72F00">
      <w:pPr>
        <w:pStyle w:val="ListParagraph"/>
        <w:numPr>
          <w:ilvl w:val="0"/>
          <w:numId w:val="3"/>
        </w:numPr>
      </w:pPr>
      <w:r>
        <w:t xml:space="preserve">Similarly, tourist, cultural &amp; community uses, would also be inappropriate due to the constraints on the access to take additional traffic, &amp; from the need to </w:t>
      </w:r>
      <w:r w:rsidR="00A72F00">
        <w:t xml:space="preserve">provide </w:t>
      </w:r>
      <w:r>
        <w:t>additional car parking.</w:t>
      </w:r>
    </w:p>
    <w:p w:rsidR="00E220B9" w:rsidRDefault="00E220B9" w:rsidP="00A72F00">
      <w:pPr>
        <w:pStyle w:val="ListParagraph"/>
        <w:numPr>
          <w:ilvl w:val="0"/>
          <w:numId w:val="3"/>
        </w:numPr>
      </w:pPr>
      <w:proofErr w:type="spellStart"/>
      <w:r>
        <w:t>Marridge</w:t>
      </w:r>
      <w:proofErr w:type="spellEnd"/>
      <w:r>
        <w:t xml:space="preserve"> Hill is such a small isolated hamlet, that it would be unlikely to be able to support a tourist, cultural or community use.</w:t>
      </w:r>
    </w:p>
    <w:p w:rsidR="00E220B9" w:rsidRDefault="00E220B9" w:rsidP="00A72F00">
      <w:pPr>
        <w:pStyle w:val="ListParagraph"/>
        <w:numPr>
          <w:ilvl w:val="0"/>
          <w:numId w:val="3"/>
        </w:numPr>
      </w:pPr>
      <w:r>
        <w:t>The small scale of the Goat Barn means that it would not be large enough to accommodate tourist, cultural or community uses, or to provide catering, toilets &amp; other facilities.</w:t>
      </w:r>
    </w:p>
    <w:p w:rsidR="00E220B9" w:rsidRDefault="00E220B9" w:rsidP="00A72F00">
      <w:pPr>
        <w:pStyle w:val="ListParagraph"/>
        <w:numPr>
          <w:ilvl w:val="0"/>
          <w:numId w:val="3"/>
        </w:numPr>
      </w:pPr>
      <w:r>
        <w:t>It is concluded that an employment, tourism, cultural or community use at the Goat Barn would be inappropriate, for the reasons set out above.</w:t>
      </w:r>
    </w:p>
    <w:p w:rsidR="00A125A9" w:rsidRDefault="00A125A9" w:rsidP="00A72F00">
      <w:pPr>
        <w:pStyle w:val="ListParagraph"/>
        <w:numPr>
          <w:ilvl w:val="0"/>
          <w:numId w:val="3"/>
        </w:numPr>
      </w:pPr>
      <w:r>
        <w:t>The 1997 Kennet Local Plan Policy L8 sought to avoid isolated houses in the countryside unless it was the only means of retaining the historic structure.</w:t>
      </w:r>
    </w:p>
    <w:p w:rsidR="00E220B9" w:rsidRDefault="00E220B9" w:rsidP="00A72F00">
      <w:pPr>
        <w:pStyle w:val="ListParagraph"/>
        <w:numPr>
          <w:ilvl w:val="0"/>
          <w:numId w:val="3"/>
        </w:numPr>
      </w:pPr>
      <w:r>
        <w:t xml:space="preserve"> Policies DP15 &amp; L8 have been replaced by </w:t>
      </w:r>
      <w:r w:rsidR="00A72F00">
        <w:t xml:space="preserve">2015 Core Strategy </w:t>
      </w:r>
      <w:r>
        <w:t xml:space="preserve">Policy CP48, so as the appeal was determined under Policies that have been superseded, it carries little weight. </w:t>
      </w:r>
      <w:r w:rsidR="00043D4B">
        <w:t xml:space="preserve">Core Strategy </w:t>
      </w:r>
      <w:r w:rsidR="00A72F00">
        <w:t>Policy CP48 does allow for residential conversions, subject to the criteria being met.</w:t>
      </w:r>
    </w:p>
    <w:p w:rsidR="00A72F00" w:rsidRDefault="00A72F00" w:rsidP="00A72F00">
      <w:pPr>
        <w:pStyle w:val="ListParagraph"/>
        <w:ind w:left="1440"/>
      </w:pPr>
    </w:p>
    <w:p w:rsidR="00A72F00" w:rsidRDefault="00A72F00" w:rsidP="00A72F00">
      <w:pPr>
        <w:pStyle w:val="ListParagraph"/>
        <w:ind w:left="1440"/>
      </w:pPr>
    </w:p>
    <w:p w:rsidR="00A72F00" w:rsidRDefault="00A72F00" w:rsidP="00A72F00">
      <w:pPr>
        <w:pStyle w:val="ListParagraph"/>
        <w:ind w:left="1440"/>
      </w:pPr>
    </w:p>
    <w:p w:rsidR="00A72F00" w:rsidRDefault="00A72F00" w:rsidP="00A72F00">
      <w:pPr>
        <w:pStyle w:val="ListParagraph"/>
        <w:ind w:left="1440"/>
      </w:pPr>
    </w:p>
    <w:p w:rsidR="00A72F00" w:rsidRDefault="00A72F00" w:rsidP="00A72F00">
      <w:pPr>
        <w:pStyle w:val="ListParagraph"/>
        <w:ind w:left="1440"/>
      </w:pPr>
    </w:p>
    <w:p w:rsidR="00A72F00" w:rsidRDefault="00A72F00" w:rsidP="00A72F00">
      <w:pPr>
        <w:pStyle w:val="ListParagraph"/>
        <w:ind w:left="1440"/>
      </w:pPr>
    </w:p>
    <w:p w:rsidR="00A72F00" w:rsidRDefault="00A72F00" w:rsidP="00A72F00">
      <w:pPr>
        <w:pStyle w:val="ListParagraph"/>
        <w:ind w:left="1440"/>
      </w:pPr>
    </w:p>
    <w:p w:rsidR="00A72F00" w:rsidRDefault="00A72F00" w:rsidP="00A72F00">
      <w:pPr>
        <w:pStyle w:val="ListParagraph"/>
        <w:ind w:left="1440"/>
      </w:pPr>
    </w:p>
    <w:p w:rsidR="00A72F00" w:rsidRDefault="00A72F00" w:rsidP="00A72F00">
      <w:pPr>
        <w:pStyle w:val="ListParagraph"/>
        <w:ind w:left="1440"/>
      </w:pPr>
    </w:p>
    <w:p w:rsidR="00A72F00" w:rsidRDefault="00A72F00" w:rsidP="00A72F00">
      <w:pPr>
        <w:pStyle w:val="ListParagraph"/>
        <w:ind w:left="1440"/>
      </w:pPr>
    </w:p>
    <w:p w:rsidR="00A72F00" w:rsidRDefault="00A72F00" w:rsidP="00A72F00">
      <w:pPr>
        <w:pStyle w:val="ListParagraph"/>
        <w:ind w:left="1440"/>
      </w:pPr>
      <w:r>
        <w:t xml:space="preserve">                                 3.</w:t>
      </w:r>
    </w:p>
    <w:p w:rsidR="00A72F00" w:rsidRDefault="00A72F00" w:rsidP="00A72F00">
      <w:pPr>
        <w:pStyle w:val="ListParagraph"/>
        <w:ind w:left="1440"/>
      </w:pPr>
    </w:p>
    <w:p w:rsidR="00A72F00" w:rsidRDefault="00A72F00" w:rsidP="00A72F00">
      <w:pPr>
        <w:pStyle w:val="ListParagraph"/>
        <w:ind w:left="1440"/>
      </w:pPr>
    </w:p>
    <w:p w:rsidR="00A72F00" w:rsidRDefault="00A72F00" w:rsidP="00A72F00">
      <w:pPr>
        <w:pStyle w:val="ListParagraph"/>
        <w:ind w:left="1440"/>
      </w:pPr>
    </w:p>
    <w:p w:rsidR="00A72F00" w:rsidRDefault="00A72F00" w:rsidP="00A72F00">
      <w:pPr>
        <w:pStyle w:val="ListParagraph"/>
        <w:numPr>
          <w:ilvl w:val="1"/>
          <w:numId w:val="1"/>
        </w:numPr>
      </w:pPr>
      <w:r>
        <w:t>APPLICANT’S RESPONSE ON CRITERIA IN CORE STRATEGY POLICY CP48.</w:t>
      </w:r>
    </w:p>
    <w:p w:rsidR="00A72F00" w:rsidRDefault="00A72F00" w:rsidP="00A72F00">
      <w:pPr>
        <w:pStyle w:val="ListParagraph"/>
      </w:pPr>
    </w:p>
    <w:p w:rsidR="00A72F00" w:rsidRDefault="00A72F00" w:rsidP="00A72F00">
      <w:pPr>
        <w:pStyle w:val="ListParagraph"/>
        <w:numPr>
          <w:ilvl w:val="0"/>
          <w:numId w:val="4"/>
        </w:numPr>
      </w:pPr>
      <w:r>
        <w:t>The first criteria states that: “The building is structurally sound, capable of conversion without major rebuilding, with only necessary extensions or modifications which preserve the character of the original building.”</w:t>
      </w:r>
    </w:p>
    <w:p w:rsidR="00A72F00" w:rsidRDefault="00A72F00" w:rsidP="00A72F00"/>
    <w:p w:rsidR="00A72F00" w:rsidRDefault="00A72F00" w:rsidP="00A72F00">
      <w:pPr>
        <w:ind w:left="1440"/>
      </w:pPr>
      <w:r>
        <w:t>A Structural Survey has been submitted that demonstrates that the Goat Barn is structurally sound, &amp; capable of conversion without major rebuilding.</w:t>
      </w:r>
    </w:p>
    <w:p w:rsidR="00A72F00" w:rsidRDefault="00A72F00" w:rsidP="00A72F00">
      <w:pPr>
        <w:ind w:left="1440"/>
      </w:pPr>
      <w:r>
        <w:t>This is achieved by maximising the retention of the structure of the original building, avoiding any extensions, &amp; limiting modifications to that required to meet Building Control Regulations, to create a small 2-bed barn conversion.</w:t>
      </w:r>
    </w:p>
    <w:p w:rsidR="00A72F00" w:rsidRDefault="00A72F00" w:rsidP="00A72F00">
      <w:pPr>
        <w:ind w:left="1440"/>
      </w:pPr>
    </w:p>
    <w:p w:rsidR="00A72F00" w:rsidRDefault="00A72F00" w:rsidP="00A72F00">
      <w:pPr>
        <w:pStyle w:val="ListParagraph"/>
        <w:numPr>
          <w:ilvl w:val="0"/>
          <w:numId w:val="4"/>
        </w:numPr>
      </w:pPr>
      <w:r>
        <w:t>The second criteria states that: “The use would not detract from the character or appearance of the landscape or settlement, &amp; would not be detrimental to the amenities of residential areas.”</w:t>
      </w:r>
    </w:p>
    <w:p w:rsidR="00A72F00" w:rsidRDefault="00A72F00" w:rsidP="00A72F00"/>
    <w:p w:rsidR="00A72F00" w:rsidRDefault="00A72F00" w:rsidP="00A72F00">
      <w:pPr>
        <w:ind w:left="1440"/>
      </w:pPr>
      <w:r>
        <w:t xml:space="preserve">The 2002 Appeal Inspector accepted in paragraph 2 of his decision letter that the setting of two listed buildings would be unaffected by a residential use as they were over 80 metres away. Paragraph 5.10 above shows that an employment, tourist, cultural or community use would be inappropriate, would generate additional traffic &amp; the need for extra car parking. </w:t>
      </w:r>
    </w:p>
    <w:p w:rsidR="00A72F00" w:rsidRDefault="00A72F00" w:rsidP="00A72F00">
      <w:pPr>
        <w:ind w:left="1440"/>
      </w:pPr>
      <w:r>
        <w:t>There has been no objection from neighbours that the use would be detrimental to amenities. It is concluded that a residential use would not detract from the character or appearance of the landscape or settlement</w:t>
      </w:r>
      <w:r w:rsidR="00043D4B">
        <w:t xml:space="preserve"> or be detrimental to residential amenities.</w:t>
      </w:r>
    </w:p>
    <w:p w:rsidR="00A72F00" w:rsidRDefault="00A72F00" w:rsidP="00A72F00">
      <w:pPr>
        <w:ind w:left="1440"/>
      </w:pPr>
      <w:r>
        <w:t xml:space="preserve">  </w:t>
      </w:r>
    </w:p>
    <w:p w:rsidR="00A72F00" w:rsidRDefault="00A72F00" w:rsidP="00A72F00">
      <w:pPr>
        <w:pStyle w:val="ListParagraph"/>
        <w:numPr>
          <w:ilvl w:val="0"/>
          <w:numId w:val="4"/>
        </w:numPr>
      </w:pPr>
      <w:r>
        <w:t xml:space="preserve">The third criteria </w:t>
      </w:r>
      <w:proofErr w:type="gramStart"/>
      <w:r>
        <w:t>relates</w:t>
      </w:r>
      <w:proofErr w:type="gramEnd"/>
      <w:r>
        <w:t xml:space="preserve"> to whether “the building can be served by adequate access &amp; infrastructure.”</w:t>
      </w:r>
    </w:p>
    <w:p w:rsidR="00A72F00" w:rsidRDefault="00A72F00" w:rsidP="00A72F00">
      <w:pPr>
        <w:pStyle w:val="ListParagraph"/>
        <w:ind w:left="1440"/>
      </w:pPr>
    </w:p>
    <w:p w:rsidR="00A72F00" w:rsidRDefault="00A72F00" w:rsidP="00A72F00">
      <w:pPr>
        <w:pStyle w:val="ListParagraph"/>
        <w:ind w:left="1440"/>
      </w:pPr>
      <w:r>
        <w:t>County Highways have raised no objection to the application, provided that highway conditions are met on the visibility splay &amp; parking standards.</w:t>
      </w:r>
    </w:p>
    <w:p w:rsidR="00A72F00" w:rsidRDefault="00A72F00" w:rsidP="00A72F00">
      <w:pPr>
        <w:pStyle w:val="ListParagraph"/>
        <w:ind w:left="1440"/>
      </w:pPr>
      <w:r>
        <w:t>The visibility splay &amp; parking provision is shown on a submitted site plan.</w:t>
      </w:r>
    </w:p>
    <w:p w:rsidR="00A72F00" w:rsidRDefault="00A72F00" w:rsidP="00A72F00">
      <w:pPr>
        <w:pStyle w:val="ListParagraph"/>
        <w:ind w:left="1440"/>
      </w:pPr>
    </w:p>
    <w:p w:rsidR="00A72F00" w:rsidRDefault="00A72F00" w:rsidP="00A72F00">
      <w:pPr>
        <w:pStyle w:val="ListParagraph"/>
        <w:numPr>
          <w:ilvl w:val="0"/>
          <w:numId w:val="4"/>
        </w:numPr>
      </w:pPr>
      <w:r>
        <w:t xml:space="preserve">The fourth criteria states that: “the site has reasonable access to local services.” </w:t>
      </w:r>
    </w:p>
    <w:p w:rsidR="00A72F00" w:rsidRDefault="00A72F00" w:rsidP="00A72F00">
      <w:pPr>
        <w:pStyle w:val="ListParagraph"/>
        <w:ind w:left="1440"/>
      </w:pPr>
    </w:p>
    <w:p w:rsidR="00043D4B" w:rsidRDefault="00A72F00" w:rsidP="00A72F00">
      <w:pPr>
        <w:pStyle w:val="ListParagraph"/>
        <w:ind w:left="1440"/>
      </w:pPr>
      <w:r>
        <w:t xml:space="preserve">The site is located 2 miles from Aldbourne, one of only four Large Villages in the Marlborough </w:t>
      </w:r>
      <w:r w:rsidR="00043D4B">
        <w:t xml:space="preserve">Community </w:t>
      </w:r>
      <w:r>
        <w:t>Area,</w:t>
      </w:r>
      <w:r w:rsidR="00043D4B">
        <w:t xml:space="preserve"> under Core Strategy Policy 14. </w:t>
      </w:r>
    </w:p>
    <w:p w:rsidR="00A72F00" w:rsidRDefault="00043D4B" w:rsidP="00A72F00">
      <w:pPr>
        <w:pStyle w:val="ListParagraph"/>
        <w:ind w:left="1440"/>
      </w:pPr>
      <w:r>
        <w:t>It</w:t>
      </w:r>
      <w:r w:rsidR="00A72F00">
        <w:t xml:space="preserve"> </w:t>
      </w:r>
      <w:r>
        <w:t>has</w:t>
      </w:r>
      <w:r w:rsidR="00A72F00">
        <w:t xml:space="preserve"> a Co-op supermarket, village shop/post office, a primary school, two public houses, &amp; a sports &amp; social club. The 48A &amp; 46A bus routes run hourly bus services to/from Swindon via Aldbourne to either Marlborough (48A) or Hungerford (46A). </w:t>
      </w:r>
    </w:p>
    <w:p w:rsidR="00A72F00" w:rsidRDefault="00A72F00" w:rsidP="00A72F00">
      <w:pPr>
        <w:pStyle w:val="ListParagraph"/>
        <w:ind w:left="1440"/>
      </w:pPr>
    </w:p>
    <w:p w:rsidR="00A72F00" w:rsidRDefault="00A72F00" w:rsidP="00A72F00">
      <w:pPr>
        <w:pStyle w:val="ListParagraph"/>
        <w:ind w:left="1440"/>
      </w:pPr>
    </w:p>
    <w:p w:rsidR="00A72F00" w:rsidRDefault="00043D4B" w:rsidP="00043D4B">
      <w:r>
        <w:t xml:space="preserve">                            </w:t>
      </w:r>
      <w:r w:rsidR="00A72F00">
        <w:t xml:space="preserve">                                        4.</w:t>
      </w:r>
    </w:p>
    <w:p w:rsidR="00A72F00" w:rsidRDefault="00A72F00" w:rsidP="00A72F00">
      <w:pPr>
        <w:pStyle w:val="ListParagraph"/>
        <w:numPr>
          <w:ilvl w:val="0"/>
          <w:numId w:val="4"/>
        </w:numPr>
      </w:pPr>
      <w:r>
        <w:lastRenderedPageBreak/>
        <w:t>The last criteria states that: “The conversion or re-use of a heritage asset would lead to its viable long-term safeguarding.”</w:t>
      </w:r>
    </w:p>
    <w:p w:rsidR="00A72F00" w:rsidRDefault="00A72F00" w:rsidP="00A72F00">
      <w:pPr>
        <w:pStyle w:val="ListParagraph"/>
        <w:ind w:left="1440"/>
      </w:pPr>
    </w:p>
    <w:p w:rsidR="00A72F00" w:rsidRDefault="00A72F00" w:rsidP="00A72F00">
      <w:pPr>
        <w:pStyle w:val="ListParagraph"/>
        <w:ind w:left="1440"/>
      </w:pPr>
      <w:r>
        <w:t xml:space="preserve">The Case Officer has stated that the architecture &amp; historic nature of the Goat Barn has merit, which is worthy of retention &amp; safeguarding. The fact that Council Officers &amp; the 2002 Appeal Inspector accept that its use for employment is inappropriate, makes a residential conversion the most viable option for the long-term safeguarding of the Goat Barn. Other uses have been eliminated on grounds of the adverse impact of additional traffic &amp; car parking provision, &amp; </w:t>
      </w:r>
      <w:proofErr w:type="spellStart"/>
      <w:r>
        <w:t>Marridge</w:t>
      </w:r>
      <w:proofErr w:type="spellEnd"/>
      <w:r>
        <w:t xml:space="preserve"> Hill being too small a settlement to support a tourist, cultural or community use, &amp; hence not a viable use.</w:t>
      </w:r>
    </w:p>
    <w:p w:rsidR="00A72F00" w:rsidRDefault="00A72F00" w:rsidP="00A72F00">
      <w:pPr>
        <w:pStyle w:val="ListParagraph"/>
        <w:ind w:left="1440"/>
      </w:pPr>
    </w:p>
    <w:p w:rsidR="00A72F00" w:rsidRDefault="00A72F00" w:rsidP="00A72F00">
      <w:pPr>
        <w:pStyle w:val="ListParagraph"/>
        <w:ind w:left="1440"/>
      </w:pPr>
      <w:r>
        <w:t>National Planning Policy Framework (NPPF), paragraph 84, states the exceptions to the development of isolated houses in the countryside:</w:t>
      </w:r>
    </w:p>
    <w:p w:rsidR="00A72F00" w:rsidRDefault="00A72F00" w:rsidP="00A72F00">
      <w:pPr>
        <w:pStyle w:val="ListParagraph"/>
        <w:ind w:left="1440"/>
      </w:pPr>
    </w:p>
    <w:p w:rsidR="00A72F00" w:rsidRDefault="00A72F00" w:rsidP="00A72F00">
      <w:pPr>
        <w:pStyle w:val="ListParagraph"/>
        <w:ind w:left="1440"/>
      </w:pPr>
      <w:r>
        <w:t>Paragraph 84</w:t>
      </w:r>
      <w:r w:rsidR="00043D4B">
        <w:t xml:space="preserve"> (b)</w:t>
      </w:r>
    </w:p>
    <w:p w:rsidR="00A72F00" w:rsidRDefault="00A72F00" w:rsidP="00A72F00">
      <w:pPr>
        <w:pStyle w:val="ListParagraph"/>
        <w:ind w:left="1440"/>
      </w:pPr>
      <w:r>
        <w:t xml:space="preserve">“the development would represent the optimal viable use of a heritage asset or would be appropriate enabling development to secure the future </w:t>
      </w:r>
      <w:proofErr w:type="gramStart"/>
      <w:r>
        <w:t>of  heritage</w:t>
      </w:r>
      <w:proofErr w:type="gramEnd"/>
      <w:r>
        <w:t xml:space="preserve"> assets.”</w:t>
      </w:r>
    </w:p>
    <w:p w:rsidR="00A72F00" w:rsidRDefault="00A72F00" w:rsidP="00A72F00">
      <w:pPr>
        <w:pStyle w:val="ListParagraph"/>
        <w:ind w:left="1440"/>
      </w:pPr>
      <w:r>
        <w:t xml:space="preserve"> </w:t>
      </w:r>
    </w:p>
    <w:p w:rsidR="00A72F00" w:rsidRDefault="00A72F00" w:rsidP="00A72F00">
      <w:pPr>
        <w:pStyle w:val="ListParagraph"/>
        <w:ind w:left="1440"/>
      </w:pPr>
      <w:r>
        <w:t>Paragraph 84</w:t>
      </w:r>
      <w:r w:rsidR="00043D4B">
        <w:t xml:space="preserve"> (c)</w:t>
      </w:r>
    </w:p>
    <w:p w:rsidR="00A72F00" w:rsidRDefault="00A72F00" w:rsidP="00A72F00">
      <w:pPr>
        <w:pStyle w:val="ListParagraph"/>
        <w:ind w:left="1440"/>
      </w:pPr>
      <w:r>
        <w:t>“</w:t>
      </w:r>
      <w:proofErr w:type="gramStart"/>
      <w:r>
        <w:t>the</w:t>
      </w:r>
      <w:proofErr w:type="gramEnd"/>
      <w:r>
        <w:t xml:space="preserve"> development would re-use redundant or disused buildings and enhance the immediate setting.”</w:t>
      </w:r>
    </w:p>
    <w:p w:rsidR="00575C8B" w:rsidRDefault="00575C8B"/>
    <w:p w:rsidR="00A72F00" w:rsidRDefault="00A72F00">
      <w:r>
        <w:t xml:space="preserve">                           It is concluded that the residential conversion of a building of architectural &amp;</w:t>
      </w:r>
    </w:p>
    <w:p w:rsidR="00A72F00" w:rsidRDefault="00A72F00">
      <w:r>
        <w:t xml:space="preserve">                           historic merit would lead to its viable long-term safeguarding</w:t>
      </w:r>
      <w:r w:rsidR="00043D4B">
        <w:t>, NPPF 84(b).</w:t>
      </w:r>
    </w:p>
    <w:p w:rsidR="00A72F00" w:rsidRDefault="00A72F00">
      <w:r>
        <w:t xml:space="preserve">                           The proposed residential use, with a sympathetic design &amp; landscaping that</w:t>
      </w:r>
    </w:p>
    <w:p w:rsidR="00A72F00" w:rsidRDefault="00A72F00">
      <w:r>
        <w:t xml:space="preserve">                           enhances the immediate setting, would comply with NPPF paragraph 84</w:t>
      </w:r>
      <w:r w:rsidR="00043D4B">
        <w:t xml:space="preserve"> (c).</w:t>
      </w:r>
    </w:p>
    <w:p w:rsidR="00A72F00" w:rsidRDefault="00A72F00"/>
    <w:p w:rsidR="00043D4B" w:rsidRDefault="00043D4B" w:rsidP="00043D4B">
      <w:pPr>
        <w:pStyle w:val="ListParagraph"/>
        <w:numPr>
          <w:ilvl w:val="0"/>
          <w:numId w:val="1"/>
        </w:numPr>
      </w:pPr>
      <w:r>
        <w:t>CONCLUSIONS.</w:t>
      </w:r>
    </w:p>
    <w:p w:rsidR="00043D4B" w:rsidRDefault="00043D4B" w:rsidP="00043D4B">
      <w:pPr>
        <w:pStyle w:val="ListParagraph"/>
      </w:pPr>
    </w:p>
    <w:p w:rsidR="00043D4B" w:rsidRDefault="00043D4B" w:rsidP="00A72F00">
      <w:pPr>
        <w:pStyle w:val="ListParagraph"/>
        <w:numPr>
          <w:ilvl w:val="1"/>
          <w:numId w:val="1"/>
        </w:numPr>
      </w:pPr>
      <w:r>
        <w:t>A</w:t>
      </w:r>
      <w:r w:rsidR="00A72F00">
        <w:t>ll five criteria in Core Strategy CP48 are met</w:t>
      </w:r>
      <w:r>
        <w:t>, for the reasons set out above.</w:t>
      </w:r>
    </w:p>
    <w:p w:rsidR="00043D4B" w:rsidRDefault="00043D4B" w:rsidP="00043D4B">
      <w:pPr>
        <w:pStyle w:val="ListParagraph"/>
      </w:pPr>
    </w:p>
    <w:p w:rsidR="00043D4B" w:rsidRDefault="00043D4B" w:rsidP="00043D4B">
      <w:pPr>
        <w:pStyle w:val="ListParagraph"/>
        <w:numPr>
          <w:ilvl w:val="1"/>
          <w:numId w:val="1"/>
        </w:numPr>
      </w:pPr>
      <w:r>
        <w:t>T</w:t>
      </w:r>
      <w:r w:rsidR="00A72F00">
        <w:t xml:space="preserve">he application for the conversion of the Goat Barn should be granted </w:t>
      </w:r>
      <w:r>
        <w:t xml:space="preserve">planning permission, </w:t>
      </w:r>
      <w:r w:rsidR="00A72F00">
        <w:t>as complying with the development plan,</w:t>
      </w:r>
      <w:r>
        <w:t xml:space="preserve"> Core Strategy Policy CP48,</w:t>
      </w:r>
    </w:p>
    <w:p w:rsidR="00A72F00" w:rsidRDefault="00043D4B" w:rsidP="00043D4B">
      <w:r>
        <w:t xml:space="preserve">            </w:t>
      </w:r>
      <w:r w:rsidR="00A72F00">
        <w:t xml:space="preserve"> and other material considerations in the NPPF paragraphs 11(d &amp; 84</w:t>
      </w:r>
      <w:r>
        <w:t xml:space="preserve"> (b) &amp; (c).</w:t>
      </w:r>
      <w:r w:rsidR="00A72F00">
        <w:t xml:space="preserve">   </w:t>
      </w:r>
    </w:p>
    <w:p w:rsidR="00A72F00" w:rsidRDefault="00A72F00">
      <w:r>
        <w:t xml:space="preserve">            </w:t>
      </w:r>
    </w:p>
    <w:p w:rsidR="00A72F00" w:rsidRDefault="00A72F00"/>
    <w:p w:rsidR="00A72F00" w:rsidRDefault="00A72F00"/>
    <w:p w:rsidR="00A72F00" w:rsidRDefault="00A72F00"/>
    <w:p w:rsidR="00A72F00" w:rsidRDefault="00A72F00"/>
    <w:p w:rsidR="00A72F00" w:rsidRDefault="00A72F00"/>
    <w:p w:rsidR="00A72F00" w:rsidRDefault="00A72F00"/>
    <w:p w:rsidR="00A72F00" w:rsidRDefault="00A72F00"/>
    <w:p w:rsidR="00A72F00" w:rsidRDefault="00A72F00">
      <w:r>
        <w:t xml:space="preserve">                                                                     5.              </w:t>
      </w:r>
    </w:p>
    <w:sectPr w:rsidR="00A72F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A04315"/>
    <w:multiLevelType w:val="multilevel"/>
    <w:tmpl w:val="FA44AEF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2CA62153"/>
    <w:multiLevelType w:val="hybridMultilevel"/>
    <w:tmpl w:val="0F84B4DE"/>
    <w:lvl w:ilvl="0" w:tplc="B114D34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4B122D49"/>
    <w:multiLevelType w:val="hybridMultilevel"/>
    <w:tmpl w:val="148EF012"/>
    <w:lvl w:ilvl="0" w:tplc="20D62BE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5116770C"/>
    <w:multiLevelType w:val="hybridMultilevel"/>
    <w:tmpl w:val="8DB4ABFE"/>
    <w:lvl w:ilvl="0" w:tplc="1814324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281570933">
    <w:abstractNumId w:val="0"/>
  </w:num>
  <w:num w:numId="2" w16cid:durableId="1399670785">
    <w:abstractNumId w:val="2"/>
  </w:num>
  <w:num w:numId="3" w16cid:durableId="697662194">
    <w:abstractNumId w:val="1"/>
  </w:num>
  <w:num w:numId="4" w16cid:durableId="12134269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6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C8B"/>
    <w:rsid w:val="00043D4B"/>
    <w:rsid w:val="002A7709"/>
    <w:rsid w:val="002E0F38"/>
    <w:rsid w:val="00575C8B"/>
    <w:rsid w:val="005E38D8"/>
    <w:rsid w:val="00A125A9"/>
    <w:rsid w:val="00A72F00"/>
    <w:rsid w:val="00B56BCF"/>
    <w:rsid w:val="00E220B9"/>
    <w:rsid w:val="00E27C39"/>
    <w:rsid w:val="00E9034B"/>
    <w:rsid w:val="00EE34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0BAE9AA"/>
  <w15:chartTrackingRefBased/>
  <w15:docId w15:val="{21053522-C1E0-A243-A930-1A2CAC0C5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5C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1898</Words>
  <Characters>9759</Characters>
  <Application>Microsoft Office Word</Application>
  <DocSecurity>0</DocSecurity>
  <Lines>390</Lines>
  <Paragraphs>164</Paragraphs>
  <ScaleCrop>false</ScaleCrop>
  <Company/>
  <LinksUpToDate>false</LinksUpToDate>
  <CharactersWithSpaces>11493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 Turnbull</dc:creator>
  <cp:keywords/>
  <dc:description/>
  <cp:lastModifiedBy>Roger Turnbull</cp:lastModifiedBy>
  <cp:revision>2</cp:revision>
  <dcterms:created xsi:type="dcterms:W3CDTF">2026-06-19T12:13:00Z</dcterms:created>
  <dcterms:modified xsi:type="dcterms:W3CDTF">2026-06-19T12:13:00Z</dcterms:modified>
</cp:coreProperties>
</file>