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ED557"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3B1B1D7B" w14:textId="77777777" w:rsidR="00013844" w:rsidRDefault="00013844" w:rsidP="00A53926">
      <w:pPr>
        <w:spacing w:after="120"/>
        <w:jc w:val="right"/>
        <w:rPr>
          <w:rFonts w:cs="Arial"/>
          <w:b/>
          <w:bCs/>
          <w:sz w:val="28"/>
          <w:szCs w:val="28"/>
        </w:rPr>
      </w:pPr>
    </w:p>
    <w:p w14:paraId="1A46DE57" w14:textId="77777777" w:rsidR="00013844" w:rsidRDefault="00013844" w:rsidP="00874647">
      <w:pPr>
        <w:spacing w:after="120"/>
        <w:jc w:val="center"/>
        <w:rPr>
          <w:rFonts w:cs="Arial"/>
          <w:b/>
          <w:bCs/>
          <w:sz w:val="28"/>
          <w:szCs w:val="28"/>
        </w:rPr>
      </w:pPr>
    </w:p>
    <w:p w14:paraId="2BCC5D3D"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5A21B863"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Refusal of Householder Planning Permission</w:t>
      </w:r>
    </w:p>
    <w:p w14:paraId="5AAB95E4"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PL/2026/02710</w:t>
      </w:r>
    </w:p>
    <w:p w14:paraId="03A22333"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06/07/2026</w:t>
      </w:r>
    </w:p>
    <w:p w14:paraId="7E2D070F"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7E2DC866" w14:textId="77777777" w:rsidTr="00D347C8">
        <w:tc>
          <w:tcPr>
            <w:tcW w:w="1963" w:type="pct"/>
          </w:tcPr>
          <w:p w14:paraId="2074B8BF"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8E03940" w14:textId="77777777" w:rsidR="00242DFF" w:rsidRPr="00D4253A" w:rsidRDefault="00C779F8" w:rsidP="00D347C8">
            <w:r w:rsidRPr="00C779F8">
              <w:t>Mr Satinder  Dhaliwal</w:t>
            </w:r>
          </w:p>
          <w:p w14:paraId="0D011921" w14:textId="77777777" w:rsidR="00242DFF" w:rsidRPr="00D4253A" w:rsidRDefault="0038545B" w:rsidP="00D347C8">
            <w:r w:rsidRPr="0038545B">
              <w:t>2 Rosedale Gardens , Trowbridge, Wiltshire, BA14 9TL</w:t>
            </w:r>
          </w:p>
        </w:tc>
      </w:tr>
      <w:tr w:rsidR="00242DFF" w14:paraId="30461DA4" w14:textId="77777777" w:rsidTr="00D347C8">
        <w:tc>
          <w:tcPr>
            <w:tcW w:w="1963" w:type="pct"/>
          </w:tcPr>
          <w:p w14:paraId="3D6DE0D9" w14:textId="77777777" w:rsidR="00242DFF" w:rsidRPr="00D347C8" w:rsidRDefault="00242DFF" w:rsidP="00242DFF">
            <w:pPr>
              <w:rPr>
                <w:rFonts w:cs="Arial"/>
              </w:rPr>
            </w:pPr>
            <w:r w:rsidRPr="00D347C8">
              <w:rPr>
                <w:rFonts w:cs="Arial"/>
                <w:b/>
                <w:bCs/>
              </w:rPr>
              <w:t>Particulars of</w:t>
            </w:r>
            <w:r w:rsidR="00D347C8" w:rsidRPr="00D347C8">
              <w:rPr>
                <w:rFonts w:cs="Arial"/>
                <w:b/>
                <w:bCs/>
              </w:rPr>
              <w:t xml:space="preserve"> </w:t>
            </w:r>
            <w:r w:rsidRPr="00D347C8">
              <w:rPr>
                <w:rFonts w:cs="Arial"/>
                <w:b/>
                <w:bCs/>
              </w:rPr>
              <w:t>Development:</w:t>
            </w:r>
          </w:p>
        </w:tc>
        <w:tc>
          <w:tcPr>
            <w:tcW w:w="3037" w:type="pct"/>
          </w:tcPr>
          <w:p w14:paraId="3B57BEF9" w14:textId="77777777" w:rsidR="00242DFF" w:rsidRPr="00D4253A" w:rsidRDefault="00242DFF" w:rsidP="00D347C8">
            <w:r w:rsidRPr="00D4253A">
              <w:t>Retrospective application to regularise external render and slate roof, along with proposed dropped kerb to facilitate two off-street parking bays.</w:t>
            </w:r>
          </w:p>
        </w:tc>
      </w:tr>
      <w:tr w:rsidR="00242DFF" w14:paraId="46B18A98" w14:textId="77777777" w:rsidTr="00D347C8">
        <w:tc>
          <w:tcPr>
            <w:tcW w:w="1963" w:type="pct"/>
          </w:tcPr>
          <w:p w14:paraId="0CEBE57D" w14:textId="77777777" w:rsidR="00242DFF" w:rsidRPr="00D347C8" w:rsidRDefault="00242DFF" w:rsidP="00242DFF">
            <w:pPr>
              <w:rPr>
                <w:rFonts w:cs="Arial"/>
                <w:b/>
                <w:bCs/>
              </w:rPr>
            </w:pPr>
            <w:r w:rsidRPr="00D347C8">
              <w:rPr>
                <w:rFonts w:cs="Arial"/>
                <w:b/>
                <w:bCs/>
              </w:rPr>
              <w:t>At:</w:t>
            </w:r>
          </w:p>
        </w:tc>
        <w:tc>
          <w:tcPr>
            <w:tcW w:w="3037" w:type="pct"/>
          </w:tcPr>
          <w:p w14:paraId="50CF95C5" w14:textId="77777777" w:rsidR="00242DFF" w:rsidRPr="009B3AF8" w:rsidRDefault="00242DFF" w:rsidP="00D347C8">
            <w:r w:rsidRPr="00D4253A">
              <w:t>66 Frome Road, Trowbridge, BA14 0DG</w:t>
            </w:r>
          </w:p>
        </w:tc>
      </w:tr>
    </w:tbl>
    <w:p w14:paraId="241ED5DE" w14:textId="77777777" w:rsidR="00CD14C2" w:rsidRDefault="00CD14C2" w:rsidP="007D0800">
      <w:pPr>
        <w:spacing w:after="0" w:line="240" w:lineRule="auto"/>
        <w:rPr>
          <w:rFonts w:cs="Arial"/>
          <w:sz w:val="24"/>
          <w:szCs w:val="24"/>
        </w:rPr>
      </w:pPr>
    </w:p>
    <w:p w14:paraId="4DFF67A9" w14:textId="77777777" w:rsidR="00000000" w:rsidRDefault="00000000">
      <w:pPr>
        <w:pStyle w:val="NormalWeb"/>
        <w:divId w:val="1570263917"/>
        <w:rPr>
          <w:rFonts w:ascii="Arial" w:hAnsi="Arial" w:cs="Arial"/>
          <w:color w:val="000000"/>
          <w:sz w:val="22"/>
          <w:szCs w:val="22"/>
        </w:rPr>
      </w:pPr>
      <w:r>
        <w:rPr>
          <w:rStyle w:val="Strong"/>
          <w:rFonts w:ascii="Arial" w:hAnsi="Arial" w:cs="Arial"/>
          <w:color w:val="000000"/>
          <w:sz w:val="22"/>
          <w:szCs w:val="22"/>
        </w:rPr>
        <w:t>In pursuance of their powers under the above Act, the Council hereby REFUSE TO GRANT PERMISSION for the development referred to in the above application and plans submitted by you, for the following reason(s):</w:t>
      </w:r>
    </w:p>
    <w:p w14:paraId="5A389935"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9026"/>
      </w:tblGrid>
      <w:tr w:rsidR="009A33F3" w:rsidRPr="001523BC" w14:paraId="4EFFC090" w14:textId="77777777" w:rsidTr="009B3AF8">
        <w:tc>
          <w:tcPr>
            <w:tcW w:w="5000" w:type="pct"/>
            <w:hideMark/>
          </w:tcPr>
          <w:p w14:paraId="485A65CA" w14:textId="77777777" w:rsidR="009A33F3" w:rsidRPr="001523BC" w:rsidRDefault="009A33F3" w:rsidP="00F556E8">
            <w:pPr>
              <w:pStyle w:val="NoSpacing"/>
              <w:spacing w:line="276" w:lineRule="auto"/>
              <w:rPr>
                <w:rFonts w:ascii="Arial" w:hAnsi="Arial" w:cs="Arial"/>
                <w:sz w:val="24"/>
                <w:szCs w:val="24"/>
                <w:lang w:val="en-US"/>
              </w:rPr>
            </w:pPr>
          </w:p>
        </w:tc>
      </w:tr>
    </w:tbl>
    <w:p w14:paraId="448B2768" w14:textId="77777777" w:rsidR="003C361A" w:rsidRPr="001523BC" w:rsidRDefault="003C361A" w:rsidP="003C361A">
      <w:pPr>
        <w:pStyle w:val="NoSpacing"/>
        <w:spacing w:line="276" w:lineRule="auto"/>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1E44681E" w14:textId="77777777" w:rsidTr="009B3AF8">
        <w:tc>
          <w:tcPr>
            <w:tcW w:w="5000" w:type="pct"/>
            <w:gridSpan w:val="2"/>
            <w:hideMark/>
          </w:tcPr>
          <w:p w14:paraId="2973AB7B" w14:textId="2D715837" w:rsidR="00C25B5D" w:rsidRPr="00D347C8" w:rsidRDefault="00C25B5D" w:rsidP="00D347C8">
            <w:pPr>
              <w:rPr>
                <w:b/>
                <w:bCs/>
              </w:rPr>
            </w:pPr>
            <w:r w:rsidRPr="00D347C8">
              <w:rPr>
                <w:b/>
                <w:bCs/>
              </w:rPr>
              <w:t>Refusal Reason</w:t>
            </w:r>
            <w:r w:rsidR="006D3574">
              <w:rPr>
                <w:b/>
                <w:bCs/>
              </w:rPr>
              <w:t>s</w:t>
            </w:r>
          </w:p>
          <w:p w14:paraId="55865A56" w14:textId="77777777" w:rsidR="00B408A6" w:rsidRPr="001523BC" w:rsidRDefault="00B408A6" w:rsidP="00F556E8">
            <w:pPr>
              <w:pStyle w:val="NoSpacing"/>
              <w:spacing w:line="276" w:lineRule="auto"/>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16A2F348" w14:textId="77777777" w:rsidTr="009B3AF8">
        <w:tc>
          <w:tcPr>
            <w:tcW w:w="390" w:type="pct"/>
            <w:hideMark/>
          </w:tcPr>
          <w:p w14:paraId="415AF654" w14:textId="77777777" w:rsidR="00B408A6" w:rsidRPr="00D347C8" w:rsidRDefault="00B408A6" w:rsidP="00D347C8">
            <w:pPr>
              <w:rPr>
                <w:b/>
                <w:bCs/>
              </w:rPr>
            </w:pPr>
            <w:r w:rsidRPr="00D347C8">
              <w:rPr>
                <w:b/>
                <w:bCs/>
              </w:rPr>
              <w:t>1</w:t>
            </w:r>
          </w:p>
          <w:p w14:paraId="59A8CD87" w14:textId="77777777" w:rsidR="00B408A6" w:rsidRPr="00D347C8" w:rsidRDefault="00B408A6" w:rsidP="00D347C8">
            <w:pPr>
              <w:rPr>
                <w:b/>
                <w:bCs/>
                <w:lang w:val="en-US"/>
              </w:rPr>
            </w:pPr>
          </w:p>
        </w:tc>
        <w:tc>
          <w:tcPr>
            <w:tcW w:w="4610" w:type="pct"/>
            <w:hideMark/>
          </w:tcPr>
          <w:p w14:paraId="5B963486" w14:textId="1ECAF248" w:rsidR="00000000" w:rsidRDefault="00000000">
            <w:pPr>
              <w:pStyle w:val="NormalWeb"/>
              <w:divId w:val="1911964406"/>
              <w:rPr>
                <w:rFonts w:ascii="Arial" w:hAnsi="Arial" w:cs="Arial"/>
                <w:color w:val="000000"/>
                <w:sz w:val="22"/>
                <w:szCs w:val="22"/>
              </w:rPr>
            </w:pPr>
            <w:r>
              <w:rPr>
                <w:rFonts w:ascii="Arial" w:hAnsi="Arial" w:cs="Arial"/>
                <w:color w:val="000000"/>
                <w:sz w:val="22"/>
                <w:szCs w:val="22"/>
              </w:rPr>
              <w:t>The proposed development, by reason of its unsympathetic and incongruous design, use of materials and impact on architectural detailing, would fail to preserve or enhance the character and appearance of the Conservation Area, the setting of a listed building nor the terraced setting of the non-designated heritage asset itself. The proposal would cause less than substantial harm to the significance of the heritage assets and no clear and convincing justification or public benefit has been demonstrated to outweigh this harm.</w:t>
            </w:r>
          </w:p>
          <w:p w14:paraId="2C69E926" w14:textId="77777777" w:rsidR="00000000" w:rsidRDefault="00000000">
            <w:pPr>
              <w:pStyle w:val="NormalWeb"/>
              <w:divId w:val="1911964406"/>
              <w:rPr>
                <w:rFonts w:ascii="Arial" w:hAnsi="Arial" w:cs="Arial"/>
                <w:color w:val="000000"/>
                <w:sz w:val="22"/>
                <w:szCs w:val="22"/>
              </w:rPr>
            </w:pPr>
            <w:r>
              <w:rPr>
                <w:rFonts w:ascii="Arial" w:hAnsi="Arial" w:cs="Arial"/>
                <w:color w:val="000000"/>
                <w:sz w:val="22"/>
                <w:szCs w:val="22"/>
              </w:rPr>
              <w:t>The proposal is therefore contrary to Core Policies 57 and 58 of the Wiltshire Core Strategy (2015), Sections 66(1) and 72(1) of the Planning (Listed Buildings and Conservation Areas) Act 1990, and Chapter 16 of the National Planning Policy Framework, which collectively require development to conserve heritage assets in a manner appropriate to their significance.</w:t>
            </w:r>
          </w:p>
          <w:p w14:paraId="762222EE" w14:textId="77777777" w:rsidR="00B408A6" w:rsidRPr="00FA59D5" w:rsidRDefault="00B408A6" w:rsidP="00F556E8">
            <w:pPr>
              <w:pStyle w:val="NoSpacing"/>
              <w:spacing w:line="276" w:lineRule="auto"/>
              <w:rPr>
                <w:rFonts w:ascii="Arial" w:hAnsi="Arial" w:cs="Arial"/>
                <w:sz w:val="24"/>
                <w:szCs w:val="24"/>
                <w:lang w:val="en-US"/>
              </w:rPr>
            </w:pPr>
          </w:p>
        </w:tc>
      </w:tr>
      <w:tr w:rsidR="00B408A6" w:rsidRPr="001523BC" w14:paraId="39771F81" w14:textId="77777777" w:rsidTr="009B3AF8">
        <w:tc>
          <w:tcPr>
            <w:tcW w:w="390" w:type="pct"/>
            <w:hideMark/>
          </w:tcPr>
          <w:p w14:paraId="0E14A616" w14:textId="77777777" w:rsidR="00B408A6" w:rsidRPr="00D347C8" w:rsidRDefault="00B408A6" w:rsidP="00D347C8">
            <w:pPr>
              <w:rPr>
                <w:b/>
                <w:bCs/>
              </w:rPr>
            </w:pPr>
            <w:r w:rsidRPr="00D347C8">
              <w:rPr>
                <w:b/>
                <w:bCs/>
              </w:rPr>
              <w:t>2</w:t>
            </w:r>
          </w:p>
          <w:p w14:paraId="49345376" w14:textId="77777777" w:rsidR="00B408A6" w:rsidRPr="00D347C8" w:rsidRDefault="00B408A6" w:rsidP="00D347C8">
            <w:pPr>
              <w:rPr>
                <w:b/>
                <w:bCs/>
                <w:lang w:val="en-US"/>
              </w:rPr>
            </w:pPr>
          </w:p>
        </w:tc>
        <w:tc>
          <w:tcPr>
            <w:tcW w:w="4610" w:type="pct"/>
            <w:hideMark/>
          </w:tcPr>
          <w:p w14:paraId="07A00F59" w14:textId="12D1CF88" w:rsidR="00000000" w:rsidRDefault="00000000">
            <w:pPr>
              <w:pStyle w:val="NormalWeb"/>
              <w:divId w:val="1274242322"/>
              <w:rPr>
                <w:rFonts w:ascii="Arial" w:hAnsi="Arial" w:cs="Arial"/>
                <w:color w:val="000000"/>
                <w:sz w:val="22"/>
                <w:szCs w:val="22"/>
              </w:rPr>
            </w:pPr>
            <w:r>
              <w:rPr>
                <w:rFonts w:ascii="Arial" w:hAnsi="Arial" w:cs="Arial"/>
                <w:color w:val="000000"/>
                <w:sz w:val="22"/>
                <w:szCs w:val="22"/>
              </w:rPr>
              <w:t>The proposed development, by reason of its inadequate access and failure to meet visibility requirements, would result in an unacceptable impact on highway safety including severe impact to both road users and pedestrians.</w:t>
            </w:r>
          </w:p>
          <w:p w14:paraId="22798F3E" w14:textId="77777777" w:rsidR="00000000" w:rsidRDefault="00000000">
            <w:pPr>
              <w:pStyle w:val="NormalWeb"/>
              <w:divId w:val="1274242322"/>
              <w:rPr>
                <w:rFonts w:ascii="Arial" w:hAnsi="Arial" w:cs="Arial"/>
                <w:color w:val="000000"/>
                <w:sz w:val="22"/>
                <w:szCs w:val="22"/>
              </w:rPr>
            </w:pPr>
            <w:r>
              <w:rPr>
                <w:rFonts w:ascii="Arial" w:hAnsi="Arial" w:cs="Arial"/>
                <w:color w:val="000000"/>
                <w:sz w:val="22"/>
                <w:szCs w:val="22"/>
              </w:rPr>
              <w:t xml:space="preserve">As such, the proposal is contrary to Core Policies 57 (xiv), 61 and 64 of the Wiltshire Core Strategy (2015), and paragraphs 115 and 116 of the National </w:t>
            </w:r>
            <w:r>
              <w:rPr>
                <w:rFonts w:ascii="Arial" w:hAnsi="Arial" w:cs="Arial"/>
                <w:color w:val="000000"/>
                <w:sz w:val="22"/>
                <w:szCs w:val="22"/>
              </w:rPr>
              <w:lastRenderedPageBreak/>
              <w:t>Planning Policy Framework, which collectively require development to be safely accessed and not have an unacceptable impact on highway safety.</w:t>
            </w:r>
          </w:p>
          <w:p w14:paraId="2C79030F" w14:textId="77777777" w:rsidR="00B408A6" w:rsidRPr="00FA59D5" w:rsidRDefault="00B408A6" w:rsidP="00F556E8">
            <w:pPr>
              <w:pStyle w:val="NoSpacing"/>
              <w:spacing w:line="276" w:lineRule="auto"/>
              <w:rPr>
                <w:rFonts w:ascii="Arial" w:hAnsi="Arial" w:cs="Arial"/>
                <w:sz w:val="24"/>
                <w:szCs w:val="24"/>
                <w:lang w:val="en-US"/>
              </w:rPr>
            </w:pPr>
          </w:p>
        </w:tc>
      </w:tr>
      <w:tr w:rsidR="00B408A6" w:rsidRPr="001523BC" w14:paraId="0D0B229D" w14:textId="77777777" w:rsidTr="009B3AF8">
        <w:tc>
          <w:tcPr>
            <w:tcW w:w="390" w:type="pct"/>
            <w:hideMark/>
          </w:tcPr>
          <w:p w14:paraId="50940E75" w14:textId="77777777" w:rsidR="00B408A6" w:rsidRPr="00D347C8" w:rsidRDefault="00B408A6" w:rsidP="00D347C8">
            <w:pPr>
              <w:rPr>
                <w:b/>
                <w:bCs/>
              </w:rPr>
            </w:pPr>
            <w:r w:rsidRPr="00D347C8">
              <w:rPr>
                <w:b/>
                <w:bCs/>
              </w:rPr>
              <w:lastRenderedPageBreak/>
              <w:t>3</w:t>
            </w:r>
          </w:p>
          <w:p w14:paraId="5AFB768B" w14:textId="77777777" w:rsidR="00B408A6" w:rsidRPr="00D347C8" w:rsidRDefault="00B408A6" w:rsidP="00D347C8">
            <w:pPr>
              <w:rPr>
                <w:b/>
                <w:bCs/>
                <w:lang w:val="en-US"/>
              </w:rPr>
            </w:pPr>
          </w:p>
        </w:tc>
        <w:tc>
          <w:tcPr>
            <w:tcW w:w="4610" w:type="pct"/>
            <w:hideMark/>
          </w:tcPr>
          <w:p w14:paraId="182D1498" w14:textId="7CADFB4A" w:rsidR="00000000" w:rsidRDefault="00000000">
            <w:pPr>
              <w:pStyle w:val="NormalWeb"/>
              <w:divId w:val="1835729413"/>
              <w:rPr>
                <w:rFonts w:ascii="Arial" w:hAnsi="Arial" w:cs="Arial"/>
                <w:color w:val="000000"/>
                <w:sz w:val="22"/>
                <w:szCs w:val="22"/>
              </w:rPr>
            </w:pPr>
            <w:r>
              <w:rPr>
                <w:rFonts w:ascii="Arial" w:hAnsi="Arial" w:cs="Arial"/>
                <w:color w:val="000000"/>
                <w:sz w:val="22"/>
                <w:szCs w:val="22"/>
              </w:rPr>
              <w:t>The proposed development, by reason of its unsympathetic and incongruous design, use of materials and impact on architectural detailing, would result in a form of development that fails to respond positively to the character, context and distinctiveness of the host dwelling and its setting but rather actively harms it. The proposal would appear unsympathetic to the character of the area and would detract from the visual amenity of the surrounding area.</w:t>
            </w:r>
          </w:p>
          <w:p w14:paraId="147BD088" w14:textId="77777777" w:rsidR="00000000" w:rsidRDefault="00000000">
            <w:pPr>
              <w:pStyle w:val="NormalWeb"/>
              <w:divId w:val="1835729413"/>
              <w:rPr>
                <w:rFonts w:ascii="Arial" w:hAnsi="Arial" w:cs="Arial"/>
                <w:color w:val="000000"/>
                <w:sz w:val="22"/>
                <w:szCs w:val="22"/>
              </w:rPr>
            </w:pPr>
            <w:r>
              <w:rPr>
                <w:rFonts w:ascii="Arial" w:hAnsi="Arial" w:cs="Arial"/>
                <w:color w:val="000000"/>
                <w:sz w:val="22"/>
                <w:szCs w:val="22"/>
              </w:rPr>
              <w:t>As such, the proposal is contrary to Core Policy 57 (i and iii) of the Wiltshire Core Strategy (2015), the design principles set out in Appendix D of the Wiltshire Design Guide SPD, and paragraphs 131 and 135 of the National Planning Policy Framework, which collectively seek to ensure high-quality design that respects local character and integrates appropriately with its surroundings.</w:t>
            </w:r>
          </w:p>
          <w:p w14:paraId="6CFBA58E" w14:textId="77777777" w:rsidR="00B408A6" w:rsidRPr="00FA59D5" w:rsidRDefault="00B408A6" w:rsidP="00F556E8">
            <w:pPr>
              <w:pStyle w:val="NoSpacing"/>
              <w:spacing w:line="276" w:lineRule="auto"/>
              <w:rPr>
                <w:rFonts w:ascii="Arial" w:hAnsi="Arial" w:cs="Arial"/>
                <w:sz w:val="24"/>
                <w:szCs w:val="24"/>
                <w:lang w:val="en-US"/>
              </w:rPr>
            </w:pPr>
          </w:p>
        </w:tc>
      </w:tr>
    </w:tbl>
    <w:p w14:paraId="7F3B9568" w14:textId="77777777" w:rsidR="009B3AF8" w:rsidRDefault="009B3AF8" w:rsidP="00013844">
      <w:pPr>
        <w:spacing w:after="120"/>
        <w:rPr>
          <w:rFonts w:ascii="Lucida Handwriting" w:hAnsi="Lucida Handwriting" w:cs="Arial"/>
          <w:b/>
          <w:bCs/>
          <w:sz w:val="28"/>
          <w:szCs w:val="28"/>
        </w:rPr>
      </w:pPr>
    </w:p>
    <w:p w14:paraId="2BDFB5B6"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404AD591" w14:textId="77777777" w:rsidR="00013844" w:rsidRDefault="00013844">
      <w:pPr>
        <w:rPr>
          <w:rFonts w:cs="Arial"/>
          <w:sz w:val="24"/>
          <w:szCs w:val="24"/>
        </w:rPr>
      </w:pPr>
      <w:r>
        <w:rPr>
          <w:rFonts w:cs="Arial"/>
          <w:sz w:val="24"/>
          <w:szCs w:val="24"/>
        </w:rPr>
        <w:br w:type="page"/>
      </w:r>
    </w:p>
    <w:p w14:paraId="11EFFC56" w14:textId="77777777" w:rsidR="00000000" w:rsidRDefault="00000000">
      <w:pPr>
        <w:pStyle w:val="NormalWeb"/>
        <w:divId w:val="1183519516"/>
        <w:rPr>
          <w:rFonts w:ascii="Arial" w:hAnsi="Arial" w:cs="Arial"/>
          <w:color w:val="000000"/>
          <w:sz w:val="22"/>
          <w:szCs w:val="22"/>
        </w:rPr>
      </w:pPr>
      <w:r>
        <w:rPr>
          <w:rStyle w:val="Strong"/>
          <w:rFonts w:ascii="Arial" w:hAnsi="Arial" w:cs="Arial"/>
          <w:color w:val="000000"/>
          <w:sz w:val="22"/>
          <w:szCs w:val="22"/>
        </w:rPr>
        <w:lastRenderedPageBreak/>
        <w:t>NOTES</w:t>
      </w:r>
    </w:p>
    <w:p w14:paraId="3EB02EDB" w14:textId="77777777" w:rsidR="00FD355F" w:rsidRDefault="00000000">
      <w:pPr>
        <w:numPr>
          <w:ilvl w:val="0"/>
          <w:numId w:val="1"/>
        </w:numPr>
        <w:spacing w:before="100" w:beforeAutospacing="1" w:after="100" w:afterAutospacing="1" w:line="240" w:lineRule="auto"/>
        <w:divId w:val="1183519516"/>
        <w:rPr>
          <w:rFonts w:eastAsia="Times New Roman" w:cs="Arial"/>
          <w:color w:val="000000"/>
        </w:rPr>
      </w:pPr>
      <w:r>
        <w:rPr>
          <w:rStyle w:val="Strong"/>
          <w:rFonts w:eastAsia="Times New Roman" w:cs="Arial"/>
          <w:color w:val="000000"/>
        </w:rPr>
        <w:t>Appeals.</w:t>
      </w:r>
      <w:r>
        <w:rPr>
          <w:rFonts w:eastAsia="Times New Roman" w:cs="Arial"/>
          <w:color w:val="000000"/>
        </w:rPr>
        <w:t xml:space="preserve"> If the applicant is aggrieved by the decision of the local planning authority to refuse permission, he may appeal to the Secretary of State for the Environment in accordance with Section 78(1) of the Town and Country Planning Act 1990 within 12 weeks of the date of this decision.  (Information and forms relating to the appeals process can be found at the Planning Portal - </w:t>
      </w:r>
      <w:hyperlink r:id="rId9" w:history="1">
        <w:r>
          <w:rPr>
            <w:rStyle w:val="Hyperlink"/>
            <w:rFonts w:eastAsia="Times New Roman" w:cs="Arial"/>
          </w:rPr>
          <w:t>Appeal a householder planning decision: Overview - GOV.UK (www.gov.uk)</w:t>
        </w:r>
      </w:hyperlink>
      <w:r>
        <w:rPr>
          <w:rFonts w:eastAsia="Times New Roman" w:cs="Arial"/>
          <w:color w:val="000000"/>
        </w:rPr>
        <w:t>).</w:t>
      </w:r>
    </w:p>
    <w:sectPr w:rsidR="00FD355F"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altName w:val="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E43F80"/>
    <w:multiLevelType w:val="multilevel"/>
    <w:tmpl w:val="30D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6616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802F5"/>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3574"/>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B69AE"/>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355F"/>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0F8B1"/>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83519516">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74242322">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263917">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35729413">
      <w:bodyDiv w:val="1"/>
      <w:marLeft w:val="0"/>
      <w:marRight w:val="0"/>
      <w:marTop w:val="0"/>
      <w:marBottom w:val="0"/>
      <w:divBdr>
        <w:top w:val="none" w:sz="0" w:space="0" w:color="auto"/>
        <w:left w:val="none" w:sz="0" w:space="0" w:color="auto"/>
        <w:bottom w:val="none" w:sz="0" w:space="0" w:color="auto"/>
        <w:right w:val="none" w:sz="0" w:space="0" w:color="auto"/>
      </w:divBdr>
    </w:div>
    <w:div w:id="191196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appeal-householder-planning-dec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2.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salesforceId:24eb343a-e5b1-476f-81bd-ccf87e26ca3d</dc:subject>
  <dc:creator>Philip Skill</dc:creator>
  <cp:keywords/>
  <dc:description/>
  <cp:lastModifiedBy>Brown, Russell</cp:lastModifiedBy>
  <cp:revision>3</cp:revision>
  <dcterms:created xsi:type="dcterms:W3CDTF">2026-07-02T15:10:00Z</dcterms:created>
  <dcterms:modified xsi:type="dcterms:W3CDTF">2026-07-06T13:36:00Z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069Q300000RHgUkIAL</vt:lpwstr>
  </property>
</Properties>
</file>