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A230" w14:textId="0C800B81" w:rsidR="00833FBE" w:rsidRDefault="00833FBE" w:rsidP="00833FBE">
      <w:pPr>
        <w:spacing w:before="100" w:beforeAutospacing="1" w:after="100" w:afterAutospacing="1" w:line="240" w:lineRule="auto"/>
        <w:jc w:val="center"/>
        <w:rPr>
          <w:rFonts w:eastAsia="Times New Roman" w:cs="Times New Roman"/>
          <w:kern w:val="0"/>
          <w:lang w:eastAsia="en-GB"/>
          <w14:ligatures w14:val="none"/>
        </w:rPr>
      </w:pPr>
      <w:r>
        <w:rPr>
          <w:noProof/>
        </w:rPr>
        <w:drawing>
          <wp:inline distT="0" distB="0" distL="0" distR="0" wp14:anchorId="27460518" wp14:editId="443E2A28">
            <wp:extent cx="2290355" cy="894409"/>
            <wp:effectExtent l="0" t="0" r="0" b="1270"/>
            <wp:docPr id="11" name="Picture 10">
              <a:extLst xmlns:a="http://schemas.openxmlformats.org/drawingml/2006/main">
                <a:ext uri="{FF2B5EF4-FFF2-40B4-BE49-F238E27FC236}">
                  <a16:creationId xmlns:a16="http://schemas.microsoft.com/office/drawing/2014/main" id="{B3D46125-87A9-0848-F49E-FF91A2CA8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B3D46125-87A9-0848-F49E-FF91A2CA8A41}"/>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290355" cy="894409"/>
                    </a:xfrm>
                    <a:prstGeom prst="rect">
                      <a:avLst/>
                    </a:prstGeom>
                  </pic:spPr>
                </pic:pic>
              </a:graphicData>
            </a:graphic>
          </wp:inline>
        </w:drawing>
      </w:r>
    </w:p>
    <w:p w14:paraId="2CEBF4C1" w14:textId="7B9BD043" w:rsidR="00833FBE" w:rsidRPr="00833FBE" w:rsidRDefault="00833FBE" w:rsidP="00833FBE">
      <w:pPr>
        <w:pBdr>
          <w:bottom w:val="single" w:sz="4" w:space="1" w:color="000000"/>
        </w:pBdr>
        <w:spacing w:before="100" w:beforeAutospacing="1" w:after="100" w:afterAutospacing="1" w:line="240" w:lineRule="auto"/>
        <w:rPr>
          <w:rFonts w:eastAsia="Times New Roman" w:cs="Times New Roman"/>
          <w:kern w:val="0"/>
          <w:sz w:val="32"/>
          <w:szCs w:val="32"/>
          <w:lang w:eastAsia="en-GB"/>
          <w14:ligatures w14:val="none"/>
        </w:rPr>
      </w:pPr>
      <w:r w:rsidRPr="00833FBE">
        <w:rPr>
          <w:rFonts w:eastAsia="Times New Roman" w:cs="Times New Roman"/>
          <w:kern w:val="0"/>
          <w:sz w:val="32"/>
          <w:szCs w:val="32"/>
          <w:lang w:eastAsia="en-GB"/>
          <w14:ligatures w14:val="none"/>
        </w:rPr>
        <w:t>Heritage Justification Addendum</w:t>
      </w:r>
    </w:p>
    <w:p w14:paraId="043FDDA8"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b/>
          <w:bCs/>
          <w:kern w:val="0"/>
          <w:lang w:eastAsia="en-GB"/>
          <w14:ligatures w14:val="none"/>
        </w:rPr>
        <w:t xml:space="preserve">The Old Rectory, North </w:t>
      </w:r>
      <w:proofErr w:type="spellStart"/>
      <w:r w:rsidRPr="00833FBE">
        <w:rPr>
          <w:rFonts w:eastAsia="Times New Roman" w:cs="Times New Roman"/>
          <w:b/>
          <w:bCs/>
          <w:kern w:val="0"/>
          <w:lang w:eastAsia="en-GB"/>
          <w14:ligatures w14:val="none"/>
        </w:rPr>
        <w:t>Wraxall</w:t>
      </w:r>
      <w:proofErr w:type="spellEnd"/>
      <w:r w:rsidRPr="00833FBE">
        <w:rPr>
          <w:rFonts w:eastAsia="Times New Roman" w:cs="Times New Roman"/>
          <w:b/>
          <w:bCs/>
          <w:kern w:val="0"/>
          <w:lang w:eastAsia="en-GB"/>
          <w14:ligatures w14:val="none"/>
        </w:rPr>
        <w:t xml:space="preserve"> – Grade II Listed</w:t>
      </w:r>
      <w:r w:rsidRPr="00833FBE">
        <w:rPr>
          <w:rFonts w:eastAsia="Times New Roman" w:cs="Times New Roman"/>
          <w:kern w:val="0"/>
          <w:lang w:eastAsia="en-GB"/>
          <w14:ligatures w14:val="none"/>
        </w:rPr>
        <w:t xml:space="preserve"> </w:t>
      </w:r>
      <w:r w:rsidRPr="00833FBE">
        <w:rPr>
          <w:rFonts w:eastAsia="Times New Roman" w:cs="Times New Roman"/>
          <w:b/>
          <w:bCs/>
          <w:kern w:val="0"/>
          <w:lang w:eastAsia="en-GB"/>
          <w14:ligatures w14:val="none"/>
        </w:rPr>
        <w:t>Amendment: Introduction of Inner Structural Wall Adjacent to Historic Garden Wall</w:t>
      </w:r>
    </w:p>
    <w:p w14:paraId="212718F3"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1. Purpose of the Addendum</w:t>
      </w:r>
    </w:p>
    <w:p w14:paraId="73F4EE7A"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This Heritage Justification Addendum accompanies the amendment to Planning Permission PL/2024/07535 and Listed Building Consent PL/2024/07706. It explains the heritage rationale for introducing a </w:t>
      </w:r>
      <w:r w:rsidRPr="004A0DB4">
        <w:rPr>
          <w:rFonts w:eastAsia="Times New Roman" w:cs="Times New Roman"/>
          <w:kern w:val="0"/>
          <w:lang w:eastAsia="en-GB"/>
          <w14:ligatures w14:val="none"/>
        </w:rPr>
        <w:t>new inner structural wall</w:t>
      </w:r>
      <w:r w:rsidRPr="00833FBE">
        <w:rPr>
          <w:rFonts w:eastAsia="Times New Roman" w:cs="Times New Roman"/>
          <w:kern w:val="0"/>
          <w:lang w:eastAsia="en-GB"/>
          <w14:ligatures w14:val="none"/>
        </w:rPr>
        <w:t xml:space="preserve"> immediately inside the existing garden wall, ensuring that the historic wall is protected and remains structurally independent from the proposed orangery.</w:t>
      </w:r>
    </w:p>
    <w:p w14:paraId="166DB41C" w14:textId="09CE5AEC"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The amendment is conservation</w:t>
      </w:r>
      <w:r w:rsidRPr="00833FBE">
        <w:rPr>
          <w:rFonts w:eastAsia="Times New Roman" w:cs="Times New Roman"/>
          <w:kern w:val="0"/>
          <w:lang w:eastAsia="en-GB"/>
          <w14:ligatures w14:val="none"/>
        </w:rPr>
        <w:noBreakHyphen/>
        <w:t xml:space="preserve">led, technically necessary, and does not </w:t>
      </w:r>
      <w:r>
        <w:rPr>
          <w:rFonts w:eastAsia="Times New Roman" w:cs="Times New Roman"/>
          <w:kern w:val="0"/>
          <w:lang w:eastAsia="en-GB"/>
          <w14:ligatures w14:val="none"/>
        </w:rPr>
        <w:t xml:space="preserve">materially </w:t>
      </w:r>
      <w:r w:rsidRPr="00833FBE">
        <w:rPr>
          <w:rFonts w:eastAsia="Times New Roman" w:cs="Times New Roman"/>
          <w:kern w:val="0"/>
          <w:lang w:eastAsia="en-GB"/>
          <w14:ligatures w14:val="none"/>
        </w:rPr>
        <w:t>alter the approved design in any way that affects heritage significance.</w:t>
      </w:r>
    </w:p>
    <w:p w14:paraId="788A7D1A"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2. Significance of the Affected Fabric</w:t>
      </w:r>
    </w:p>
    <w:p w14:paraId="73EE3E89"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garden wall forms part of the historic curtilage of The Old Rectory, a Grade II listed building of later Georgian date with Tudor Revival features. The Heritage Impact Assessment (HCUK Group, 2025) identifies the building and its grounds as making a </w:t>
      </w:r>
      <w:r w:rsidRPr="004A0DB4">
        <w:rPr>
          <w:rFonts w:eastAsia="Times New Roman" w:cs="Times New Roman"/>
          <w:kern w:val="0"/>
          <w:lang w:eastAsia="en-GB"/>
          <w14:ligatures w14:val="none"/>
        </w:rPr>
        <w:t>positive contribution</w:t>
      </w:r>
      <w:r w:rsidRPr="00833FBE">
        <w:rPr>
          <w:rFonts w:eastAsia="Times New Roman" w:cs="Times New Roman"/>
          <w:kern w:val="0"/>
          <w:lang w:eastAsia="en-GB"/>
          <w14:ligatures w14:val="none"/>
        </w:rPr>
        <w:t xml:space="preserve"> to the character and appearance of North </w:t>
      </w:r>
      <w:proofErr w:type="spellStart"/>
      <w:r w:rsidRPr="00833FBE">
        <w:rPr>
          <w:rFonts w:eastAsia="Times New Roman" w:cs="Times New Roman"/>
          <w:kern w:val="0"/>
          <w:lang w:eastAsia="en-GB"/>
          <w14:ligatures w14:val="none"/>
        </w:rPr>
        <w:t>Wraxall</w:t>
      </w:r>
      <w:proofErr w:type="spellEnd"/>
      <w:r w:rsidRPr="00833FBE">
        <w:rPr>
          <w:rFonts w:eastAsia="Times New Roman" w:cs="Times New Roman"/>
          <w:kern w:val="0"/>
          <w:lang w:eastAsia="en-GB"/>
          <w14:ligatures w14:val="none"/>
        </w:rPr>
        <w:t xml:space="preserve"> Conservation Area.</w:t>
      </w:r>
    </w:p>
    <w:p w14:paraId="15E203C9"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The garden wall is therefore considered part of the setting and curtilage structure of the listed building, and its preservation is required under:</w:t>
      </w:r>
    </w:p>
    <w:p w14:paraId="1AB7ECCB" w14:textId="77777777" w:rsidR="00833FBE" w:rsidRPr="004A0DB4" w:rsidRDefault="00833FBE" w:rsidP="00833FBE">
      <w:pPr>
        <w:numPr>
          <w:ilvl w:val="0"/>
          <w:numId w:val="1"/>
        </w:numPr>
        <w:tabs>
          <w:tab w:val="clear" w:pos="360"/>
          <w:tab w:val="num" w:pos="720"/>
        </w:tabs>
        <w:spacing w:before="100" w:beforeAutospacing="1" w:after="100" w:afterAutospacing="1" w:line="240" w:lineRule="auto"/>
        <w:ind w:left="720"/>
        <w:rPr>
          <w:rFonts w:eastAsia="Times New Roman" w:cs="Times New Roman"/>
          <w:kern w:val="0"/>
          <w:lang w:eastAsia="en-GB"/>
          <w14:ligatures w14:val="none"/>
        </w:rPr>
      </w:pPr>
      <w:r w:rsidRPr="004A0DB4">
        <w:rPr>
          <w:rFonts w:eastAsia="Times New Roman" w:cs="Times New Roman"/>
          <w:kern w:val="0"/>
          <w:lang w:eastAsia="en-GB"/>
          <w14:ligatures w14:val="none"/>
        </w:rPr>
        <w:t>Sections 16(2) and 66(1) of the Planning (Listed Buildings and Conservation Areas) Act 1990</w:t>
      </w:r>
    </w:p>
    <w:p w14:paraId="1D03F91F" w14:textId="77777777" w:rsidR="00833FBE" w:rsidRPr="004A0DB4" w:rsidRDefault="00833FBE" w:rsidP="00833FBE">
      <w:pPr>
        <w:numPr>
          <w:ilvl w:val="0"/>
          <w:numId w:val="1"/>
        </w:numPr>
        <w:tabs>
          <w:tab w:val="clear" w:pos="360"/>
          <w:tab w:val="num" w:pos="720"/>
        </w:tabs>
        <w:spacing w:before="100" w:beforeAutospacing="1" w:after="100" w:afterAutospacing="1" w:line="240" w:lineRule="auto"/>
        <w:ind w:left="720"/>
        <w:rPr>
          <w:rFonts w:eastAsia="Times New Roman" w:cs="Times New Roman"/>
          <w:kern w:val="0"/>
          <w:lang w:eastAsia="en-GB"/>
          <w14:ligatures w14:val="none"/>
        </w:rPr>
      </w:pPr>
      <w:r w:rsidRPr="004A0DB4">
        <w:rPr>
          <w:rFonts w:eastAsia="Times New Roman" w:cs="Times New Roman"/>
          <w:kern w:val="0"/>
          <w:lang w:eastAsia="en-GB"/>
          <w14:ligatures w14:val="none"/>
        </w:rPr>
        <w:t>NPPF paragraphs 199–202</w:t>
      </w:r>
    </w:p>
    <w:p w14:paraId="3C78D7C7" w14:textId="77777777" w:rsidR="00833FBE" w:rsidRPr="004A0DB4" w:rsidRDefault="00833FBE" w:rsidP="00833FBE">
      <w:pPr>
        <w:numPr>
          <w:ilvl w:val="0"/>
          <w:numId w:val="1"/>
        </w:numPr>
        <w:tabs>
          <w:tab w:val="clear" w:pos="360"/>
          <w:tab w:val="num" w:pos="720"/>
        </w:tabs>
        <w:spacing w:before="100" w:beforeAutospacing="1" w:after="100" w:afterAutospacing="1" w:line="240" w:lineRule="auto"/>
        <w:ind w:left="720"/>
        <w:rPr>
          <w:rFonts w:eastAsia="Times New Roman" w:cs="Times New Roman"/>
          <w:kern w:val="0"/>
          <w:lang w:eastAsia="en-GB"/>
          <w14:ligatures w14:val="none"/>
        </w:rPr>
      </w:pPr>
      <w:r w:rsidRPr="004A0DB4">
        <w:rPr>
          <w:rFonts w:eastAsia="Times New Roman" w:cs="Times New Roman"/>
          <w:kern w:val="0"/>
          <w:lang w:eastAsia="en-GB"/>
          <w14:ligatures w14:val="none"/>
        </w:rPr>
        <w:t>Wiltshire Core Policy 57</w:t>
      </w:r>
    </w:p>
    <w:p w14:paraId="02FACC02"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3. Reason for the Amendment</w:t>
      </w:r>
    </w:p>
    <w:p w14:paraId="0DFDE378" w14:textId="3DE602F1" w:rsidR="00833FBE" w:rsidRPr="00833FBE" w:rsidRDefault="00833FBE" w:rsidP="00DE2B06">
      <w:pPr>
        <w:tabs>
          <w:tab w:val="num" w:pos="720"/>
        </w:tabs>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During detailed technical design, it became clear that the historic garden wall is </w:t>
      </w:r>
      <w:r w:rsidRPr="004A0DB4">
        <w:rPr>
          <w:rFonts w:eastAsia="Times New Roman" w:cs="Times New Roman"/>
          <w:kern w:val="0"/>
          <w:lang w:eastAsia="en-GB"/>
          <w14:ligatures w14:val="none"/>
        </w:rPr>
        <w:t xml:space="preserve">not suitable to bear new structural loads </w:t>
      </w:r>
      <w:r w:rsidRPr="00833FBE">
        <w:rPr>
          <w:rFonts w:eastAsia="Times New Roman" w:cs="Times New Roman"/>
          <w:kern w:val="0"/>
          <w:lang w:eastAsia="en-GB"/>
          <w14:ligatures w14:val="none"/>
        </w:rPr>
        <w:t>associated with the orangery roof. The approved scheme assumed that the wall could act as a supporting element; however, further investigation confirmed that</w:t>
      </w:r>
      <w:r w:rsidR="00DE2B06">
        <w:rPr>
          <w:rFonts w:eastAsia="Times New Roman" w:cs="Times New Roman"/>
          <w:kern w:val="0"/>
          <w:lang w:eastAsia="en-GB"/>
          <w14:ligatures w14:val="none"/>
        </w:rPr>
        <w:t xml:space="preserve"> t</w:t>
      </w:r>
      <w:r w:rsidRPr="00833FBE">
        <w:rPr>
          <w:rFonts w:eastAsia="Times New Roman" w:cs="Times New Roman"/>
          <w:kern w:val="0"/>
          <w:lang w:eastAsia="en-GB"/>
          <w14:ligatures w14:val="none"/>
        </w:rPr>
        <w:t xml:space="preserve">he wall is </w:t>
      </w:r>
      <w:r w:rsidR="003513D8">
        <w:rPr>
          <w:rFonts w:eastAsia="Times New Roman" w:cs="Times New Roman"/>
          <w:kern w:val="0"/>
          <w:lang w:eastAsia="en-GB"/>
          <w14:ligatures w14:val="none"/>
        </w:rPr>
        <w:t xml:space="preserve">not suitable to support the </w:t>
      </w:r>
      <w:r w:rsidRPr="00833FBE">
        <w:rPr>
          <w:rFonts w:eastAsia="Times New Roman" w:cs="Times New Roman"/>
          <w:kern w:val="0"/>
          <w:lang w:eastAsia="en-GB"/>
          <w14:ligatures w14:val="none"/>
        </w:rPr>
        <w:t>new loadings</w:t>
      </w:r>
      <w:r w:rsidR="006A6ED3">
        <w:rPr>
          <w:rFonts w:eastAsia="Times New Roman" w:cs="Times New Roman"/>
          <w:kern w:val="0"/>
          <w:lang w:eastAsia="en-GB"/>
          <w14:ligatures w14:val="none"/>
        </w:rPr>
        <w:t xml:space="preserve"> from the orangery roof beams</w:t>
      </w:r>
      <w:r w:rsidRPr="00833FBE">
        <w:rPr>
          <w:rFonts w:eastAsia="Times New Roman" w:cs="Times New Roman"/>
          <w:kern w:val="0"/>
          <w:lang w:eastAsia="en-GB"/>
          <w14:ligatures w14:val="none"/>
        </w:rPr>
        <w:t>.</w:t>
      </w:r>
    </w:p>
    <w:p w14:paraId="3A491209" w14:textId="6229B1BC" w:rsidR="00833FBE" w:rsidRPr="00833FBE" w:rsidRDefault="00C8489E" w:rsidP="00833FBE">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lastRenderedPageBreak/>
        <w:t>T</w:t>
      </w:r>
      <w:r w:rsidR="00833FBE" w:rsidRPr="00833FBE">
        <w:rPr>
          <w:rFonts w:eastAsia="Times New Roman" w:cs="Times New Roman"/>
          <w:kern w:val="0"/>
          <w:lang w:eastAsia="en-GB"/>
          <w14:ligatures w14:val="none"/>
        </w:rPr>
        <w:t xml:space="preserve">o avoid any physical impact on the historic wall, the design has been refined to introduce a </w:t>
      </w:r>
      <w:r w:rsidR="00833FBE" w:rsidRPr="004A0DB4">
        <w:rPr>
          <w:rFonts w:eastAsia="Times New Roman" w:cs="Times New Roman"/>
          <w:kern w:val="0"/>
          <w:lang w:eastAsia="en-GB"/>
          <w14:ligatures w14:val="none"/>
        </w:rPr>
        <w:t>new inner structural wall,</w:t>
      </w:r>
      <w:r w:rsidR="00833FBE" w:rsidRPr="00833FBE">
        <w:rPr>
          <w:rFonts w:eastAsia="Times New Roman" w:cs="Times New Roman"/>
          <w:kern w:val="0"/>
          <w:lang w:eastAsia="en-GB"/>
          <w14:ligatures w14:val="none"/>
        </w:rPr>
        <w:t xml:space="preserve"> constructed entirely within the footprint of the </w:t>
      </w:r>
      <w:r w:rsidR="004A0DB4">
        <w:rPr>
          <w:rFonts w:eastAsia="Times New Roman" w:cs="Times New Roman"/>
          <w:kern w:val="0"/>
          <w:lang w:eastAsia="en-GB"/>
          <w14:ligatures w14:val="none"/>
        </w:rPr>
        <w:t xml:space="preserve">orangery </w:t>
      </w:r>
      <w:r w:rsidR="00833FBE">
        <w:rPr>
          <w:rFonts w:eastAsia="Times New Roman" w:cs="Times New Roman"/>
          <w:kern w:val="0"/>
          <w:lang w:eastAsia="en-GB"/>
          <w14:ligatures w14:val="none"/>
        </w:rPr>
        <w:t>e</w:t>
      </w:r>
      <w:r w:rsidR="00833FBE" w:rsidRPr="00833FBE">
        <w:rPr>
          <w:rFonts w:eastAsia="Times New Roman" w:cs="Times New Roman"/>
          <w:kern w:val="0"/>
          <w:lang w:eastAsia="en-GB"/>
          <w14:ligatures w14:val="none"/>
        </w:rPr>
        <w:t>xtension.</w:t>
      </w:r>
    </w:p>
    <w:p w14:paraId="2045AE76" w14:textId="73112B70"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This wall will carry all roof loads, lateral forces, and fixings</w:t>
      </w:r>
      <w:r w:rsidR="00C8489E">
        <w:rPr>
          <w:rFonts w:eastAsia="Times New Roman" w:cs="Times New Roman"/>
          <w:kern w:val="0"/>
          <w:lang w:eastAsia="en-GB"/>
          <w14:ligatures w14:val="none"/>
        </w:rPr>
        <w:t xml:space="preserve"> within the orangery,</w:t>
      </w:r>
      <w:r w:rsidRPr="00833FBE">
        <w:rPr>
          <w:rFonts w:eastAsia="Times New Roman" w:cs="Times New Roman"/>
          <w:kern w:val="0"/>
          <w:lang w:eastAsia="en-GB"/>
          <w14:ligatures w14:val="none"/>
        </w:rPr>
        <w:t xml:space="preserve"> ensuring that the historic wall remains untouched.</w:t>
      </w:r>
    </w:p>
    <w:p w14:paraId="2C42B617"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4. Description of the Amendment</w:t>
      </w:r>
    </w:p>
    <w:p w14:paraId="1650664D" w14:textId="55EACD3C"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amendment </w:t>
      </w:r>
      <w:r w:rsidR="00CA127C">
        <w:rPr>
          <w:rFonts w:eastAsia="Times New Roman" w:cs="Times New Roman"/>
          <w:kern w:val="0"/>
          <w:lang w:eastAsia="en-GB"/>
          <w14:ligatures w14:val="none"/>
        </w:rPr>
        <w:t xml:space="preserve">primarily </w:t>
      </w:r>
      <w:r w:rsidRPr="00833FBE">
        <w:rPr>
          <w:rFonts w:eastAsia="Times New Roman" w:cs="Times New Roman"/>
          <w:kern w:val="0"/>
          <w:lang w:eastAsia="en-GB"/>
          <w14:ligatures w14:val="none"/>
        </w:rPr>
        <w:t>consists of:</w:t>
      </w:r>
    </w:p>
    <w:p w14:paraId="25715890" w14:textId="3F36094A" w:rsidR="00833FBE" w:rsidRPr="00833FBE" w:rsidRDefault="00833FBE" w:rsidP="00833FBE">
      <w:pPr>
        <w:numPr>
          <w:ilvl w:val="0"/>
          <w:numId w:val="3"/>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A </w:t>
      </w:r>
      <w:r w:rsidRPr="004A0DB4">
        <w:rPr>
          <w:rFonts w:eastAsia="Times New Roman" w:cs="Times New Roman"/>
          <w:kern w:val="0"/>
          <w:lang w:eastAsia="en-GB"/>
          <w14:ligatures w14:val="none"/>
        </w:rPr>
        <w:t>new 100mm blockwork inner structural wall</w:t>
      </w:r>
      <w:r w:rsidRPr="00833FBE">
        <w:rPr>
          <w:rFonts w:eastAsia="Times New Roman" w:cs="Times New Roman"/>
          <w:kern w:val="0"/>
          <w:lang w:eastAsia="en-GB"/>
          <w14:ligatures w14:val="none"/>
        </w:rPr>
        <w:t xml:space="preserve"> positioned inside the garden wall</w:t>
      </w:r>
      <w:r w:rsidR="00CA127C">
        <w:rPr>
          <w:rFonts w:eastAsia="Times New Roman" w:cs="Times New Roman"/>
          <w:kern w:val="0"/>
          <w:lang w:eastAsia="en-GB"/>
          <w14:ligatures w14:val="none"/>
        </w:rPr>
        <w:t xml:space="preserve"> with </w:t>
      </w:r>
      <w:r w:rsidR="00D915D1">
        <w:rPr>
          <w:rFonts w:eastAsia="Times New Roman" w:cs="Times New Roman"/>
          <w:kern w:val="0"/>
          <w:lang w:eastAsia="en-GB"/>
          <w14:ligatures w14:val="none"/>
        </w:rPr>
        <w:t>insulati</w:t>
      </w:r>
      <w:r w:rsidR="00C8489E">
        <w:rPr>
          <w:rFonts w:eastAsia="Times New Roman" w:cs="Times New Roman"/>
          <w:kern w:val="0"/>
          <w:lang w:eastAsia="en-GB"/>
          <w14:ligatures w14:val="none"/>
        </w:rPr>
        <w:t>ng board</w:t>
      </w:r>
      <w:r w:rsidR="00D915D1">
        <w:rPr>
          <w:rFonts w:eastAsia="Times New Roman" w:cs="Times New Roman"/>
          <w:kern w:val="0"/>
          <w:lang w:eastAsia="en-GB"/>
          <w14:ligatures w14:val="none"/>
        </w:rPr>
        <w:t xml:space="preserve"> and </w:t>
      </w:r>
      <w:r w:rsidR="00CA127C">
        <w:rPr>
          <w:rFonts w:eastAsia="Times New Roman" w:cs="Times New Roman"/>
          <w:kern w:val="0"/>
          <w:lang w:eastAsia="en-GB"/>
          <w14:ligatures w14:val="none"/>
        </w:rPr>
        <w:t xml:space="preserve">a 100mm cavity to allow the wall to ‘breath’. </w:t>
      </w:r>
    </w:p>
    <w:p w14:paraId="085F55D2" w14:textId="77777777" w:rsidR="00833FBE" w:rsidRPr="00833FBE" w:rsidRDefault="00833FBE" w:rsidP="00833FBE">
      <w:pPr>
        <w:numPr>
          <w:ilvl w:val="0"/>
          <w:numId w:val="3"/>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Associated roof abutment details (drawing 13070/13) showing the roof upstand supported by the new wall.</w:t>
      </w:r>
    </w:p>
    <w:p w14:paraId="4C6C1408" w14:textId="77777777" w:rsidR="00833FBE" w:rsidRPr="00833FBE" w:rsidRDefault="00833FBE" w:rsidP="00833FBE">
      <w:pPr>
        <w:numPr>
          <w:ilvl w:val="0"/>
          <w:numId w:val="3"/>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Localised underpinning of the garden wall only where necessary to stabilise existing fabric, not to support new loads.</w:t>
      </w:r>
    </w:p>
    <w:p w14:paraId="5156C079" w14:textId="1F820A0C" w:rsidR="00CA127C"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There </w:t>
      </w:r>
      <w:r w:rsidR="00CA127C">
        <w:rPr>
          <w:rFonts w:eastAsia="Times New Roman" w:cs="Times New Roman"/>
          <w:kern w:val="0"/>
          <w:lang w:eastAsia="en-GB"/>
          <w14:ligatures w14:val="none"/>
        </w:rPr>
        <w:t>will be a small change to the footprint of the orangery and greenhouse to maintain the same internal floor area as the planning and listed approved plans.</w:t>
      </w:r>
    </w:p>
    <w:p w14:paraId="754185E3" w14:textId="4B3554A2" w:rsidR="00CA127C" w:rsidRDefault="00CA127C" w:rsidP="00833FBE">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The parapet wall between the orangery and greenhouse structures has been </w:t>
      </w:r>
      <w:r w:rsidR="00ED3177">
        <w:rPr>
          <w:rFonts w:eastAsia="Times New Roman" w:cs="Times New Roman"/>
          <w:kern w:val="0"/>
          <w:lang w:eastAsia="en-GB"/>
          <w14:ligatures w14:val="none"/>
        </w:rPr>
        <w:t xml:space="preserve">re-positioned </w:t>
      </w:r>
      <w:r w:rsidR="00D915D1">
        <w:rPr>
          <w:rFonts w:eastAsia="Times New Roman" w:cs="Times New Roman"/>
          <w:kern w:val="0"/>
          <w:lang w:eastAsia="en-GB"/>
          <w14:ligatures w14:val="none"/>
        </w:rPr>
        <w:t>to increase the width of the orangery and reduce the width of the greenhouse without impacting the overall width of the combined structures.  The rational for the reproportioning is to extend the kitchen cabinetry in the orangery to create a more functional space.</w:t>
      </w:r>
    </w:p>
    <w:p w14:paraId="6552BFD6" w14:textId="171A4756" w:rsidR="00741A78" w:rsidRDefault="00741A78" w:rsidP="00833FBE">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The </w:t>
      </w:r>
      <w:r w:rsidR="00AC2D1E">
        <w:rPr>
          <w:rFonts w:eastAsia="Times New Roman" w:cs="Times New Roman"/>
          <w:kern w:val="0"/>
          <w:lang w:eastAsia="en-GB"/>
          <w14:ligatures w14:val="none"/>
        </w:rPr>
        <w:t>drawing below illustrates the</w:t>
      </w:r>
      <w:r w:rsidR="00793485">
        <w:rPr>
          <w:rFonts w:eastAsia="Times New Roman" w:cs="Times New Roman"/>
          <w:kern w:val="0"/>
          <w:lang w:eastAsia="en-GB"/>
          <w14:ligatures w14:val="none"/>
        </w:rPr>
        <w:t>se</w:t>
      </w:r>
      <w:r w:rsidR="00AC2D1E">
        <w:rPr>
          <w:rFonts w:eastAsia="Times New Roman" w:cs="Times New Roman"/>
          <w:kern w:val="0"/>
          <w:lang w:eastAsia="en-GB"/>
          <w14:ligatures w14:val="none"/>
        </w:rPr>
        <w:t xml:space="preserve"> </w:t>
      </w:r>
      <w:r w:rsidR="00793485">
        <w:rPr>
          <w:rFonts w:eastAsia="Times New Roman" w:cs="Times New Roman"/>
          <w:kern w:val="0"/>
          <w:lang w:eastAsia="en-GB"/>
          <w14:ligatures w14:val="none"/>
        </w:rPr>
        <w:t xml:space="preserve">minor </w:t>
      </w:r>
      <w:r w:rsidR="00AC2D1E">
        <w:rPr>
          <w:rFonts w:eastAsia="Times New Roman" w:cs="Times New Roman"/>
          <w:kern w:val="0"/>
          <w:lang w:eastAsia="en-GB"/>
          <w14:ligatures w14:val="none"/>
        </w:rPr>
        <w:t xml:space="preserve">changes </w:t>
      </w:r>
      <w:r w:rsidR="00793485">
        <w:rPr>
          <w:rFonts w:eastAsia="Times New Roman" w:cs="Times New Roman"/>
          <w:kern w:val="0"/>
          <w:lang w:eastAsia="en-GB"/>
          <w14:ligatures w14:val="none"/>
        </w:rPr>
        <w:t xml:space="preserve">which represents an increase </w:t>
      </w:r>
      <w:r w:rsidR="00F35CA9">
        <w:rPr>
          <w:rFonts w:eastAsia="Times New Roman" w:cs="Times New Roman"/>
          <w:kern w:val="0"/>
          <w:lang w:eastAsia="en-GB"/>
          <w14:ligatures w14:val="none"/>
        </w:rPr>
        <w:t>2.3m2 (</w:t>
      </w:r>
      <w:r w:rsidR="00A048CE">
        <w:rPr>
          <w:rFonts w:eastAsia="Times New Roman" w:cs="Times New Roman"/>
          <w:kern w:val="0"/>
          <w:lang w:eastAsia="en-GB"/>
          <w14:ligatures w14:val="none"/>
        </w:rPr>
        <w:t xml:space="preserve">3.1%) </w:t>
      </w:r>
      <w:r w:rsidR="008A657F">
        <w:rPr>
          <w:rFonts w:eastAsia="Times New Roman" w:cs="Times New Roman"/>
          <w:kern w:val="0"/>
          <w:lang w:eastAsia="en-GB"/>
          <w14:ligatures w14:val="none"/>
        </w:rPr>
        <w:t>in the floor area of the combined structures</w:t>
      </w:r>
      <w:r w:rsidR="008A657F">
        <w:rPr>
          <w:rFonts w:eastAsia="Times New Roman" w:cs="Times New Roman"/>
          <w:kern w:val="0"/>
          <w:lang w:eastAsia="en-GB"/>
          <w14:ligatures w14:val="none"/>
        </w:rPr>
        <w:t>.</w:t>
      </w:r>
    </w:p>
    <w:p w14:paraId="551B7647" w14:textId="5F40464C" w:rsidR="00741A78" w:rsidRDefault="00741A78" w:rsidP="00833FBE">
      <w:pPr>
        <w:spacing w:before="100" w:beforeAutospacing="1" w:after="100" w:afterAutospacing="1" w:line="240" w:lineRule="auto"/>
        <w:rPr>
          <w:rFonts w:eastAsia="Times New Roman" w:cs="Times New Roman"/>
          <w:kern w:val="0"/>
          <w:lang w:eastAsia="en-GB"/>
          <w14:ligatures w14:val="none"/>
        </w:rPr>
      </w:pPr>
      <w:r w:rsidRPr="00741A78">
        <w:rPr>
          <w:rFonts w:eastAsia="Times New Roman" w:cs="Times New Roman"/>
          <w:kern w:val="0"/>
          <w:lang w:eastAsia="en-GB"/>
          <w14:ligatures w14:val="none"/>
        </w:rPr>
        <w:drawing>
          <wp:inline distT="0" distB="0" distL="0" distR="0" wp14:anchorId="3FD5AE72" wp14:editId="13696B24">
            <wp:extent cx="4355088" cy="3086100"/>
            <wp:effectExtent l="0" t="0" r="7620" b="0"/>
            <wp:docPr id="1616189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89339" name=""/>
                    <pic:cNvPicPr/>
                  </pic:nvPicPr>
                  <pic:blipFill>
                    <a:blip r:embed="rId9"/>
                    <a:stretch>
                      <a:fillRect/>
                    </a:stretch>
                  </pic:blipFill>
                  <pic:spPr>
                    <a:xfrm>
                      <a:off x="0" y="0"/>
                      <a:ext cx="4380359" cy="3104008"/>
                    </a:xfrm>
                    <a:prstGeom prst="rect">
                      <a:avLst/>
                    </a:prstGeom>
                  </pic:spPr>
                </pic:pic>
              </a:graphicData>
            </a:graphic>
          </wp:inline>
        </w:drawing>
      </w:r>
    </w:p>
    <w:p w14:paraId="69496054" w14:textId="5B47C49C" w:rsidR="00833FBE" w:rsidRPr="00833FBE" w:rsidRDefault="00CA127C" w:rsidP="00833FBE">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lastRenderedPageBreak/>
        <w:t xml:space="preserve">There </w:t>
      </w:r>
      <w:r w:rsidR="00833FBE" w:rsidRPr="00833FBE">
        <w:rPr>
          <w:rFonts w:eastAsia="Times New Roman" w:cs="Times New Roman"/>
          <w:kern w:val="0"/>
          <w:lang w:eastAsia="en-GB"/>
          <w14:ligatures w14:val="none"/>
        </w:rPr>
        <w:t xml:space="preserve">is </w:t>
      </w:r>
      <w:r w:rsidR="00833FBE" w:rsidRPr="004A0DB4">
        <w:rPr>
          <w:rFonts w:eastAsia="Times New Roman" w:cs="Times New Roman"/>
          <w:kern w:val="0"/>
          <w:lang w:eastAsia="en-GB"/>
          <w14:ligatures w14:val="none"/>
        </w:rPr>
        <w:t>no change</w:t>
      </w:r>
      <w:r w:rsidR="00833FBE" w:rsidRPr="00833FBE">
        <w:rPr>
          <w:rFonts w:eastAsia="Times New Roman" w:cs="Times New Roman"/>
          <w:kern w:val="0"/>
          <w:lang w:eastAsia="en-GB"/>
          <w14:ligatures w14:val="none"/>
        </w:rPr>
        <w:t xml:space="preserve"> to:</w:t>
      </w:r>
    </w:p>
    <w:p w14:paraId="421BC026" w14:textId="77777777" w:rsidR="00CA127C" w:rsidRDefault="00833FBE" w:rsidP="00833FBE">
      <w:pPr>
        <w:numPr>
          <w:ilvl w:val="0"/>
          <w:numId w:val="5"/>
        </w:numPr>
        <w:spacing w:before="100" w:beforeAutospacing="1" w:after="100" w:afterAutospacing="1" w:line="240" w:lineRule="auto"/>
        <w:rPr>
          <w:rFonts w:eastAsia="Times New Roman" w:cs="Times New Roman"/>
          <w:kern w:val="0"/>
          <w:lang w:eastAsia="en-GB"/>
          <w14:ligatures w14:val="none"/>
        </w:rPr>
      </w:pPr>
      <w:r w:rsidRPr="00CA127C">
        <w:rPr>
          <w:rFonts w:eastAsia="Times New Roman" w:cs="Times New Roman"/>
          <w:kern w:val="0"/>
          <w:lang w:eastAsia="en-GB"/>
          <w14:ligatures w14:val="none"/>
        </w:rPr>
        <w:t>Height</w:t>
      </w:r>
    </w:p>
    <w:p w14:paraId="3500B880" w14:textId="1EF066DB" w:rsidR="00CA127C" w:rsidRPr="00CA127C" w:rsidRDefault="009A2ACE" w:rsidP="00833FBE">
      <w:pPr>
        <w:numPr>
          <w:ilvl w:val="0"/>
          <w:numId w:val="5"/>
        </w:num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Lantern sizes</w:t>
      </w:r>
    </w:p>
    <w:p w14:paraId="1AF3ED50" w14:textId="3A0E0F73" w:rsidR="00833FBE" w:rsidRPr="00CA127C" w:rsidRDefault="00833FBE" w:rsidP="00833FBE">
      <w:pPr>
        <w:numPr>
          <w:ilvl w:val="0"/>
          <w:numId w:val="5"/>
        </w:numPr>
        <w:spacing w:before="100" w:beforeAutospacing="1" w:after="100" w:afterAutospacing="1" w:line="240" w:lineRule="auto"/>
        <w:rPr>
          <w:rFonts w:eastAsia="Times New Roman" w:cs="Times New Roman"/>
          <w:kern w:val="0"/>
          <w:lang w:eastAsia="en-GB"/>
          <w14:ligatures w14:val="none"/>
        </w:rPr>
      </w:pPr>
      <w:r w:rsidRPr="00CA127C">
        <w:rPr>
          <w:rFonts w:eastAsia="Times New Roman" w:cs="Times New Roman"/>
          <w:kern w:val="0"/>
          <w:lang w:eastAsia="en-GB"/>
          <w14:ligatures w14:val="none"/>
        </w:rPr>
        <w:t>External appearance</w:t>
      </w:r>
    </w:p>
    <w:p w14:paraId="1AE3D11C" w14:textId="77777777" w:rsidR="00833FBE" w:rsidRPr="00833FBE" w:rsidRDefault="00833FBE" w:rsidP="00833FBE">
      <w:pPr>
        <w:numPr>
          <w:ilvl w:val="0"/>
          <w:numId w:val="5"/>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Relationship with Malet’s House</w:t>
      </w:r>
    </w:p>
    <w:p w14:paraId="30D9D7BE" w14:textId="77777777" w:rsidR="00833FBE" w:rsidRPr="00833FBE" w:rsidRDefault="00833FBE" w:rsidP="00833FBE">
      <w:pPr>
        <w:numPr>
          <w:ilvl w:val="0"/>
          <w:numId w:val="5"/>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Visibility from public viewpoints</w:t>
      </w:r>
    </w:p>
    <w:p w14:paraId="3036732F"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The amendment is therefore technical rather than architectural.</w:t>
      </w:r>
    </w:p>
    <w:p w14:paraId="33ED9FC7"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5. Heritage Impact Assessment (Updated Position)</w:t>
      </w:r>
    </w:p>
    <w:p w14:paraId="3E1756A2"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The original Heritage Impact Assessment concluded:</w:t>
      </w:r>
    </w:p>
    <w:p w14:paraId="20634751" w14:textId="77777777" w:rsidR="00833FBE" w:rsidRPr="00833FBE" w:rsidRDefault="00833FBE" w:rsidP="00833FBE">
      <w:pPr>
        <w:numPr>
          <w:ilvl w:val="0"/>
          <w:numId w:val="6"/>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approved scheme results in </w:t>
      </w:r>
      <w:r w:rsidRPr="004A0DB4">
        <w:rPr>
          <w:rFonts w:eastAsia="Times New Roman" w:cs="Times New Roman"/>
          <w:kern w:val="0"/>
          <w:lang w:eastAsia="en-GB"/>
          <w14:ligatures w14:val="none"/>
        </w:rPr>
        <w:t xml:space="preserve">no harm </w:t>
      </w:r>
      <w:r w:rsidRPr="00833FBE">
        <w:rPr>
          <w:rFonts w:eastAsia="Times New Roman" w:cs="Times New Roman"/>
          <w:kern w:val="0"/>
          <w:lang w:eastAsia="en-GB"/>
          <w14:ligatures w14:val="none"/>
        </w:rPr>
        <w:t>to the significance of The Old Rectory.</w:t>
      </w:r>
    </w:p>
    <w:p w14:paraId="1BB3A653" w14:textId="77777777" w:rsidR="00833FBE" w:rsidRPr="00833FBE" w:rsidRDefault="00833FBE" w:rsidP="00833FBE">
      <w:pPr>
        <w:numPr>
          <w:ilvl w:val="0"/>
          <w:numId w:val="6"/>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existing structures being replaced are </w:t>
      </w:r>
      <w:r w:rsidRPr="004A0DB4">
        <w:rPr>
          <w:rFonts w:eastAsia="Times New Roman" w:cs="Times New Roman"/>
          <w:kern w:val="0"/>
          <w:lang w:eastAsia="en-GB"/>
          <w14:ligatures w14:val="none"/>
        </w:rPr>
        <w:t>of no intrinsic heritage significance.</w:t>
      </w:r>
    </w:p>
    <w:p w14:paraId="560084F5" w14:textId="77777777" w:rsidR="00833FBE" w:rsidRPr="00833FBE" w:rsidRDefault="00833FBE" w:rsidP="00833FBE">
      <w:pPr>
        <w:numPr>
          <w:ilvl w:val="0"/>
          <w:numId w:val="6"/>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The proposal improves the setting by replacing piecemeal modern additions with a coherent design.</w:t>
      </w:r>
    </w:p>
    <w:p w14:paraId="6CF99DCB"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introduction of the inner structural wall </w:t>
      </w:r>
      <w:r w:rsidRPr="004A0DB4">
        <w:rPr>
          <w:rFonts w:eastAsia="Times New Roman" w:cs="Times New Roman"/>
          <w:kern w:val="0"/>
          <w:lang w:eastAsia="en-GB"/>
          <w14:ligatures w14:val="none"/>
        </w:rPr>
        <w:t>reinforces</w:t>
      </w:r>
      <w:r w:rsidRPr="00833FBE">
        <w:rPr>
          <w:rFonts w:eastAsia="Times New Roman" w:cs="Times New Roman"/>
          <w:kern w:val="0"/>
          <w:lang w:eastAsia="en-GB"/>
          <w14:ligatures w14:val="none"/>
        </w:rPr>
        <w:t xml:space="preserve"> this position by:</w:t>
      </w:r>
    </w:p>
    <w:p w14:paraId="3F275913" w14:textId="77777777" w:rsidR="00833FBE" w:rsidRPr="00833FBE" w:rsidRDefault="00833FBE" w:rsidP="00833FBE">
      <w:pPr>
        <w:numPr>
          <w:ilvl w:val="0"/>
          <w:numId w:val="7"/>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Ensuring the historic garden wall is preserved without load, fixings, or alteration.</w:t>
      </w:r>
    </w:p>
    <w:p w14:paraId="63911022" w14:textId="77777777" w:rsidR="00833FBE" w:rsidRPr="00833FBE" w:rsidRDefault="00833FBE" w:rsidP="00833FBE">
      <w:pPr>
        <w:numPr>
          <w:ilvl w:val="0"/>
          <w:numId w:val="7"/>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Avoiding any risk of structural stress, cracking, or long</w:t>
      </w:r>
      <w:r w:rsidRPr="00833FBE">
        <w:rPr>
          <w:rFonts w:eastAsia="Times New Roman" w:cs="Times New Roman"/>
          <w:kern w:val="0"/>
          <w:lang w:eastAsia="en-GB"/>
          <w14:ligatures w14:val="none"/>
        </w:rPr>
        <w:noBreakHyphen/>
        <w:t>term deterioration.</w:t>
      </w:r>
    </w:p>
    <w:p w14:paraId="4F24C736" w14:textId="77777777" w:rsidR="00833FBE" w:rsidRPr="00833FBE" w:rsidRDefault="00833FBE" w:rsidP="00833FBE">
      <w:pPr>
        <w:numPr>
          <w:ilvl w:val="0"/>
          <w:numId w:val="7"/>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Maintaining the approved architectural expression exactly as consented.</w:t>
      </w:r>
    </w:p>
    <w:p w14:paraId="50FB3ACF" w14:textId="77777777" w:rsidR="00833FBE" w:rsidRPr="00833FBE" w:rsidRDefault="00833FBE" w:rsidP="00833FBE">
      <w:pPr>
        <w:numPr>
          <w:ilvl w:val="0"/>
          <w:numId w:val="7"/>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Ensuring the curtilage structure remains visually and physically intact.</w:t>
      </w:r>
    </w:p>
    <w:p w14:paraId="26C2E33B"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amendment therefore continues to represent </w:t>
      </w:r>
      <w:r w:rsidRPr="004A0DB4">
        <w:rPr>
          <w:rFonts w:eastAsia="Times New Roman" w:cs="Times New Roman"/>
          <w:kern w:val="0"/>
          <w:lang w:eastAsia="en-GB"/>
          <w14:ligatures w14:val="none"/>
        </w:rPr>
        <w:t>preservation</w:t>
      </w:r>
      <w:r w:rsidRPr="00833FBE">
        <w:rPr>
          <w:rFonts w:eastAsia="Times New Roman" w:cs="Times New Roman"/>
          <w:kern w:val="0"/>
          <w:lang w:eastAsia="en-GB"/>
          <w14:ligatures w14:val="none"/>
        </w:rPr>
        <w:t xml:space="preserve"> under Sections 16(2) and 66(1) of the Act.</w:t>
      </w:r>
    </w:p>
    <w:p w14:paraId="1D941C5D"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No harm arises under NPPF paragraphs 199–202.</w:t>
      </w:r>
    </w:p>
    <w:p w14:paraId="5610CBAA"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6. Policy Compliance</w:t>
      </w:r>
    </w:p>
    <w:p w14:paraId="5D621538" w14:textId="77777777" w:rsidR="00833FBE" w:rsidRPr="00833FBE" w:rsidRDefault="00833FBE" w:rsidP="00833FBE">
      <w:pPr>
        <w:spacing w:before="100" w:beforeAutospacing="1" w:after="100" w:afterAutospacing="1" w:line="240" w:lineRule="auto"/>
        <w:outlineLvl w:val="2"/>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NPPF (2023)</w:t>
      </w:r>
    </w:p>
    <w:p w14:paraId="16D4E4BB" w14:textId="77777777" w:rsidR="00833FBE" w:rsidRPr="00833FBE" w:rsidRDefault="00833FBE" w:rsidP="00833FBE">
      <w:pPr>
        <w:numPr>
          <w:ilvl w:val="0"/>
          <w:numId w:val="8"/>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b/>
          <w:bCs/>
          <w:kern w:val="0"/>
          <w:lang w:eastAsia="en-GB"/>
          <w14:ligatures w14:val="none"/>
        </w:rPr>
        <w:t>Paragraph 199:</w:t>
      </w:r>
      <w:r w:rsidRPr="00833FBE">
        <w:rPr>
          <w:rFonts w:eastAsia="Times New Roman" w:cs="Times New Roman"/>
          <w:kern w:val="0"/>
          <w:lang w:eastAsia="en-GB"/>
          <w14:ligatures w14:val="none"/>
        </w:rPr>
        <w:t xml:space="preserve"> Great weight is given to the conservation of heritage assets — the amendment enhances conservation by protecting historic fabric.</w:t>
      </w:r>
    </w:p>
    <w:p w14:paraId="0057962E" w14:textId="77777777" w:rsidR="00833FBE" w:rsidRPr="00833FBE" w:rsidRDefault="00833FBE" w:rsidP="00833FBE">
      <w:pPr>
        <w:numPr>
          <w:ilvl w:val="0"/>
          <w:numId w:val="8"/>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b/>
          <w:bCs/>
          <w:kern w:val="0"/>
          <w:lang w:eastAsia="en-GB"/>
          <w14:ligatures w14:val="none"/>
        </w:rPr>
        <w:t>Paragraph 200:</w:t>
      </w:r>
      <w:r w:rsidRPr="00833FBE">
        <w:rPr>
          <w:rFonts w:eastAsia="Times New Roman" w:cs="Times New Roman"/>
          <w:kern w:val="0"/>
          <w:lang w:eastAsia="en-GB"/>
          <w14:ligatures w14:val="none"/>
        </w:rPr>
        <w:t xml:space="preserve"> Any harm must be clearly justified — no harm arises.</w:t>
      </w:r>
    </w:p>
    <w:p w14:paraId="3B2917B0" w14:textId="77777777" w:rsidR="00833FBE" w:rsidRPr="00833FBE" w:rsidRDefault="00833FBE" w:rsidP="00833FBE">
      <w:pPr>
        <w:numPr>
          <w:ilvl w:val="0"/>
          <w:numId w:val="8"/>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b/>
          <w:bCs/>
          <w:kern w:val="0"/>
          <w:lang w:eastAsia="en-GB"/>
          <w14:ligatures w14:val="none"/>
        </w:rPr>
        <w:t>Paragraph 202:</w:t>
      </w:r>
      <w:r w:rsidRPr="00833FBE">
        <w:rPr>
          <w:rFonts w:eastAsia="Times New Roman" w:cs="Times New Roman"/>
          <w:kern w:val="0"/>
          <w:lang w:eastAsia="en-GB"/>
          <w14:ligatures w14:val="none"/>
        </w:rPr>
        <w:t xml:space="preserve"> Less</w:t>
      </w:r>
      <w:r w:rsidRPr="00833FBE">
        <w:rPr>
          <w:rFonts w:eastAsia="Times New Roman" w:cs="Times New Roman"/>
          <w:kern w:val="0"/>
          <w:lang w:eastAsia="en-GB"/>
          <w14:ligatures w14:val="none"/>
        </w:rPr>
        <w:noBreakHyphen/>
        <w:t>than</w:t>
      </w:r>
      <w:r w:rsidRPr="00833FBE">
        <w:rPr>
          <w:rFonts w:eastAsia="Times New Roman" w:cs="Times New Roman"/>
          <w:kern w:val="0"/>
          <w:lang w:eastAsia="en-GB"/>
          <w14:ligatures w14:val="none"/>
        </w:rPr>
        <w:noBreakHyphen/>
        <w:t>substantial harm must be weighed against public benefits — not engaged.</w:t>
      </w:r>
    </w:p>
    <w:p w14:paraId="327E7E87" w14:textId="77777777" w:rsidR="00833FBE" w:rsidRPr="00833FBE" w:rsidRDefault="00833FBE" w:rsidP="00833FBE">
      <w:pPr>
        <w:numPr>
          <w:ilvl w:val="0"/>
          <w:numId w:val="8"/>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b/>
          <w:bCs/>
          <w:kern w:val="0"/>
          <w:lang w:eastAsia="en-GB"/>
          <w14:ligatures w14:val="none"/>
        </w:rPr>
        <w:t>Paragraph 135:</w:t>
      </w:r>
      <w:r w:rsidRPr="00833FBE">
        <w:rPr>
          <w:rFonts w:eastAsia="Times New Roman" w:cs="Times New Roman"/>
          <w:kern w:val="0"/>
          <w:lang w:eastAsia="en-GB"/>
          <w14:ligatures w14:val="none"/>
        </w:rPr>
        <w:t xml:space="preserve"> Quality of approved development must not be diminished — the amendment maintains and strengthens quality.</w:t>
      </w:r>
    </w:p>
    <w:p w14:paraId="03F8CC51" w14:textId="77777777" w:rsidR="00833FBE" w:rsidRPr="00833FBE" w:rsidRDefault="00833FBE" w:rsidP="00833FBE">
      <w:pPr>
        <w:spacing w:before="100" w:beforeAutospacing="1" w:after="100" w:afterAutospacing="1" w:line="240" w:lineRule="auto"/>
        <w:outlineLvl w:val="2"/>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Wiltshire Core Policy 57</w:t>
      </w:r>
    </w:p>
    <w:p w14:paraId="7AC301BC"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The amendment complies with Core Policy 57 by:</w:t>
      </w:r>
    </w:p>
    <w:p w14:paraId="26267FFC" w14:textId="77777777" w:rsidR="00833FBE" w:rsidRPr="00833FBE" w:rsidRDefault="00833FBE" w:rsidP="00833FBE">
      <w:pPr>
        <w:numPr>
          <w:ilvl w:val="0"/>
          <w:numId w:val="9"/>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Responding positively to historic context.</w:t>
      </w:r>
    </w:p>
    <w:p w14:paraId="2E08B599" w14:textId="77777777" w:rsidR="00833FBE" w:rsidRPr="00833FBE" w:rsidRDefault="00833FBE" w:rsidP="00833FBE">
      <w:pPr>
        <w:numPr>
          <w:ilvl w:val="0"/>
          <w:numId w:val="9"/>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lastRenderedPageBreak/>
        <w:t>Conserving historic structures.</w:t>
      </w:r>
    </w:p>
    <w:p w14:paraId="1F2B7A43" w14:textId="77777777" w:rsidR="00833FBE" w:rsidRPr="00833FBE" w:rsidRDefault="00833FBE" w:rsidP="00833FBE">
      <w:pPr>
        <w:numPr>
          <w:ilvl w:val="0"/>
          <w:numId w:val="9"/>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Ensuring compatibility with adjoining heritage fabric.</w:t>
      </w:r>
    </w:p>
    <w:p w14:paraId="61FE2159" w14:textId="77777777" w:rsidR="00833FBE" w:rsidRPr="00833FBE" w:rsidRDefault="00833FBE" w:rsidP="00833FBE">
      <w:pPr>
        <w:numPr>
          <w:ilvl w:val="0"/>
          <w:numId w:val="9"/>
        </w:num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Maintaining high</w:t>
      </w:r>
      <w:r w:rsidRPr="00833FBE">
        <w:rPr>
          <w:rFonts w:eastAsia="Times New Roman" w:cs="Times New Roman"/>
          <w:kern w:val="0"/>
          <w:lang w:eastAsia="en-GB"/>
          <w14:ligatures w14:val="none"/>
        </w:rPr>
        <w:noBreakHyphen/>
        <w:t>quality design and detailing.</w:t>
      </w:r>
    </w:p>
    <w:p w14:paraId="6D523855" w14:textId="77777777" w:rsidR="00833FBE" w:rsidRPr="00833FBE" w:rsidRDefault="00833FBE" w:rsidP="00833FBE">
      <w:pPr>
        <w:spacing w:before="100" w:beforeAutospacing="1" w:after="100" w:afterAutospacing="1" w:line="240" w:lineRule="auto"/>
        <w:outlineLvl w:val="1"/>
        <w:rPr>
          <w:rFonts w:eastAsia="Times New Roman" w:cs="Times New Roman"/>
          <w:b/>
          <w:bCs/>
          <w:kern w:val="0"/>
          <w:lang w:eastAsia="en-GB"/>
          <w14:ligatures w14:val="none"/>
        </w:rPr>
      </w:pPr>
      <w:r w:rsidRPr="00833FBE">
        <w:rPr>
          <w:rFonts w:eastAsia="Times New Roman" w:cs="Times New Roman"/>
          <w:b/>
          <w:bCs/>
          <w:kern w:val="0"/>
          <w:lang w:eastAsia="en-GB"/>
          <w14:ligatures w14:val="none"/>
        </w:rPr>
        <w:t>7. Conclusion</w:t>
      </w:r>
    </w:p>
    <w:p w14:paraId="06480F64"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introduction of the inner structural wall is a </w:t>
      </w:r>
      <w:r w:rsidRPr="004A0DB4">
        <w:rPr>
          <w:rFonts w:eastAsia="Times New Roman" w:cs="Times New Roman"/>
          <w:kern w:val="0"/>
          <w:lang w:eastAsia="en-GB"/>
          <w14:ligatures w14:val="none"/>
        </w:rPr>
        <w:t>minor, conservation</w:t>
      </w:r>
      <w:r w:rsidRPr="004A0DB4">
        <w:rPr>
          <w:rFonts w:eastAsia="Times New Roman" w:cs="Times New Roman"/>
          <w:kern w:val="0"/>
          <w:lang w:eastAsia="en-GB"/>
          <w14:ligatures w14:val="none"/>
        </w:rPr>
        <w:noBreakHyphen/>
        <w:t>led refinement</w:t>
      </w:r>
      <w:r w:rsidRPr="00833FBE">
        <w:rPr>
          <w:rFonts w:eastAsia="Times New Roman" w:cs="Times New Roman"/>
          <w:kern w:val="0"/>
          <w:lang w:eastAsia="en-GB"/>
          <w14:ligatures w14:val="none"/>
        </w:rPr>
        <w:t xml:space="preserve"> that protects the historic garden wall and ensures the long</w:t>
      </w:r>
      <w:r w:rsidRPr="00833FBE">
        <w:rPr>
          <w:rFonts w:eastAsia="Times New Roman" w:cs="Times New Roman"/>
          <w:kern w:val="0"/>
          <w:lang w:eastAsia="en-GB"/>
          <w14:ligatures w14:val="none"/>
        </w:rPr>
        <w:noBreakHyphen/>
        <w:t>term stability of the approved orangery. It does not alter the approved design, does not affect heritage significance, and does not engage any heritage harm under the NPPF.</w:t>
      </w:r>
    </w:p>
    <w:p w14:paraId="15832235" w14:textId="77777777" w:rsidR="00833FBE" w:rsidRPr="00833FBE" w:rsidRDefault="00833FBE" w:rsidP="00833FBE">
      <w:pPr>
        <w:spacing w:before="100" w:beforeAutospacing="1" w:after="100" w:afterAutospacing="1" w:line="240" w:lineRule="auto"/>
        <w:rPr>
          <w:rFonts w:eastAsia="Times New Roman" w:cs="Times New Roman"/>
          <w:kern w:val="0"/>
          <w:lang w:eastAsia="en-GB"/>
          <w14:ligatures w14:val="none"/>
        </w:rPr>
      </w:pPr>
      <w:r w:rsidRPr="00833FBE">
        <w:rPr>
          <w:rFonts w:eastAsia="Times New Roman" w:cs="Times New Roman"/>
          <w:kern w:val="0"/>
          <w:lang w:eastAsia="en-GB"/>
          <w14:ligatures w14:val="none"/>
        </w:rPr>
        <w:t xml:space="preserve">The amendment therefore represents a </w:t>
      </w:r>
      <w:r w:rsidRPr="004A0DB4">
        <w:rPr>
          <w:rFonts w:eastAsia="Times New Roman" w:cs="Times New Roman"/>
          <w:kern w:val="0"/>
          <w:lang w:eastAsia="en-GB"/>
          <w14:ligatures w14:val="none"/>
        </w:rPr>
        <w:t>sensitive and appropriate enhancement</w:t>
      </w:r>
      <w:r w:rsidRPr="00833FBE">
        <w:rPr>
          <w:rFonts w:eastAsia="Times New Roman" w:cs="Times New Roman"/>
          <w:kern w:val="0"/>
          <w:lang w:eastAsia="en-GB"/>
          <w14:ligatures w14:val="none"/>
        </w:rPr>
        <w:t xml:space="preserve"> to the approved scheme and should be supported.</w:t>
      </w:r>
    </w:p>
    <w:p w14:paraId="460FF12F" w14:textId="77777777" w:rsidR="000A21B2" w:rsidRDefault="000A21B2"/>
    <w:sectPr w:rsidR="000A21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DAA"/>
    <w:multiLevelType w:val="multilevel"/>
    <w:tmpl w:val="2AD492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4C0DA3"/>
    <w:multiLevelType w:val="multilevel"/>
    <w:tmpl w:val="A8B0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04433"/>
    <w:multiLevelType w:val="multilevel"/>
    <w:tmpl w:val="19A6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C3D81"/>
    <w:multiLevelType w:val="multilevel"/>
    <w:tmpl w:val="774C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27C4B"/>
    <w:multiLevelType w:val="multilevel"/>
    <w:tmpl w:val="464AF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B30B4"/>
    <w:multiLevelType w:val="multilevel"/>
    <w:tmpl w:val="6A00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042709"/>
    <w:multiLevelType w:val="multilevel"/>
    <w:tmpl w:val="A1C0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95048"/>
    <w:multiLevelType w:val="multilevel"/>
    <w:tmpl w:val="2192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D812F8"/>
    <w:multiLevelType w:val="multilevel"/>
    <w:tmpl w:val="B230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317909">
    <w:abstractNumId w:val="0"/>
  </w:num>
  <w:num w:numId="2" w16cid:durableId="252402556">
    <w:abstractNumId w:val="4"/>
  </w:num>
  <w:num w:numId="3" w16cid:durableId="1854878956">
    <w:abstractNumId w:val="3"/>
  </w:num>
  <w:num w:numId="4" w16cid:durableId="1596594569">
    <w:abstractNumId w:val="1"/>
  </w:num>
  <w:num w:numId="5" w16cid:durableId="2015918503">
    <w:abstractNumId w:val="5"/>
  </w:num>
  <w:num w:numId="6" w16cid:durableId="1849830620">
    <w:abstractNumId w:val="7"/>
  </w:num>
  <w:num w:numId="7" w16cid:durableId="859584430">
    <w:abstractNumId w:val="2"/>
  </w:num>
  <w:num w:numId="8" w16cid:durableId="943418171">
    <w:abstractNumId w:val="8"/>
  </w:num>
  <w:num w:numId="9" w16cid:durableId="16188313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BE"/>
    <w:rsid w:val="000A21B2"/>
    <w:rsid w:val="003513D8"/>
    <w:rsid w:val="004A0DB4"/>
    <w:rsid w:val="006A6ED3"/>
    <w:rsid w:val="00741A78"/>
    <w:rsid w:val="00793485"/>
    <w:rsid w:val="00793870"/>
    <w:rsid w:val="00833FBE"/>
    <w:rsid w:val="008A657F"/>
    <w:rsid w:val="009A2ACE"/>
    <w:rsid w:val="00A048CE"/>
    <w:rsid w:val="00AC2D1E"/>
    <w:rsid w:val="00C8489E"/>
    <w:rsid w:val="00CA127C"/>
    <w:rsid w:val="00D915D1"/>
    <w:rsid w:val="00DE2B06"/>
    <w:rsid w:val="00ED3177"/>
    <w:rsid w:val="00EE489E"/>
    <w:rsid w:val="00F35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58466"/>
  <w15:chartTrackingRefBased/>
  <w15:docId w15:val="{79976D47-D830-47DB-B671-B6A1C3721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F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3F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3F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F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F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F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F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F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F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F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3F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3F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F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F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F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F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F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FBE"/>
    <w:rPr>
      <w:rFonts w:eastAsiaTheme="majorEastAsia" w:cstheme="majorBidi"/>
      <w:color w:val="272727" w:themeColor="text1" w:themeTint="D8"/>
    </w:rPr>
  </w:style>
  <w:style w:type="paragraph" w:styleId="Title">
    <w:name w:val="Title"/>
    <w:basedOn w:val="Normal"/>
    <w:next w:val="Normal"/>
    <w:link w:val="TitleChar"/>
    <w:uiPriority w:val="10"/>
    <w:qFormat/>
    <w:rsid w:val="00833F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F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F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F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FBE"/>
    <w:pPr>
      <w:spacing w:before="160"/>
      <w:jc w:val="center"/>
    </w:pPr>
    <w:rPr>
      <w:i/>
      <w:iCs/>
      <w:color w:val="404040" w:themeColor="text1" w:themeTint="BF"/>
    </w:rPr>
  </w:style>
  <w:style w:type="character" w:customStyle="1" w:styleId="QuoteChar">
    <w:name w:val="Quote Char"/>
    <w:basedOn w:val="DefaultParagraphFont"/>
    <w:link w:val="Quote"/>
    <w:uiPriority w:val="29"/>
    <w:rsid w:val="00833FBE"/>
    <w:rPr>
      <w:i/>
      <w:iCs/>
      <w:color w:val="404040" w:themeColor="text1" w:themeTint="BF"/>
    </w:rPr>
  </w:style>
  <w:style w:type="paragraph" w:styleId="ListParagraph">
    <w:name w:val="List Paragraph"/>
    <w:basedOn w:val="Normal"/>
    <w:uiPriority w:val="34"/>
    <w:qFormat/>
    <w:rsid w:val="00833FBE"/>
    <w:pPr>
      <w:ind w:left="720"/>
      <w:contextualSpacing/>
    </w:pPr>
  </w:style>
  <w:style w:type="character" w:styleId="IntenseEmphasis">
    <w:name w:val="Intense Emphasis"/>
    <w:basedOn w:val="DefaultParagraphFont"/>
    <w:uiPriority w:val="21"/>
    <w:qFormat/>
    <w:rsid w:val="00833FBE"/>
    <w:rPr>
      <w:i/>
      <w:iCs/>
      <w:color w:val="0F4761" w:themeColor="accent1" w:themeShade="BF"/>
    </w:rPr>
  </w:style>
  <w:style w:type="paragraph" w:styleId="IntenseQuote">
    <w:name w:val="Intense Quote"/>
    <w:basedOn w:val="Normal"/>
    <w:next w:val="Normal"/>
    <w:link w:val="IntenseQuoteChar"/>
    <w:uiPriority w:val="30"/>
    <w:qFormat/>
    <w:rsid w:val="00833F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FBE"/>
    <w:rPr>
      <w:i/>
      <w:iCs/>
      <w:color w:val="0F4761" w:themeColor="accent1" w:themeShade="BF"/>
    </w:rPr>
  </w:style>
  <w:style w:type="character" w:styleId="IntenseReference">
    <w:name w:val="Intense Reference"/>
    <w:basedOn w:val="DefaultParagraphFont"/>
    <w:uiPriority w:val="32"/>
    <w:qFormat/>
    <w:rsid w:val="00833FBE"/>
    <w:rPr>
      <w:b/>
      <w:bCs/>
      <w:smallCaps/>
      <w:color w:val="0F4761" w:themeColor="accent1" w:themeShade="BF"/>
      <w:spacing w:val="5"/>
    </w:rPr>
  </w:style>
  <w:style w:type="paragraph" w:styleId="NormalWeb">
    <w:name w:val="Normal (Web)"/>
    <w:basedOn w:val="Normal"/>
    <w:uiPriority w:val="99"/>
    <w:semiHidden/>
    <w:unhideWhenUsed/>
    <w:rsid w:val="00833F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33F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A59A28D182004AAFD8BA89E2019B0A" ma:contentTypeVersion="15" ma:contentTypeDescription="Create a new document." ma:contentTypeScope="" ma:versionID="aa44db56d2b6fa2d0544ac017bdb60ea">
  <xsd:schema xmlns:xsd="http://www.w3.org/2001/XMLSchema" xmlns:xs="http://www.w3.org/2001/XMLSchema" xmlns:p="http://schemas.microsoft.com/office/2006/metadata/properties" xmlns:ns3="2bf12e56-b839-4c20-84c5-def33a1db4d2" xmlns:ns4="b731d0a6-ddd5-4a19-a9e3-b87b478c766d" targetNamespace="http://schemas.microsoft.com/office/2006/metadata/properties" ma:root="true" ma:fieldsID="746e97024444777543f6215c80becf9d" ns3:_="" ns4:_="">
    <xsd:import namespace="2bf12e56-b839-4c20-84c5-def33a1db4d2"/>
    <xsd:import namespace="b731d0a6-ddd5-4a19-a9e3-b87b478c766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12e56-b839-4c20-84c5-def33a1db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31d0a6-ddd5-4a19-a9e3-b87b478c76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bf12e56-b839-4c20-84c5-def33a1db4d2" xsi:nil="true"/>
  </documentManagement>
</p:properties>
</file>

<file path=customXml/itemProps1.xml><?xml version="1.0" encoding="utf-8"?>
<ds:datastoreItem xmlns:ds="http://schemas.openxmlformats.org/officeDocument/2006/customXml" ds:itemID="{CF2B0EE4-9BEF-48F8-BEC4-EA584B9A0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12e56-b839-4c20-84c5-def33a1db4d2"/>
    <ds:schemaRef ds:uri="b731d0a6-ddd5-4a19-a9e3-b87b478c7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8DAF94-6F60-4607-BE81-7C24817C885B}">
  <ds:schemaRefs>
    <ds:schemaRef ds:uri="http://schemas.microsoft.com/sharepoint/v3/contenttype/forms"/>
  </ds:schemaRefs>
</ds:datastoreItem>
</file>

<file path=customXml/itemProps3.xml><?xml version="1.0" encoding="utf-8"?>
<ds:datastoreItem xmlns:ds="http://schemas.openxmlformats.org/officeDocument/2006/customXml" ds:itemID="{A61FB9DB-DE7E-4284-A2B0-F703F7C7EB95}">
  <ds:schemaRefs>
    <ds:schemaRef ds:uri="http://schemas.microsoft.com/office/2006/metadata/properties"/>
    <ds:schemaRef ds:uri="http://schemas.microsoft.com/office/infopath/2007/PartnerControls"/>
    <ds:schemaRef ds:uri="2bf12e56-b839-4c20-84c5-def33a1db4d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Bell</dc:creator>
  <cp:keywords/>
  <dc:description/>
  <cp:lastModifiedBy>Karen Bell</cp:lastModifiedBy>
  <cp:revision>2</cp:revision>
  <dcterms:created xsi:type="dcterms:W3CDTF">2026-07-02T09:28:00Z</dcterms:created>
  <dcterms:modified xsi:type="dcterms:W3CDTF">2026-07-02T09:28:00Z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0x01010067A59A28D182004AAFD8BA89E2019B0A</vt:lpwstr>
  </property>
</Properties>
</file>