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330E9" w14:textId="77777777" w:rsidR="00472D2F" w:rsidRDefault="000A34D0">
      <w:pPr>
        <w:spacing w:after="60"/>
      </w:pPr>
      <w:r>
        <w:rPr>
          <w:b/>
          <w:bCs/>
          <w:color w:val="1F3864"/>
          <w:sz w:val="36"/>
          <w:szCs w:val="36"/>
        </w:rPr>
        <w:t>Process Water Self-Sufficiency and Water Demand</w:t>
      </w:r>
    </w:p>
    <w:p w14:paraId="69C330EA" w14:textId="77777777" w:rsidR="00472D2F" w:rsidRDefault="000A34D0">
      <w:pPr>
        <w:spacing w:after="40"/>
      </w:pPr>
      <w:r>
        <w:rPr>
          <w:color w:val="444444"/>
        </w:rPr>
        <w:t>Objection to Wiltshire Council Planning Application PL/2023/03359</w:t>
      </w:r>
    </w:p>
    <w:p w14:paraId="69C330EB" w14:textId="77777777" w:rsidR="00472D2F" w:rsidRDefault="000A34D0">
      <w:pPr>
        <w:spacing w:after="40"/>
      </w:pPr>
      <w:r>
        <w:rPr>
          <w:color w:val="444444"/>
        </w:rPr>
        <w:t>Anaerobic Digestion Facility, Land West of Ashton Road, Ashton Keynes, SN6 6QT</w:t>
      </w:r>
    </w:p>
    <w:p w14:paraId="69C330EC" w14:textId="77777777" w:rsidR="00472D2F" w:rsidRDefault="000A34D0">
      <w:pPr>
        <w:spacing w:after="200"/>
      </w:pPr>
      <w:r>
        <w:rPr>
          <w:b/>
          <w:bCs/>
          <w:color w:val="444444"/>
        </w:rPr>
        <w:t xml:space="preserve">N G </w:t>
      </w:r>
      <w:proofErr w:type="gramStart"/>
      <w:r>
        <w:rPr>
          <w:b/>
          <w:bCs/>
          <w:color w:val="444444"/>
        </w:rPr>
        <w:t>Cartwright  –</w:t>
      </w:r>
      <w:proofErr w:type="gramEnd"/>
      <w:r>
        <w:rPr>
          <w:b/>
          <w:bCs/>
          <w:color w:val="444444"/>
        </w:rPr>
        <w:t xml:space="preserve">  June 2026</w:t>
      </w:r>
    </w:p>
    <w:p w14:paraId="69C330ED" w14:textId="77777777" w:rsidR="00472D2F" w:rsidRDefault="00472D2F">
      <w:pPr>
        <w:pBdr>
          <w:bottom w:val="single" w:sz="4" w:space="1" w:color="2E75B6"/>
        </w:pBdr>
        <w:spacing w:before="120" w:after="120"/>
      </w:pPr>
    </w:p>
    <w:p w14:paraId="69C330EE" w14:textId="77777777" w:rsidR="00472D2F" w:rsidRDefault="000A34D0">
      <w:pPr>
        <w:spacing w:before="60" w:after="120"/>
        <w:jc w:val="both"/>
      </w:pPr>
      <w:r>
        <w:rPr>
          <w:b/>
          <w:bCs/>
          <w:color w:val="444444"/>
        </w:rPr>
        <w:t xml:space="preserve">I strongly object to this application. </w:t>
      </w:r>
      <w:r>
        <w:rPr>
          <w:color w:val="444444"/>
        </w:rPr>
        <w:t xml:space="preserve">This objection addresses a specific and fundamental failing in the application: the claim that the proposed facility will be entirely self-sufficient in process water through rainwater harvesting. That claim is </w:t>
      </w:r>
      <w:r>
        <w:rPr>
          <w:b/>
          <w:bCs/>
          <w:color w:val="444444"/>
        </w:rPr>
        <w:t>arithmetically false on the applicant’s own submitted data</w:t>
      </w:r>
      <w:r>
        <w:rPr>
          <w:color w:val="444444"/>
        </w:rPr>
        <w:t>, and its falsity has material consequences for this site, this water catchment, and for the statutory consultees who have not been given the correct picture.</w:t>
      </w:r>
    </w:p>
    <w:p w14:paraId="69C330EF" w14:textId="77777777" w:rsidR="00472D2F" w:rsidRDefault="000A34D0">
      <w:pPr>
        <w:spacing w:before="60" w:after="120"/>
        <w:jc w:val="both"/>
      </w:pPr>
      <w:r>
        <w:rPr>
          <w:color w:val="444444"/>
        </w:rPr>
        <w:t xml:space="preserve">This is a planning decision, and the committee is asked to treat it as such. The arithmetic demonstrated in this objection is not a technical dispute for the applicant to resolve after permission is granted: it is a material gap in the evidence base that goes to whether this development can lawfully be permitted at all. </w:t>
      </w:r>
      <w:r>
        <w:rPr>
          <w:b/>
          <w:bCs/>
          <w:color w:val="444444"/>
        </w:rPr>
        <w:t>The committee must not determine this application until Thames Water has been formally asked, and has answered in writing, whether the mains water supply network in this zone can accommodate the undisclosed industrial water demand demonstrated here.</w:t>
      </w:r>
      <w:r>
        <w:rPr>
          <w:color w:val="444444"/>
        </w:rPr>
        <w:t xml:space="preserve"> Thames Water has already raised network capacity concerns about development in this supply zone (DTS Ref 73676, February 2026), concerns the Planning Inspector treated as requiring binding pre-commencement conditions. The specific question of whether this supply</w:t>
      </w:r>
      <w:r>
        <w:rPr>
          <w:color w:val="444444"/>
        </w:rPr>
        <w:t xml:space="preserve"> zone can absorb an additional undisclosed industrial demand of approximately 11,762 m³/year (rising to approximately 21,435 m³/year once the DIA’s misapplied climate change uplift is corrected) has never been put to Thames Water. It must be, before any decision is made. Separately, the Environment Agency must also be formally reconsulted on the groundwater quantity implications of the structural water deficit: if the shortfall of approximately 11,762 m³/year (up to approximately 21,435 m³/year on the corre</w:t>
      </w:r>
      <w:r>
        <w:rPr>
          <w:color w:val="444444"/>
        </w:rPr>
        <w:t>cted SAAR basis) is to be met from groundwater abstraction, that requires a licence under the Water Resources Act 1991 from the Cornbrash Limestone aquifer in SPZ2 — a question the Environment Agency has never been asked to consider for this application, and which falls squarely within its statutory remit on water resources.</w:t>
      </w:r>
    </w:p>
    <w:p w14:paraId="69C330F0" w14:textId="77777777" w:rsidR="00472D2F" w:rsidRDefault="000A34D0">
      <w:pPr>
        <w:spacing w:before="60" w:after="120"/>
        <w:jc w:val="both"/>
      </w:pPr>
      <w:r>
        <w:rPr>
          <w:color w:val="444444"/>
        </w:rPr>
        <w:t>This objection should be read alongside my earlier objection of 4 May 2026 on established pollutant pathway and groundwater risk, and the JBA Consulting Technical Note Q25-2520 commissioned by South Cerney Parish Council.</w:t>
      </w:r>
    </w:p>
    <w:p w14:paraId="69C330F1" w14:textId="77777777" w:rsidR="00472D2F" w:rsidRDefault="00472D2F">
      <w:pPr>
        <w:pBdr>
          <w:bottom w:val="single" w:sz="4" w:space="1" w:color="2E75B6"/>
        </w:pBdr>
        <w:spacing w:before="120" w:after="120"/>
      </w:pPr>
    </w:p>
    <w:p w14:paraId="69C330F2" w14:textId="77777777" w:rsidR="00472D2F" w:rsidRDefault="000A34D0">
      <w:pPr>
        <w:pStyle w:val="Heading1"/>
      </w:pPr>
      <w:r>
        <w:t>1. The Applicant’s Claim</w:t>
      </w:r>
    </w:p>
    <w:p w14:paraId="69C330F3" w14:textId="77777777" w:rsidR="00472D2F" w:rsidRDefault="000A34D0">
      <w:pPr>
        <w:spacing w:before="60" w:after="120"/>
        <w:jc w:val="both"/>
      </w:pPr>
      <w:r>
        <w:rPr>
          <w:color w:val="444444"/>
        </w:rPr>
        <w:t>The process water self-sufficiency claim appears across multiple documents in the application:</w:t>
      </w:r>
    </w:p>
    <w:p w14:paraId="69C330F4" w14:textId="77777777" w:rsidR="00472D2F" w:rsidRDefault="000A34D0">
      <w:pPr>
        <w:pStyle w:val="ListParagraph"/>
        <w:numPr>
          <w:ilvl w:val="0"/>
          <w:numId w:val="2"/>
        </w:numPr>
        <w:spacing w:before="40" w:after="60"/>
      </w:pPr>
      <w:r>
        <w:rPr>
          <w:color w:val="444444"/>
        </w:rPr>
        <w:t>Environmental Statement Chapter 3, paragraph 3.26: the facility will operate on harvested rainwater with no mains water connection.</w:t>
      </w:r>
    </w:p>
    <w:p w14:paraId="69C330F5" w14:textId="77777777" w:rsidR="00472D2F" w:rsidRDefault="000A34D0">
      <w:pPr>
        <w:pStyle w:val="ListParagraph"/>
        <w:numPr>
          <w:ilvl w:val="0"/>
          <w:numId w:val="2"/>
        </w:numPr>
        <w:spacing w:before="40" w:after="60"/>
      </w:pPr>
      <w:r>
        <w:rPr>
          <w:color w:val="444444"/>
        </w:rPr>
        <w:t>Non-Technical Summary, section 4.8.2: ‘rainwater capture is expected to be sufficient for up to 100% of the process water demand.’</w:t>
      </w:r>
    </w:p>
    <w:p w14:paraId="69C330F6" w14:textId="77777777" w:rsidR="00472D2F" w:rsidRDefault="000A34D0">
      <w:pPr>
        <w:pStyle w:val="ListParagraph"/>
        <w:numPr>
          <w:ilvl w:val="0"/>
          <w:numId w:val="2"/>
        </w:numPr>
        <w:spacing w:before="40" w:after="60"/>
      </w:pPr>
      <w:r>
        <w:rPr>
          <w:color w:val="444444"/>
        </w:rPr>
        <w:t>Updated Flood Risk Assessment (SLR Consulting, V3, 1 October 2025), Executive Summary – Proposals Description: ‘Based on annual average estimates, rainwater capture is expected to be sufficient for up to 100% of the process water demand.’</w:t>
      </w:r>
    </w:p>
    <w:p w14:paraId="69C330F7" w14:textId="77777777" w:rsidR="00472D2F" w:rsidRDefault="00472D2F">
      <w:pPr>
        <w:spacing w:before="80"/>
      </w:pPr>
    </w:p>
    <w:p w14:paraId="69C330F8" w14:textId="77777777" w:rsidR="00472D2F" w:rsidRDefault="000A34D0">
      <w:pPr>
        <w:spacing w:before="60" w:after="120"/>
        <w:jc w:val="both"/>
      </w:pPr>
      <w:r>
        <w:rPr>
          <w:color w:val="444444"/>
        </w:rPr>
        <w:t>This claim is not incidental. It is used in the planning balance to argue that the facility will have no impact on local water resources — no mains demand, no abstraction licence requirement, no infrastructure implications. If the claim is false, those arguments fall with it. I believe this claim to be false.</w:t>
      </w:r>
    </w:p>
    <w:p w14:paraId="69C330F9" w14:textId="77777777" w:rsidR="00472D2F" w:rsidRDefault="00472D2F">
      <w:pPr>
        <w:pBdr>
          <w:bottom w:val="single" w:sz="4" w:space="1" w:color="2E75B6"/>
        </w:pBdr>
        <w:spacing w:before="120" w:after="120"/>
      </w:pPr>
    </w:p>
    <w:p w14:paraId="69C330FA" w14:textId="77777777" w:rsidR="00472D2F" w:rsidRDefault="000A34D0">
      <w:pPr>
        <w:pStyle w:val="Heading1"/>
      </w:pPr>
      <w:r>
        <w:lastRenderedPageBreak/>
        <w:t>2. The Deficit Is Admitted in the Applicant’s Own Drainage Document</w:t>
      </w:r>
    </w:p>
    <w:p w14:paraId="69C330FB" w14:textId="77777777" w:rsidR="00472D2F" w:rsidRDefault="000A34D0">
      <w:pPr>
        <w:pStyle w:val="Heading2"/>
      </w:pPr>
      <w:r>
        <w:t>2.1 The Drainage Impact Assessment Is the Authoritative Source</w:t>
      </w:r>
    </w:p>
    <w:p w14:paraId="69C330FC" w14:textId="77777777" w:rsidR="00472D2F" w:rsidRDefault="000A34D0">
      <w:pPr>
        <w:spacing w:before="60" w:after="120"/>
        <w:jc w:val="both"/>
      </w:pPr>
      <w:r>
        <w:rPr>
          <w:color w:val="444444"/>
        </w:rPr>
        <w:t>The Drainage Impact Assessment (GGP Consult, GGP-29419-CD-DIA-01, 9 September 2024) is the applicant’s own engineering drainage document, produced to accompany the October 2024 design changes and to discharge the pre-commencement drainage conditions imposed by Wiltshire Council. It was reviewed and accepted (subject to conditions) by the Lead Local Flood Authority on 28 November 2024. It is the most authoritative drainage document in the application. It is also the document that most directly contradicts th</w:t>
      </w:r>
      <w:r>
        <w:rPr>
          <w:color w:val="444444"/>
        </w:rPr>
        <w:t>e self-sufficiency claim — not through analysis by objectors, but through the applicant’s own calculations.</w:t>
      </w:r>
    </w:p>
    <w:p w14:paraId="69C330FD" w14:textId="77777777" w:rsidR="00472D2F" w:rsidRDefault="000A34D0">
      <w:pPr>
        <w:spacing w:before="60" w:after="120"/>
        <w:jc w:val="both"/>
      </w:pPr>
      <w:r>
        <w:rPr>
          <w:color w:val="444444"/>
        </w:rPr>
        <w:t>The three 2025 Design Refinements agreed with Wiltshire Council officers in March 2025 — a reduction in building height, additional screen planting, and a wildflower meadow — do not affect the drainage strategy. GGP Consult confirmed that these changes have no material impact on the DIA and do not result in any increase in impermeable area or change in drainage design philosophy (FRA V3, Section 6.4). The DIA figures are therefore current and apply to the as-designed scheme.</w:t>
      </w:r>
    </w:p>
    <w:p w14:paraId="69C330FE" w14:textId="77777777" w:rsidR="00472D2F" w:rsidRDefault="000A34D0">
      <w:pPr>
        <w:pStyle w:val="Heading2"/>
      </w:pPr>
      <w:r>
        <w:t>2.2 What DIA Section 10 Actually Says</w:t>
      </w:r>
    </w:p>
    <w:p w14:paraId="69C330FF" w14:textId="77777777" w:rsidR="00472D2F" w:rsidRDefault="000A34D0">
      <w:pPr>
        <w:spacing w:before="60" w:after="120"/>
        <w:jc w:val="both"/>
      </w:pPr>
      <w:r>
        <w:rPr>
          <w:color w:val="444444"/>
        </w:rPr>
        <w:t>Section 10 of the DIA is headed ‘Process Water Supply’. It is the sole section of the application devoted to quantifying the facility’s water balance. Its opening sentence states the process water demand in unambiguous terms:</w:t>
      </w:r>
    </w:p>
    <w:tbl>
      <w:tblPr>
        <w:tblW w:w="9026" w:type="dxa"/>
        <w:tblCellMar>
          <w:left w:w="10" w:type="dxa"/>
          <w:right w:w="10" w:type="dxa"/>
        </w:tblCellMar>
        <w:tblLook w:val="04A0" w:firstRow="1" w:lastRow="0" w:firstColumn="1" w:lastColumn="0" w:noHBand="0" w:noVBand="1"/>
      </w:tblPr>
      <w:tblGrid>
        <w:gridCol w:w="9026"/>
      </w:tblGrid>
      <w:tr w:rsidR="00472D2F" w14:paraId="69C33102" w14:textId="77777777">
        <w:tc>
          <w:tcPr>
            <w:tcW w:w="9026" w:type="dxa"/>
            <w:tcBorders>
              <w:top w:val="single" w:sz="1" w:space="0" w:color="2E75B6"/>
              <w:left w:val="single" w:sz="1" w:space="0" w:color="2E75B6"/>
              <w:bottom w:val="single" w:sz="1" w:space="0" w:color="2E75B6"/>
              <w:right w:val="single" w:sz="1" w:space="0" w:color="2E75B6"/>
            </w:tcBorders>
            <w:shd w:val="clear" w:color="auto" w:fill="D5E8F0"/>
            <w:tcMar>
              <w:top w:w="100" w:type="dxa"/>
              <w:left w:w="200" w:type="dxa"/>
              <w:bottom w:w="100" w:type="dxa"/>
              <w:right w:w="160" w:type="dxa"/>
            </w:tcMar>
          </w:tcPr>
          <w:p w14:paraId="69C33100" w14:textId="77777777" w:rsidR="00472D2F" w:rsidRDefault="000A34D0">
            <w:pPr>
              <w:spacing w:before="40" w:after="40"/>
            </w:pPr>
            <w:r>
              <w:rPr>
                <w:i/>
                <w:color w:val="444444"/>
                <w:sz w:val="21"/>
                <w:szCs w:val="21"/>
              </w:rPr>
              <w:t>“</w:t>
            </w:r>
            <w:proofErr w:type="gramStart"/>
            <w:r>
              <w:rPr>
                <w:i/>
                <w:color w:val="444444"/>
                <w:sz w:val="21"/>
                <w:szCs w:val="21"/>
              </w:rPr>
              <w:t>the</w:t>
            </w:r>
            <w:proofErr w:type="gramEnd"/>
            <w:r>
              <w:rPr>
                <w:i/>
                <w:color w:val="444444"/>
                <w:sz w:val="21"/>
                <w:szCs w:val="21"/>
              </w:rPr>
              <w:t xml:space="preserve"> process has a yearly operation demand of 42,000m³, equating to a continuous flow of 1l/s.”</w:t>
            </w:r>
          </w:p>
          <w:p w14:paraId="69C33101" w14:textId="77777777" w:rsidR="00472D2F" w:rsidRDefault="000A34D0">
            <w:pPr>
              <w:spacing w:before="20" w:after="40"/>
            </w:pPr>
            <w:r>
              <w:rPr>
                <w:color w:val="444444"/>
                <w:sz w:val="20"/>
                <w:szCs w:val="20"/>
              </w:rPr>
              <w:t>DIA Section 10, GGP Consult, 9 September 2024</w:t>
            </w:r>
          </w:p>
        </w:tc>
      </w:tr>
    </w:tbl>
    <w:p w14:paraId="69C33103" w14:textId="77777777" w:rsidR="00472D2F" w:rsidRDefault="00472D2F">
      <w:pPr>
        <w:spacing w:before="80"/>
      </w:pPr>
    </w:p>
    <w:p w14:paraId="69C33104" w14:textId="77777777" w:rsidR="00472D2F" w:rsidRDefault="000A34D0">
      <w:pPr>
        <w:spacing w:before="60" w:after="120"/>
        <w:jc w:val="both"/>
      </w:pPr>
      <w:r>
        <w:rPr>
          <w:color w:val="444444"/>
        </w:rPr>
        <w:t>Section 10 then performs a water balance calculation using the contaminated (foul water) catchment — the areas that can legitimately feed process water recycling. The applicant’s own figures, taken directly from DIA Section 10, are: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472D2F" w14:paraId="69C33107" w14:textId="77777777">
        <w:tc>
          <w:tcPr>
            <w:tcW w:w="4513" w:type="dxa"/>
            <w:shd w:val="clear" w:color="auto" w:fill="1F3864"/>
            <w:tcMar>
              <w:top w:w="80" w:type="dxa"/>
              <w:left w:w="120" w:type="dxa"/>
              <w:bottom w:w="80" w:type="dxa"/>
              <w:right w:w="120" w:type="dxa"/>
            </w:tcMar>
          </w:tcPr>
          <w:p w14:paraId="69C33105" w14:textId="77777777" w:rsidR="00472D2F" w:rsidRDefault="000A34D0">
            <w:r>
              <w:rPr>
                <w:b/>
                <w:color w:val="FFFFFF"/>
                <w:sz w:val="20"/>
                <w:szCs w:val="20"/>
              </w:rPr>
              <w:t>DIA Section 10 Parameter</w:t>
            </w:r>
          </w:p>
        </w:tc>
        <w:tc>
          <w:tcPr>
            <w:tcW w:w="4513" w:type="dxa"/>
            <w:shd w:val="clear" w:color="auto" w:fill="1F3864"/>
            <w:tcMar>
              <w:top w:w="80" w:type="dxa"/>
              <w:left w:w="120" w:type="dxa"/>
              <w:bottom w:w="80" w:type="dxa"/>
              <w:right w:w="120" w:type="dxa"/>
            </w:tcMar>
          </w:tcPr>
          <w:p w14:paraId="69C33106" w14:textId="77777777" w:rsidR="00472D2F" w:rsidRDefault="000A34D0">
            <w:r>
              <w:rPr>
                <w:b/>
                <w:color w:val="FFFFFF"/>
                <w:sz w:val="20"/>
                <w:szCs w:val="20"/>
              </w:rPr>
              <w:t>Applicant’s Figure (DIA)</w:t>
            </w:r>
          </w:p>
        </w:tc>
      </w:tr>
      <w:tr w:rsidR="00472D2F" w14:paraId="69C3310A" w14:textId="77777777">
        <w:tc>
          <w:tcPr>
            <w:tcW w:w="4513" w:type="dxa"/>
            <w:shd w:val="clear" w:color="auto" w:fill="F5F5F5"/>
            <w:tcMar>
              <w:top w:w="80" w:type="dxa"/>
              <w:left w:w="120" w:type="dxa"/>
              <w:bottom w:w="80" w:type="dxa"/>
              <w:right w:w="120" w:type="dxa"/>
            </w:tcMar>
          </w:tcPr>
          <w:p w14:paraId="69C33108" w14:textId="77777777" w:rsidR="00472D2F" w:rsidRDefault="000A34D0">
            <w:r>
              <w:rPr>
                <w:color w:val="444444"/>
                <w:sz w:val="20"/>
                <w:szCs w:val="20"/>
              </w:rPr>
              <w:t>Process water demand (stated)</w:t>
            </w:r>
          </w:p>
        </w:tc>
        <w:tc>
          <w:tcPr>
            <w:tcW w:w="4513" w:type="dxa"/>
            <w:shd w:val="clear" w:color="auto" w:fill="F5F5F5"/>
            <w:tcMar>
              <w:top w:w="80" w:type="dxa"/>
              <w:left w:w="120" w:type="dxa"/>
              <w:bottom w:w="80" w:type="dxa"/>
              <w:right w:w="120" w:type="dxa"/>
            </w:tcMar>
          </w:tcPr>
          <w:p w14:paraId="69C33109" w14:textId="77777777" w:rsidR="00472D2F" w:rsidRDefault="000A34D0">
            <w:r>
              <w:rPr>
                <w:color w:val="444444"/>
                <w:sz w:val="20"/>
                <w:szCs w:val="20"/>
              </w:rPr>
              <w:t>42,000 m³/year (1 litre/second continuous)</w:t>
            </w:r>
          </w:p>
        </w:tc>
      </w:tr>
      <w:tr w:rsidR="00472D2F" w14:paraId="69C3310D" w14:textId="77777777">
        <w:tc>
          <w:tcPr>
            <w:tcW w:w="4513" w:type="dxa"/>
            <w:shd w:val="clear" w:color="auto" w:fill="FFFFFF"/>
            <w:tcMar>
              <w:top w:w="80" w:type="dxa"/>
              <w:left w:w="120" w:type="dxa"/>
              <w:bottom w:w="80" w:type="dxa"/>
              <w:right w:w="120" w:type="dxa"/>
            </w:tcMar>
          </w:tcPr>
          <w:p w14:paraId="69C3310B" w14:textId="77777777" w:rsidR="00472D2F" w:rsidRDefault="000A34D0">
            <w:r>
              <w:rPr>
                <w:color w:val="444444"/>
                <w:sz w:val="20"/>
                <w:szCs w:val="20"/>
              </w:rPr>
              <w:t>Annual average rainfall (AAR) used</w:t>
            </w:r>
          </w:p>
        </w:tc>
        <w:tc>
          <w:tcPr>
            <w:tcW w:w="4513" w:type="dxa"/>
            <w:shd w:val="clear" w:color="auto" w:fill="FFFFFF"/>
            <w:tcMar>
              <w:top w:w="80" w:type="dxa"/>
              <w:left w:w="120" w:type="dxa"/>
              <w:bottom w:w="80" w:type="dxa"/>
              <w:right w:w="120" w:type="dxa"/>
            </w:tcMar>
          </w:tcPr>
          <w:p w14:paraId="69C3310C" w14:textId="77777777" w:rsidR="00472D2F" w:rsidRDefault="000A34D0">
            <w:r>
              <w:rPr>
                <w:color w:val="444444"/>
                <w:sz w:val="20"/>
                <w:szCs w:val="20"/>
              </w:rPr>
              <w:t>0.773 m (773 mm), with 40% climate change uplift applied</w:t>
            </w:r>
          </w:p>
        </w:tc>
      </w:tr>
      <w:tr w:rsidR="00472D2F" w14:paraId="69C33110" w14:textId="77777777">
        <w:tc>
          <w:tcPr>
            <w:tcW w:w="4513" w:type="dxa"/>
            <w:shd w:val="clear" w:color="auto" w:fill="F5F5F5"/>
            <w:tcMar>
              <w:top w:w="80" w:type="dxa"/>
              <w:left w:w="120" w:type="dxa"/>
              <w:bottom w:w="80" w:type="dxa"/>
              <w:right w:w="120" w:type="dxa"/>
            </w:tcMar>
          </w:tcPr>
          <w:p w14:paraId="69C3310E" w14:textId="77777777" w:rsidR="00472D2F" w:rsidRDefault="000A34D0">
            <w:r>
              <w:rPr>
                <w:color w:val="444444"/>
                <w:sz w:val="20"/>
                <w:szCs w:val="20"/>
              </w:rPr>
              <w:t>Contaminated catchment area (catchments 5, 6, 7)</w:t>
            </w:r>
          </w:p>
        </w:tc>
        <w:tc>
          <w:tcPr>
            <w:tcW w:w="4513" w:type="dxa"/>
            <w:shd w:val="clear" w:color="auto" w:fill="F5F5F5"/>
            <w:tcMar>
              <w:top w:w="80" w:type="dxa"/>
              <w:left w:w="120" w:type="dxa"/>
              <w:bottom w:w="80" w:type="dxa"/>
              <w:right w:w="120" w:type="dxa"/>
            </w:tcMar>
          </w:tcPr>
          <w:p w14:paraId="69C3310F" w14:textId="77777777" w:rsidR="00472D2F" w:rsidRDefault="000A34D0">
            <w:r>
              <w:rPr>
                <w:color w:val="444444"/>
                <w:sz w:val="20"/>
                <w:szCs w:val="20"/>
              </w:rPr>
              <w:t>27,941 m²</w:t>
            </w:r>
          </w:p>
        </w:tc>
      </w:tr>
      <w:tr w:rsidR="00472D2F" w14:paraId="69C33113" w14:textId="77777777">
        <w:tc>
          <w:tcPr>
            <w:tcW w:w="4513" w:type="dxa"/>
            <w:shd w:val="clear" w:color="auto" w:fill="FFFFFF"/>
            <w:tcMar>
              <w:top w:w="80" w:type="dxa"/>
              <w:left w:w="120" w:type="dxa"/>
              <w:bottom w:w="80" w:type="dxa"/>
              <w:right w:w="120" w:type="dxa"/>
            </w:tcMar>
          </w:tcPr>
          <w:p w14:paraId="69C33111" w14:textId="77777777" w:rsidR="00472D2F" w:rsidRDefault="000A34D0">
            <w:r>
              <w:rPr>
                <w:color w:val="444444"/>
                <w:sz w:val="20"/>
                <w:szCs w:val="20"/>
              </w:rPr>
              <w:t>Contaminated catchment annual yield (DIA calculation)</w:t>
            </w:r>
          </w:p>
        </w:tc>
        <w:tc>
          <w:tcPr>
            <w:tcW w:w="4513" w:type="dxa"/>
            <w:shd w:val="clear" w:color="auto" w:fill="FFFFFF"/>
            <w:tcMar>
              <w:top w:w="80" w:type="dxa"/>
              <w:left w:w="120" w:type="dxa"/>
              <w:bottom w:w="80" w:type="dxa"/>
              <w:right w:w="120" w:type="dxa"/>
            </w:tcMar>
          </w:tcPr>
          <w:p w14:paraId="69C33112" w14:textId="77777777" w:rsidR="00472D2F" w:rsidRDefault="000A34D0">
            <w:r>
              <w:rPr>
                <w:color w:val="444444"/>
                <w:sz w:val="20"/>
                <w:szCs w:val="20"/>
              </w:rPr>
              <w:t>27,941 × 0.773 × 1.40 = 30,238 m³/year</w:t>
            </w:r>
          </w:p>
        </w:tc>
      </w:tr>
      <w:tr w:rsidR="00472D2F" w14:paraId="69C33116" w14:textId="77777777">
        <w:tc>
          <w:tcPr>
            <w:tcW w:w="4513" w:type="dxa"/>
            <w:shd w:val="clear" w:color="auto" w:fill="F8CECC"/>
            <w:tcMar>
              <w:top w:w="80" w:type="dxa"/>
              <w:left w:w="120" w:type="dxa"/>
              <w:bottom w:w="80" w:type="dxa"/>
              <w:right w:w="120" w:type="dxa"/>
            </w:tcMar>
          </w:tcPr>
          <w:p w14:paraId="69C33114" w14:textId="77777777" w:rsidR="00472D2F" w:rsidRDefault="000A34D0">
            <w:r>
              <w:rPr>
                <w:b/>
                <w:color w:val="444444"/>
                <w:sz w:val="20"/>
                <w:szCs w:val="20"/>
              </w:rPr>
              <w:t>Deficit (demand minus contaminated catchment supply)</w:t>
            </w:r>
          </w:p>
        </w:tc>
        <w:tc>
          <w:tcPr>
            <w:tcW w:w="4513" w:type="dxa"/>
            <w:shd w:val="clear" w:color="auto" w:fill="F8CECC"/>
            <w:tcMar>
              <w:top w:w="80" w:type="dxa"/>
              <w:left w:w="120" w:type="dxa"/>
              <w:bottom w:w="80" w:type="dxa"/>
              <w:right w:w="120" w:type="dxa"/>
            </w:tcMar>
          </w:tcPr>
          <w:p w14:paraId="69C33115" w14:textId="77777777" w:rsidR="00472D2F" w:rsidRDefault="000A34D0">
            <w:r>
              <w:rPr>
                <w:b/>
                <w:color w:val="444444"/>
                <w:sz w:val="20"/>
                <w:szCs w:val="20"/>
              </w:rPr>
              <w:t>42,000 − 30,238 = 11,762 m³/year (28% shortfall)</w:t>
            </w:r>
          </w:p>
        </w:tc>
      </w:tr>
    </w:tbl>
    <w:p w14:paraId="69C33117" w14:textId="77777777" w:rsidR="00472D2F" w:rsidRDefault="00472D2F">
      <w:pPr>
        <w:spacing w:before="80"/>
      </w:pPr>
    </w:p>
    <w:p w14:paraId="69C33118" w14:textId="77777777" w:rsidR="00472D2F" w:rsidRDefault="000A34D0">
      <w:pPr>
        <w:spacing w:before="60" w:after="120"/>
        <w:jc w:val="both"/>
      </w:pPr>
      <w:r>
        <w:rPr>
          <w:color w:val="444444"/>
        </w:rPr>
        <w:t xml:space="preserve">This arithmetic is the applicant’s own. GGP Consult, writing on behalf of Acorn Bioenergy, calculated a process water supply of 30,238 m³/year from the contaminated catchment and a demand of 42,000 m³/year. The 11,762 m³/year deficit — 28% of annual demand — is embedded in the applicant’s own drainage assessment. It was submitted to Wiltshire Council in September 2024. The self-sufficiency </w:t>
      </w:r>
      <w:proofErr w:type="gramStart"/>
      <w:r>
        <w:rPr>
          <w:color w:val="444444"/>
        </w:rPr>
        <w:t>claim</w:t>
      </w:r>
      <w:proofErr w:type="gramEnd"/>
      <w:r>
        <w:rPr>
          <w:color w:val="444444"/>
        </w:rPr>
        <w:t xml:space="preserve"> in the ES and NTS has never been reconciled with it.</w:t>
      </w:r>
    </w:p>
    <w:p w14:paraId="69C33119" w14:textId="77777777" w:rsidR="00472D2F" w:rsidRDefault="000A34D0">
      <w:pPr>
        <w:pStyle w:val="Heading2"/>
      </w:pPr>
      <w:r>
        <w:t>2.3 The DIA’s Proposed Solution Is a Circular Water Balance</w:t>
      </w:r>
    </w:p>
    <w:p w14:paraId="69C3311A" w14:textId="77777777" w:rsidR="00472D2F" w:rsidRDefault="000A34D0">
      <w:pPr>
        <w:spacing w:before="60" w:after="120"/>
        <w:jc w:val="both"/>
      </w:pPr>
      <w:r>
        <w:rPr>
          <w:color w:val="444444"/>
        </w:rPr>
        <w:t>Having identified the deficit, DIA Section 10 proposes to resolve it with the following statement:</w:t>
      </w:r>
    </w:p>
    <w:tbl>
      <w:tblPr>
        <w:tblW w:w="9026" w:type="dxa"/>
        <w:tblCellMar>
          <w:left w:w="10" w:type="dxa"/>
          <w:right w:w="10" w:type="dxa"/>
        </w:tblCellMar>
        <w:tblLook w:val="04A0" w:firstRow="1" w:lastRow="0" w:firstColumn="1" w:lastColumn="0" w:noHBand="0" w:noVBand="1"/>
      </w:tblPr>
      <w:tblGrid>
        <w:gridCol w:w="9026"/>
      </w:tblGrid>
      <w:tr w:rsidR="00472D2F" w14:paraId="69C3311E" w14:textId="77777777">
        <w:tc>
          <w:tcPr>
            <w:tcW w:w="9026" w:type="dxa"/>
            <w:tcBorders>
              <w:top w:val="single" w:sz="1" w:space="0" w:color="D6B656"/>
              <w:left w:val="single" w:sz="1" w:space="0" w:color="D6B656"/>
              <w:bottom w:val="single" w:sz="1" w:space="0" w:color="D6B656"/>
              <w:right w:val="single" w:sz="1" w:space="0" w:color="D6B656"/>
            </w:tcBorders>
            <w:shd w:val="clear" w:color="auto" w:fill="FFF2CC"/>
            <w:tcMar>
              <w:top w:w="100" w:type="dxa"/>
              <w:left w:w="200" w:type="dxa"/>
              <w:bottom w:w="100" w:type="dxa"/>
              <w:right w:w="160" w:type="dxa"/>
            </w:tcMar>
          </w:tcPr>
          <w:p w14:paraId="69C3311B" w14:textId="77777777" w:rsidR="00472D2F" w:rsidRDefault="000A34D0">
            <w:pPr>
              <w:spacing w:before="40" w:after="60"/>
            </w:pPr>
            <w:r>
              <w:rPr>
                <w:i/>
                <w:color w:val="444444"/>
                <w:sz w:val="21"/>
                <w:szCs w:val="21"/>
              </w:rPr>
              <w:lastRenderedPageBreak/>
              <w:t>“Where possible the shortfall in water demand based on the average annual rainfall shall be collected from any clean water system and used within the AD process.”</w:t>
            </w:r>
          </w:p>
          <w:p w14:paraId="69C3311C" w14:textId="77777777" w:rsidR="00472D2F" w:rsidRDefault="000A34D0">
            <w:pPr>
              <w:spacing w:before="20" w:after="60"/>
            </w:pPr>
            <w:r>
              <w:rPr>
                <w:i/>
                <w:color w:val="444444"/>
                <w:sz w:val="21"/>
                <w:szCs w:val="21"/>
              </w:rPr>
              <w:t>“Taking the full runoff area of 37,634 m², Total annual rainfall (including climate change) = 40,731 m³.”</w:t>
            </w:r>
          </w:p>
          <w:p w14:paraId="69C3311D" w14:textId="77777777" w:rsidR="00472D2F" w:rsidRDefault="000A34D0">
            <w:pPr>
              <w:spacing w:before="20" w:after="40"/>
            </w:pPr>
            <w:r>
              <w:rPr>
                <w:color w:val="444444"/>
                <w:sz w:val="20"/>
                <w:szCs w:val="20"/>
              </w:rPr>
              <w:t>DIA Section 10, GGP Consult, 9 September 2024</w:t>
            </w:r>
          </w:p>
        </w:tc>
      </w:tr>
    </w:tbl>
    <w:p w14:paraId="69C3311F" w14:textId="77777777" w:rsidR="00472D2F" w:rsidRDefault="00472D2F">
      <w:pPr>
        <w:spacing w:before="80"/>
      </w:pPr>
    </w:p>
    <w:p w14:paraId="69C33120" w14:textId="77777777" w:rsidR="00472D2F" w:rsidRDefault="000A34D0">
      <w:pPr>
        <w:spacing w:before="60" w:after="120"/>
        <w:jc w:val="both"/>
      </w:pPr>
      <w:r>
        <w:rPr>
          <w:color w:val="444444"/>
        </w:rPr>
        <w:t>The ‘full runoff area of 37,634 m²’ combines the contaminated catchment (27,941 m²) with the clean water catchment (approximately 9,693 m² of roofs and uncontaminated hardstanding). The DIA is proposing to divert clean roof water — already committed to the surface water discharge system — into the process water supply to cover the deficit. This is a circular water balance. The same clean water catchment is simultaneously:</w:t>
      </w:r>
    </w:p>
    <w:p w14:paraId="69C33121" w14:textId="77777777" w:rsidR="00472D2F" w:rsidRDefault="000A34D0">
      <w:pPr>
        <w:pStyle w:val="ListParagraph"/>
        <w:numPr>
          <w:ilvl w:val="0"/>
          <w:numId w:val="2"/>
        </w:numPr>
        <w:spacing w:before="40" w:after="60"/>
      </w:pPr>
      <w:r>
        <w:rPr>
          <w:color w:val="444444"/>
        </w:rPr>
        <w:t>Modelled in the DIA’s attenuation calculations as discharging to the clean surface water system at 7.5 l/s via the Oldcastle crate storage; and</w:t>
      </w:r>
    </w:p>
    <w:p w14:paraId="69C33122" w14:textId="77777777" w:rsidR="00472D2F" w:rsidRDefault="000A34D0">
      <w:pPr>
        <w:pStyle w:val="ListParagraph"/>
        <w:numPr>
          <w:ilvl w:val="0"/>
          <w:numId w:val="2"/>
        </w:numPr>
        <w:spacing w:before="40" w:after="60"/>
      </w:pPr>
      <w:r>
        <w:rPr>
          <w:color w:val="444444"/>
        </w:rPr>
        <w:t>Proposed in DIA Section 10 as a supplementary source for process water supply when the contaminated catchment falls short.</w:t>
      </w:r>
    </w:p>
    <w:p w14:paraId="69C33123" w14:textId="77777777" w:rsidR="00472D2F" w:rsidRDefault="000A34D0">
      <w:pPr>
        <w:spacing w:before="60" w:after="120"/>
        <w:jc w:val="both"/>
      </w:pPr>
      <w:r>
        <w:rPr>
          <w:color w:val="444444"/>
        </w:rPr>
        <w:t xml:space="preserve">These are mutually exclusive destinations. A cubic metre of clean roof water cannot simultaneously flow to the surface water attenuation system and into process water storage. The FRA V3 (Section 6.4) confirms that ‘all impermeable surfaces comprising roofs, external hardstanding operational area, parking area and access road’ are drained to </w:t>
      </w:r>
      <w:proofErr w:type="spellStart"/>
      <w:r>
        <w:rPr>
          <w:color w:val="444444"/>
        </w:rPr>
        <w:t>SuDS</w:t>
      </w:r>
      <w:proofErr w:type="spellEnd"/>
      <w:r>
        <w:rPr>
          <w:color w:val="444444"/>
        </w:rPr>
        <w:t xml:space="preserve"> for surface water discharge. The DIA’s own hydraulic model treats them as discharge. DIA Section 10 simultaneously treats the same water as a process supply. The water balance is internally self-contradictory within a single document.</w:t>
      </w:r>
    </w:p>
    <w:p w14:paraId="69C33124" w14:textId="77777777" w:rsidR="00472D2F" w:rsidRDefault="000A34D0">
      <w:pPr>
        <w:pStyle w:val="Heading2"/>
      </w:pPr>
      <w:r>
        <w:t>2.4 Independent Mass Balance Confirms the Deficit Is Larger Still</w:t>
      </w:r>
    </w:p>
    <w:p w14:paraId="69C33125" w14:textId="77777777" w:rsidR="00472D2F" w:rsidRDefault="000A34D0">
      <w:pPr>
        <w:spacing w:before="60" w:after="120"/>
        <w:jc w:val="both"/>
      </w:pPr>
      <w:r>
        <w:rPr>
          <w:color w:val="444444"/>
        </w:rPr>
        <w:t>The DIA’s own Section 10 figures establish the minimum deficit at 11,762 m³/year. An independent mass balance check using the applicant’s Transport Statement digestate output tonnages and ES feedstock data suggests the true process water demand may be higher than the 42,000 m³/year the DIA states: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16"/>
        <w:gridCol w:w="1805"/>
        <w:gridCol w:w="1805"/>
      </w:tblGrid>
      <w:tr w:rsidR="00472D2F" w14:paraId="69C33129" w14:textId="77777777">
        <w:tc>
          <w:tcPr>
            <w:tcW w:w="5416" w:type="dxa"/>
            <w:shd w:val="clear" w:color="auto" w:fill="1F3864"/>
            <w:tcMar>
              <w:top w:w="80" w:type="dxa"/>
              <w:left w:w="120" w:type="dxa"/>
              <w:bottom w:w="80" w:type="dxa"/>
              <w:right w:w="120" w:type="dxa"/>
            </w:tcMar>
          </w:tcPr>
          <w:p w14:paraId="69C33126" w14:textId="77777777" w:rsidR="00472D2F" w:rsidRDefault="000A34D0">
            <w:r>
              <w:rPr>
                <w:b/>
                <w:color w:val="FFFFFF"/>
                <w:sz w:val="20"/>
                <w:szCs w:val="20"/>
              </w:rPr>
              <w:t>Parameter</w:t>
            </w:r>
          </w:p>
        </w:tc>
        <w:tc>
          <w:tcPr>
            <w:tcW w:w="1805" w:type="dxa"/>
            <w:shd w:val="clear" w:color="auto" w:fill="1F3864"/>
            <w:tcMar>
              <w:top w:w="80" w:type="dxa"/>
              <w:left w:w="120" w:type="dxa"/>
              <w:bottom w:w="80" w:type="dxa"/>
              <w:right w:w="120" w:type="dxa"/>
            </w:tcMar>
          </w:tcPr>
          <w:p w14:paraId="69C33127" w14:textId="77777777" w:rsidR="00472D2F" w:rsidRDefault="000A34D0">
            <w:r>
              <w:rPr>
                <w:b/>
                <w:color w:val="FFFFFF"/>
                <w:sz w:val="20"/>
                <w:szCs w:val="20"/>
              </w:rPr>
              <w:t>Figure</w:t>
            </w:r>
          </w:p>
        </w:tc>
        <w:tc>
          <w:tcPr>
            <w:tcW w:w="1805" w:type="dxa"/>
            <w:shd w:val="clear" w:color="auto" w:fill="1F3864"/>
            <w:tcMar>
              <w:top w:w="80" w:type="dxa"/>
              <w:left w:w="120" w:type="dxa"/>
              <w:bottom w:w="80" w:type="dxa"/>
              <w:right w:w="120" w:type="dxa"/>
            </w:tcMar>
          </w:tcPr>
          <w:p w14:paraId="69C33128" w14:textId="77777777" w:rsidR="00472D2F" w:rsidRDefault="000A34D0">
            <w:r>
              <w:rPr>
                <w:b/>
                <w:color w:val="FFFFFF"/>
                <w:sz w:val="20"/>
                <w:szCs w:val="20"/>
              </w:rPr>
              <w:t>Source</w:t>
            </w:r>
          </w:p>
        </w:tc>
      </w:tr>
      <w:tr w:rsidR="00472D2F" w14:paraId="69C3312D" w14:textId="77777777">
        <w:tc>
          <w:tcPr>
            <w:tcW w:w="5416" w:type="dxa"/>
            <w:shd w:val="clear" w:color="auto" w:fill="F5F5F5"/>
            <w:tcMar>
              <w:top w:w="80" w:type="dxa"/>
              <w:left w:w="120" w:type="dxa"/>
              <w:bottom w:w="80" w:type="dxa"/>
              <w:right w:w="120" w:type="dxa"/>
            </w:tcMar>
          </w:tcPr>
          <w:p w14:paraId="69C3312A" w14:textId="77777777" w:rsidR="00472D2F" w:rsidRDefault="000A34D0">
            <w:r>
              <w:rPr>
                <w:color w:val="444444"/>
                <w:sz w:val="20"/>
                <w:szCs w:val="20"/>
              </w:rPr>
              <w:t>Total feedstock input</w:t>
            </w:r>
          </w:p>
        </w:tc>
        <w:tc>
          <w:tcPr>
            <w:tcW w:w="1805" w:type="dxa"/>
            <w:shd w:val="clear" w:color="auto" w:fill="F5F5F5"/>
            <w:tcMar>
              <w:top w:w="80" w:type="dxa"/>
              <w:left w:w="120" w:type="dxa"/>
              <w:bottom w:w="80" w:type="dxa"/>
              <w:right w:w="120" w:type="dxa"/>
            </w:tcMar>
          </w:tcPr>
          <w:p w14:paraId="69C3312B" w14:textId="77777777" w:rsidR="00472D2F" w:rsidRDefault="000A34D0">
            <w:r>
              <w:rPr>
                <w:color w:val="444444"/>
                <w:sz w:val="20"/>
                <w:szCs w:val="20"/>
              </w:rPr>
              <w:t>91,000 t/yr</w:t>
            </w:r>
          </w:p>
        </w:tc>
        <w:tc>
          <w:tcPr>
            <w:tcW w:w="1805" w:type="dxa"/>
            <w:shd w:val="clear" w:color="auto" w:fill="F5F5F5"/>
            <w:tcMar>
              <w:top w:w="80" w:type="dxa"/>
              <w:left w:w="120" w:type="dxa"/>
              <w:bottom w:w="80" w:type="dxa"/>
              <w:right w:w="120" w:type="dxa"/>
            </w:tcMar>
          </w:tcPr>
          <w:p w14:paraId="69C3312C" w14:textId="77777777" w:rsidR="00472D2F" w:rsidRDefault="000A34D0">
            <w:r>
              <w:rPr>
                <w:color w:val="444444"/>
                <w:sz w:val="20"/>
                <w:szCs w:val="20"/>
              </w:rPr>
              <w:t>ES Ch. 3</w:t>
            </w:r>
          </w:p>
        </w:tc>
      </w:tr>
      <w:tr w:rsidR="00472D2F" w14:paraId="69C33131" w14:textId="77777777">
        <w:tc>
          <w:tcPr>
            <w:tcW w:w="5416" w:type="dxa"/>
            <w:shd w:val="clear" w:color="auto" w:fill="FFFFFF"/>
            <w:tcMar>
              <w:top w:w="80" w:type="dxa"/>
              <w:left w:w="120" w:type="dxa"/>
              <w:bottom w:w="80" w:type="dxa"/>
              <w:right w:w="120" w:type="dxa"/>
            </w:tcMar>
          </w:tcPr>
          <w:p w14:paraId="69C3312E" w14:textId="77777777" w:rsidR="00472D2F" w:rsidRDefault="000A34D0">
            <w:r>
              <w:rPr>
                <w:color w:val="444444"/>
                <w:sz w:val="20"/>
                <w:szCs w:val="20"/>
              </w:rPr>
              <w:t>Liquid digestate output</w:t>
            </w:r>
          </w:p>
        </w:tc>
        <w:tc>
          <w:tcPr>
            <w:tcW w:w="1805" w:type="dxa"/>
            <w:shd w:val="clear" w:color="auto" w:fill="FFFFFF"/>
            <w:tcMar>
              <w:top w:w="80" w:type="dxa"/>
              <w:left w:w="120" w:type="dxa"/>
              <w:bottom w:w="80" w:type="dxa"/>
              <w:right w:w="120" w:type="dxa"/>
            </w:tcMar>
          </w:tcPr>
          <w:p w14:paraId="69C3312F" w14:textId="77777777" w:rsidR="00472D2F" w:rsidRDefault="000A34D0">
            <w:r>
              <w:rPr>
                <w:color w:val="444444"/>
                <w:sz w:val="20"/>
                <w:szCs w:val="20"/>
              </w:rPr>
              <w:t>67,586 t/yr</w:t>
            </w:r>
          </w:p>
        </w:tc>
        <w:tc>
          <w:tcPr>
            <w:tcW w:w="1805" w:type="dxa"/>
            <w:shd w:val="clear" w:color="auto" w:fill="FFFFFF"/>
            <w:tcMar>
              <w:top w:w="80" w:type="dxa"/>
              <w:left w:w="120" w:type="dxa"/>
              <w:bottom w:w="80" w:type="dxa"/>
              <w:right w:w="120" w:type="dxa"/>
            </w:tcMar>
          </w:tcPr>
          <w:p w14:paraId="69C33130" w14:textId="77777777" w:rsidR="00472D2F" w:rsidRDefault="000A34D0">
            <w:r>
              <w:rPr>
                <w:color w:val="444444"/>
                <w:sz w:val="20"/>
                <w:szCs w:val="20"/>
              </w:rPr>
              <w:t>Transport Statement</w:t>
            </w:r>
          </w:p>
        </w:tc>
      </w:tr>
      <w:tr w:rsidR="00472D2F" w14:paraId="69C33135" w14:textId="77777777">
        <w:tc>
          <w:tcPr>
            <w:tcW w:w="5416" w:type="dxa"/>
            <w:shd w:val="clear" w:color="auto" w:fill="F5F5F5"/>
            <w:tcMar>
              <w:top w:w="80" w:type="dxa"/>
              <w:left w:w="120" w:type="dxa"/>
              <w:bottom w:w="80" w:type="dxa"/>
              <w:right w:w="120" w:type="dxa"/>
            </w:tcMar>
          </w:tcPr>
          <w:p w14:paraId="69C33132" w14:textId="77777777" w:rsidR="00472D2F" w:rsidRDefault="000A34D0">
            <w:r>
              <w:rPr>
                <w:color w:val="444444"/>
                <w:sz w:val="20"/>
                <w:szCs w:val="20"/>
              </w:rPr>
              <w:t>Solid digestate output</w:t>
            </w:r>
          </w:p>
        </w:tc>
        <w:tc>
          <w:tcPr>
            <w:tcW w:w="1805" w:type="dxa"/>
            <w:shd w:val="clear" w:color="auto" w:fill="F5F5F5"/>
            <w:tcMar>
              <w:top w:w="80" w:type="dxa"/>
              <w:left w:w="120" w:type="dxa"/>
              <w:bottom w:w="80" w:type="dxa"/>
              <w:right w:w="120" w:type="dxa"/>
            </w:tcMar>
          </w:tcPr>
          <w:p w14:paraId="69C33133" w14:textId="77777777" w:rsidR="00472D2F" w:rsidRDefault="000A34D0">
            <w:r>
              <w:rPr>
                <w:color w:val="444444"/>
                <w:sz w:val="20"/>
                <w:szCs w:val="20"/>
              </w:rPr>
              <w:t>49,755 t/yr</w:t>
            </w:r>
          </w:p>
        </w:tc>
        <w:tc>
          <w:tcPr>
            <w:tcW w:w="1805" w:type="dxa"/>
            <w:shd w:val="clear" w:color="auto" w:fill="F5F5F5"/>
            <w:tcMar>
              <w:top w:w="80" w:type="dxa"/>
              <w:left w:w="120" w:type="dxa"/>
              <w:bottom w:w="80" w:type="dxa"/>
              <w:right w:w="120" w:type="dxa"/>
            </w:tcMar>
          </w:tcPr>
          <w:p w14:paraId="69C33134" w14:textId="77777777" w:rsidR="00472D2F" w:rsidRDefault="000A34D0">
            <w:r>
              <w:rPr>
                <w:color w:val="444444"/>
                <w:sz w:val="20"/>
                <w:szCs w:val="20"/>
              </w:rPr>
              <w:t>Transport Statement</w:t>
            </w:r>
          </w:p>
        </w:tc>
      </w:tr>
      <w:tr w:rsidR="00472D2F" w14:paraId="69C33139" w14:textId="77777777">
        <w:tc>
          <w:tcPr>
            <w:tcW w:w="5416" w:type="dxa"/>
            <w:shd w:val="clear" w:color="auto" w:fill="FFFFFF"/>
            <w:tcMar>
              <w:top w:w="80" w:type="dxa"/>
              <w:left w:w="120" w:type="dxa"/>
              <w:bottom w:w="80" w:type="dxa"/>
              <w:right w:w="120" w:type="dxa"/>
            </w:tcMar>
          </w:tcPr>
          <w:p w14:paraId="69C33136" w14:textId="77777777" w:rsidR="00472D2F" w:rsidRDefault="000A34D0">
            <w:r>
              <w:rPr>
                <w:color w:val="444444"/>
                <w:sz w:val="20"/>
                <w:szCs w:val="20"/>
              </w:rPr>
              <w:t xml:space="preserve">Net water </w:t>
            </w:r>
            <w:proofErr w:type="gramStart"/>
            <w:r>
              <w:rPr>
                <w:color w:val="444444"/>
                <w:sz w:val="20"/>
                <w:szCs w:val="20"/>
              </w:rPr>
              <w:t>import</w:t>
            </w:r>
            <w:proofErr w:type="gramEnd"/>
            <w:r>
              <w:rPr>
                <w:color w:val="444444"/>
                <w:sz w:val="20"/>
                <w:szCs w:val="20"/>
              </w:rPr>
              <w:t xml:space="preserve"> implied by mass balance (outputs minus inputs)</w:t>
            </w:r>
          </w:p>
        </w:tc>
        <w:tc>
          <w:tcPr>
            <w:tcW w:w="1805" w:type="dxa"/>
            <w:shd w:val="clear" w:color="auto" w:fill="FFFFFF"/>
            <w:tcMar>
              <w:top w:w="80" w:type="dxa"/>
              <w:left w:w="120" w:type="dxa"/>
              <w:bottom w:w="80" w:type="dxa"/>
              <w:right w:w="120" w:type="dxa"/>
            </w:tcMar>
          </w:tcPr>
          <w:p w14:paraId="69C33137" w14:textId="77777777" w:rsidR="00472D2F" w:rsidRDefault="000A34D0">
            <w:r>
              <w:rPr>
                <w:color w:val="444444"/>
                <w:sz w:val="20"/>
                <w:szCs w:val="20"/>
              </w:rPr>
              <w:t>~26,341 t/yr</w:t>
            </w:r>
          </w:p>
        </w:tc>
        <w:tc>
          <w:tcPr>
            <w:tcW w:w="1805" w:type="dxa"/>
            <w:shd w:val="clear" w:color="auto" w:fill="FFFFFF"/>
            <w:tcMar>
              <w:top w:w="80" w:type="dxa"/>
              <w:left w:w="120" w:type="dxa"/>
              <w:bottom w:w="80" w:type="dxa"/>
              <w:right w:w="120" w:type="dxa"/>
            </w:tcMar>
          </w:tcPr>
          <w:p w14:paraId="69C33138" w14:textId="77777777" w:rsidR="00472D2F" w:rsidRDefault="000A34D0">
            <w:r>
              <w:rPr>
                <w:color w:val="444444"/>
                <w:sz w:val="20"/>
                <w:szCs w:val="20"/>
              </w:rPr>
              <w:t>Calculated</w:t>
            </w:r>
          </w:p>
        </w:tc>
      </w:tr>
      <w:tr w:rsidR="00472D2F" w14:paraId="69C3313D" w14:textId="77777777">
        <w:tc>
          <w:tcPr>
            <w:tcW w:w="5416" w:type="dxa"/>
            <w:shd w:val="clear" w:color="auto" w:fill="F5F5F5"/>
            <w:tcMar>
              <w:top w:w="80" w:type="dxa"/>
              <w:left w:w="120" w:type="dxa"/>
              <w:bottom w:w="80" w:type="dxa"/>
              <w:right w:w="120" w:type="dxa"/>
            </w:tcMar>
          </w:tcPr>
          <w:p w14:paraId="69C3313A" w14:textId="77777777" w:rsidR="00472D2F" w:rsidRDefault="000A34D0">
            <w:r>
              <w:rPr>
                <w:color w:val="444444"/>
                <w:sz w:val="20"/>
                <w:szCs w:val="20"/>
              </w:rPr>
              <w:t>Additional water demand (feedstock dilution, wash-down) not captured in DIA figure</w:t>
            </w:r>
          </w:p>
        </w:tc>
        <w:tc>
          <w:tcPr>
            <w:tcW w:w="1805" w:type="dxa"/>
            <w:shd w:val="clear" w:color="auto" w:fill="F5F5F5"/>
            <w:tcMar>
              <w:top w:w="80" w:type="dxa"/>
              <w:left w:w="120" w:type="dxa"/>
              <w:bottom w:w="80" w:type="dxa"/>
              <w:right w:w="120" w:type="dxa"/>
            </w:tcMar>
          </w:tcPr>
          <w:p w14:paraId="69C3313B" w14:textId="77777777" w:rsidR="00472D2F" w:rsidRDefault="000A34D0">
            <w:r>
              <w:rPr>
                <w:color w:val="444444"/>
                <w:sz w:val="20"/>
                <w:szCs w:val="20"/>
              </w:rPr>
              <w:t>~15,000–24,000 t/yr</w:t>
            </w:r>
          </w:p>
        </w:tc>
        <w:tc>
          <w:tcPr>
            <w:tcW w:w="1805" w:type="dxa"/>
            <w:shd w:val="clear" w:color="auto" w:fill="F5F5F5"/>
            <w:tcMar>
              <w:top w:w="80" w:type="dxa"/>
              <w:left w:w="120" w:type="dxa"/>
              <w:bottom w:w="80" w:type="dxa"/>
              <w:right w:w="120" w:type="dxa"/>
            </w:tcMar>
          </w:tcPr>
          <w:p w14:paraId="69C3313C" w14:textId="77777777" w:rsidR="00472D2F" w:rsidRDefault="000A34D0">
            <w:r>
              <w:rPr>
                <w:color w:val="444444"/>
                <w:sz w:val="20"/>
                <w:szCs w:val="20"/>
              </w:rPr>
              <w:t>Standard AD practice</w:t>
            </w:r>
          </w:p>
        </w:tc>
      </w:tr>
      <w:tr w:rsidR="00472D2F" w14:paraId="69C33141" w14:textId="77777777">
        <w:tc>
          <w:tcPr>
            <w:tcW w:w="5416" w:type="dxa"/>
            <w:shd w:val="clear" w:color="auto" w:fill="F8CECC"/>
            <w:tcMar>
              <w:top w:w="80" w:type="dxa"/>
              <w:left w:w="120" w:type="dxa"/>
              <w:bottom w:w="80" w:type="dxa"/>
              <w:right w:w="120" w:type="dxa"/>
            </w:tcMar>
          </w:tcPr>
          <w:p w14:paraId="69C3313E" w14:textId="77777777" w:rsidR="00472D2F" w:rsidRDefault="000A34D0">
            <w:r>
              <w:rPr>
                <w:b/>
                <w:color w:val="444444"/>
                <w:sz w:val="20"/>
                <w:szCs w:val="20"/>
              </w:rPr>
              <w:t>Probable total demand (mass balance basis)</w:t>
            </w:r>
          </w:p>
        </w:tc>
        <w:tc>
          <w:tcPr>
            <w:tcW w:w="1805" w:type="dxa"/>
            <w:shd w:val="clear" w:color="auto" w:fill="F8CECC"/>
            <w:tcMar>
              <w:top w:w="80" w:type="dxa"/>
              <w:left w:w="120" w:type="dxa"/>
              <w:bottom w:w="80" w:type="dxa"/>
              <w:right w:w="120" w:type="dxa"/>
            </w:tcMar>
          </w:tcPr>
          <w:p w14:paraId="69C3313F" w14:textId="77777777" w:rsidR="00472D2F" w:rsidRDefault="000A34D0">
            <w:r>
              <w:rPr>
                <w:b/>
                <w:color w:val="444444"/>
                <w:sz w:val="20"/>
                <w:szCs w:val="20"/>
              </w:rPr>
              <w:t>~41,000–50,000 t/yr</w:t>
            </w:r>
          </w:p>
        </w:tc>
        <w:tc>
          <w:tcPr>
            <w:tcW w:w="1805" w:type="dxa"/>
            <w:shd w:val="clear" w:color="auto" w:fill="F8CECC"/>
            <w:tcMar>
              <w:top w:w="80" w:type="dxa"/>
              <w:left w:w="120" w:type="dxa"/>
              <w:bottom w:w="80" w:type="dxa"/>
              <w:right w:w="120" w:type="dxa"/>
            </w:tcMar>
          </w:tcPr>
          <w:p w14:paraId="69C33140" w14:textId="77777777" w:rsidR="00472D2F" w:rsidRDefault="000A34D0">
            <w:r>
              <w:rPr>
                <w:b/>
                <w:color w:val="444444"/>
                <w:sz w:val="20"/>
                <w:szCs w:val="20"/>
              </w:rPr>
              <w:t>Mass balance</w:t>
            </w:r>
          </w:p>
        </w:tc>
      </w:tr>
    </w:tbl>
    <w:p w14:paraId="69C33142" w14:textId="77777777" w:rsidR="00472D2F" w:rsidRDefault="00472D2F">
      <w:pPr>
        <w:spacing w:before="80"/>
      </w:pPr>
    </w:p>
    <w:p w14:paraId="69C33143" w14:textId="77777777" w:rsidR="00472D2F" w:rsidRDefault="000A34D0">
      <w:pPr>
        <w:spacing w:before="60" w:after="120"/>
        <w:jc w:val="both"/>
      </w:pPr>
      <w:r>
        <w:rPr>
          <w:color w:val="444444"/>
        </w:rPr>
        <w:t>The mass balance suggests that the DIA’s stated demand of 42,000 m³/year may itself be an underestimate. However, the objection does not need to rely on this. Even accepting the DIA’s own demand figure without adjustment, the applicant’s drainage engineer has calculated and published a deficit of 11,762 m³/year (28%) that has never been acknowledged in the ES or NTS. That is the primary and sufficient basis for this objection. The mass balance and the methodological critique in Section 2.5 below both indica</w:t>
      </w:r>
      <w:r>
        <w:rPr>
          <w:color w:val="444444"/>
        </w:rPr>
        <w:t>te the true position is significantly worse.</w:t>
      </w:r>
    </w:p>
    <w:p w14:paraId="69C33144" w14:textId="77777777" w:rsidR="00472D2F" w:rsidRDefault="000A34D0">
      <w:pPr>
        <w:spacing w:before="60" w:after="120"/>
        <w:jc w:val="both"/>
      </w:pPr>
      <w:r>
        <w:rPr>
          <w:color w:val="444444"/>
        </w:rPr>
        <w:t xml:space="preserve">The structural deficit — on the DIA’s own figures — is equivalent to the annual water consumption of approximately 95 to 120 average households (rising to approximately 175 to 200 households on the corrected SAAR basis, once the DIA’s misapplied climate change uplift is removed). No abstraction </w:t>
      </w:r>
      <w:r>
        <w:rPr>
          <w:color w:val="444444"/>
        </w:rPr>
        <w:lastRenderedPageBreak/>
        <w:t>licence application, mains connection agreement, or water supply assessment has been submitted. The application contains no identification of where this water is to come from.</w:t>
      </w:r>
    </w:p>
    <w:p w14:paraId="69C33145" w14:textId="77777777" w:rsidR="00472D2F" w:rsidRDefault="000A34D0">
      <w:pPr>
        <w:pStyle w:val="Heading2"/>
      </w:pPr>
      <w:r>
        <w:t>2.5 The DIA Has Inflated Its Own Supply Figure by Misapplying a Climate Change Uplift</w:t>
      </w:r>
    </w:p>
    <w:p w14:paraId="69C33146" w14:textId="77777777" w:rsidR="00472D2F" w:rsidRDefault="000A34D0">
      <w:pPr>
        <w:spacing w:before="60" w:after="120"/>
        <w:jc w:val="both"/>
      </w:pPr>
      <w:r>
        <w:rPr>
          <w:color w:val="444444"/>
        </w:rPr>
        <w:t>The deficit of 11,762 m³/year identified in Section 2.2 is, in a further methodological sense, the best case for the applicant — because the DIA’s supply calculation contains an error that inflates the available supply figure. DIA Section 10 calculates the contaminated catchment yield by applying a 40% climate change uplift to the annual average rainfall:</w:t>
      </w:r>
    </w:p>
    <w:tbl>
      <w:tblPr>
        <w:tblW w:w="9026" w:type="dxa"/>
        <w:tblCellMar>
          <w:left w:w="10" w:type="dxa"/>
          <w:right w:w="10" w:type="dxa"/>
        </w:tblCellMar>
        <w:tblLook w:val="04A0" w:firstRow="1" w:lastRow="0" w:firstColumn="1" w:lastColumn="0" w:noHBand="0" w:noVBand="1"/>
      </w:tblPr>
      <w:tblGrid>
        <w:gridCol w:w="9026"/>
      </w:tblGrid>
      <w:tr w:rsidR="00472D2F" w14:paraId="69C33149" w14:textId="77777777">
        <w:tc>
          <w:tcPr>
            <w:tcW w:w="9026" w:type="dxa"/>
            <w:tcBorders>
              <w:top w:val="single" w:sz="1" w:space="0" w:color="D6B656"/>
              <w:left w:val="single" w:sz="1" w:space="0" w:color="D6B656"/>
              <w:bottom w:val="single" w:sz="1" w:space="0" w:color="D6B656"/>
              <w:right w:val="single" w:sz="1" w:space="0" w:color="D6B656"/>
            </w:tcBorders>
            <w:shd w:val="clear" w:color="auto" w:fill="FFF2CC"/>
            <w:tcMar>
              <w:top w:w="100" w:type="dxa"/>
              <w:left w:w="200" w:type="dxa"/>
              <w:bottom w:w="100" w:type="dxa"/>
              <w:right w:w="160" w:type="dxa"/>
            </w:tcMar>
          </w:tcPr>
          <w:p w14:paraId="69C33147" w14:textId="77777777" w:rsidR="00472D2F" w:rsidRDefault="000A34D0">
            <w:pPr>
              <w:spacing w:before="40" w:after="40"/>
            </w:pPr>
            <w:r>
              <w:rPr>
                <w:i/>
                <w:color w:val="444444"/>
                <w:sz w:val="21"/>
                <w:szCs w:val="21"/>
              </w:rPr>
              <w:t>27,941 m² × 0.773 m (AAR) × 1.40 (climate change uplift) = 30,238 m³/year</w:t>
            </w:r>
          </w:p>
          <w:p w14:paraId="69C33148" w14:textId="77777777" w:rsidR="00472D2F" w:rsidRDefault="000A34D0">
            <w:pPr>
              <w:spacing w:before="20" w:after="40"/>
            </w:pPr>
            <w:r>
              <w:rPr>
                <w:color w:val="444444"/>
                <w:sz w:val="20"/>
                <w:szCs w:val="20"/>
              </w:rPr>
              <w:t>DIA Section 10, GGP Consult, 9 September 2024</w:t>
            </w:r>
          </w:p>
        </w:tc>
      </w:tr>
    </w:tbl>
    <w:p w14:paraId="69C3314A" w14:textId="77777777" w:rsidR="00472D2F" w:rsidRDefault="00472D2F">
      <w:pPr>
        <w:spacing w:before="80"/>
      </w:pPr>
    </w:p>
    <w:p w14:paraId="69C3314B" w14:textId="77777777" w:rsidR="00472D2F" w:rsidRDefault="000A34D0">
      <w:pPr>
        <w:spacing w:before="60" w:after="120"/>
        <w:jc w:val="both"/>
      </w:pPr>
      <w:r>
        <w:rPr>
          <w:color w:val="444444"/>
        </w:rPr>
        <w:t xml:space="preserve">The application of a 40% climate change uplift to a water </w:t>
      </w:r>
      <w:r>
        <w:rPr>
          <w:i/>
          <w:color w:val="444444"/>
        </w:rPr>
        <w:t>supply</w:t>
      </w:r>
      <w:r>
        <w:rPr>
          <w:color w:val="444444"/>
        </w:rPr>
        <w:t xml:space="preserve"> calculation is a methodological error. Climate change uplifts of this type — referenced in the Environment Agency’s guidance and the FRA V3 (Section 5.2, Table 3) — are applied to </w:t>
      </w:r>
      <w:r>
        <w:rPr>
          <w:i/>
          <w:color w:val="444444"/>
        </w:rPr>
        <w:t>peak rainfall intensity</w:t>
      </w:r>
      <w:r>
        <w:rPr>
          <w:color w:val="444444"/>
        </w:rPr>
        <w:t xml:space="preserve"> for the purpose of sizing attenuation structures against future storm events. They represent the expected increase in short-duration, high-intensity rainfall under climate projections. They are not an estimate of how much more annual average rainfall there will be. Using a peak storm uplift to inflate the </w:t>
      </w:r>
      <w:r>
        <w:rPr>
          <w:color w:val="444444"/>
        </w:rPr>
        <w:t>available annual water supply is to confuse two entirely different hydrological quantities: the intensity of individual storm events and the total volume of water available over a year. Climate change in the UK is projected to produce wetter winters but drier summers, with more intense individual events — not simply 40% more rainfall year-round. Applying the uplift to the supply calculation systematically overstates the water available for process use.</w:t>
      </w:r>
    </w:p>
    <w:p w14:paraId="69C3314C" w14:textId="77777777" w:rsidR="00472D2F" w:rsidRDefault="000A34D0">
      <w:pPr>
        <w:spacing w:before="60" w:after="120"/>
        <w:jc w:val="both"/>
      </w:pPr>
      <w:r>
        <w:rPr>
          <w:color w:val="444444"/>
        </w:rPr>
        <w:t>The correct basis for a water supply assessment is the Standard Average Annual Rainfall (SAAR) without any peak-event uplift. The SAAR for this area is 736 mm. On that basis the contaminated catchment supply is: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9"/>
        <w:gridCol w:w="2708"/>
        <w:gridCol w:w="2709"/>
      </w:tblGrid>
      <w:tr w:rsidR="00472D2F" w14:paraId="69C33150" w14:textId="77777777">
        <w:tc>
          <w:tcPr>
            <w:tcW w:w="3609" w:type="dxa"/>
            <w:shd w:val="clear" w:color="auto" w:fill="1F3864"/>
            <w:tcMar>
              <w:top w:w="80" w:type="dxa"/>
              <w:left w:w="120" w:type="dxa"/>
              <w:bottom w:w="80" w:type="dxa"/>
              <w:right w:w="120" w:type="dxa"/>
            </w:tcMar>
          </w:tcPr>
          <w:p w14:paraId="69C3314D" w14:textId="77777777" w:rsidR="00472D2F" w:rsidRDefault="000A34D0">
            <w:r>
              <w:rPr>
                <w:b/>
                <w:color w:val="FFFFFF"/>
                <w:sz w:val="20"/>
                <w:szCs w:val="20"/>
              </w:rPr>
              <w:t>Basis</w:t>
            </w:r>
          </w:p>
        </w:tc>
        <w:tc>
          <w:tcPr>
            <w:tcW w:w="2708" w:type="dxa"/>
            <w:shd w:val="clear" w:color="auto" w:fill="1F3864"/>
            <w:tcMar>
              <w:top w:w="80" w:type="dxa"/>
              <w:left w:w="120" w:type="dxa"/>
              <w:bottom w:w="80" w:type="dxa"/>
              <w:right w:w="120" w:type="dxa"/>
            </w:tcMar>
          </w:tcPr>
          <w:p w14:paraId="69C3314E" w14:textId="77777777" w:rsidR="00472D2F" w:rsidRDefault="000A34D0">
            <w:r>
              <w:rPr>
                <w:b/>
                <w:color w:val="FFFFFF"/>
                <w:sz w:val="20"/>
                <w:szCs w:val="20"/>
              </w:rPr>
              <w:t>Supply (m³/yr)</w:t>
            </w:r>
          </w:p>
        </w:tc>
        <w:tc>
          <w:tcPr>
            <w:tcW w:w="2709" w:type="dxa"/>
            <w:shd w:val="clear" w:color="auto" w:fill="1F3864"/>
            <w:tcMar>
              <w:top w:w="80" w:type="dxa"/>
              <w:left w:w="120" w:type="dxa"/>
              <w:bottom w:w="80" w:type="dxa"/>
              <w:right w:w="120" w:type="dxa"/>
            </w:tcMar>
          </w:tcPr>
          <w:p w14:paraId="69C3314F" w14:textId="77777777" w:rsidR="00472D2F" w:rsidRDefault="000A34D0">
            <w:r>
              <w:rPr>
                <w:b/>
                <w:color w:val="FFFFFF"/>
                <w:sz w:val="20"/>
                <w:szCs w:val="20"/>
              </w:rPr>
              <w:t>Deficit vs 42,000 m³ demand</w:t>
            </w:r>
          </w:p>
        </w:tc>
      </w:tr>
      <w:tr w:rsidR="00472D2F" w14:paraId="69C33154" w14:textId="77777777">
        <w:tc>
          <w:tcPr>
            <w:tcW w:w="3609" w:type="dxa"/>
            <w:shd w:val="clear" w:color="auto" w:fill="F5F5F5"/>
            <w:tcMar>
              <w:top w:w="80" w:type="dxa"/>
              <w:left w:w="120" w:type="dxa"/>
              <w:bottom w:w="80" w:type="dxa"/>
              <w:right w:w="120" w:type="dxa"/>
            </w:tcMar>
          </w:tcPr>
          <w:p w14:paraId="69C33151" w14:textId="77777777" w:rsidR="00472D2F" w:rsidRDefault="000A34D0">
            <w:r>
              <w:rPr>
                <w:color w:val="444444"/>
                <w:sz w:val="20"/>
                <w:szCs w:val="20"/>
              </w:rPr>
              <w:t>DIA Section 10 (773mm AAR + 40% CC uplift)</w:t>
            </w:r>
          </w:p>
        </w:tc>
        <w:tc>
          <w:tcPr>
            <w:tcW w:w="2708" w:type="dxa"/>
            <w:shd w:val="clear" w:color="auto" w:fill="F5F5F5"/>
            <w:tcMar>
              <w:top w:w="80" w:type="dxa"/>
              <w:left w:w="120" w:type="dxa"/>
              <w:bottom w:w="80" w:type="dxa"/>
              <w:right w:w="120" w:type="dxa"/>
            </w:tcMar>
          </w:tcPr>
          <w:p w14:paraId="69C33152" w14:textId="77777777" w:rsidR="00472D2F" w:rsidRDefault="000A34D0">
            <w:r>
              <w:rPr>
                <w:color w:val="444444"/>
                <w:sz w:val="20"/>
                <w:szCs w:val="20"/>
              </w:rPr>
              <w:t>30,238</w:t>
            </w:r>
          </w:p>
        </w:tc>
        <w:tc>
          <w:tcPr>
            <w:tcW w:w="2709" w:type="dxa"/>
            <w:shd w:val="clear" w:color="auto" w:fill="F5F5F5"/>
            <w:tcMar>
              <w:top w:w="80" w:type="dxa"/>
              <w:left w:w="120" w:type="dxa"/>
              <w:bottom w:w="80" w:type="dxa"/>
              <w:right w:w="120" w:type="dxa"/>
            </w:tcMar>
          </w:tcPr>
          <w:p w14:paraId="69C33153" w14:textId="77777777" w:rsidR="00472D2F" w:rsidRDefault="000A34D0">
            <w:r>
              <w:rPr>
                <w:color w:val="444444"/>
                <w:sz w:val="20"/>
                <w:szCs w:val="20"/>
              </w:rPr>
              <w:t>11,762 (28%)</w:t>
            </w:r>
          </w:p>
        </w:tc>
      </w:tr>
      <w:tr w:rsidR="00472D2F" w14:paraId="69C33158" w14:textId="77777777">
        <w:tc>
          <w:tcPr>
            <w:tcW w:w="3609" w:type="dxa"/>
            <w:shd w:val="clear" w:color="auto" w:fill="FFFFFF"/>
            <w:tcMar>
              <w:top w:w="80" w:type="dxa"/>
              <w:left w:w="120" w:type="dxa"/>
              <w:bottom w:w="80" w:type="dxa"/>
              <w:right w:w="120" w:type="dxa"/>
            </w:tcMar>
          </w:tcPr>
          <w:p w14:paraId="69C33155" w14:textId="77777777" w:rsidR="00472D2F" w:rsidRDefault="000A34D0">
            <w:r>
              <w:rPr>
                <w:color w:val="444444"/>
                <w:sz w:val="20"/>
                <w:szCs w:val="20"/>
              </w:rPr>
              <w:t>DIA’s own 773mm AAR without CC uplift</w:t>
            </w:r>
          </w:p>
        </w:tc>
        <w:tc>
          <w:tcPr>
            <w:tcW w:w="2708" w:type="dxa"/>
            <w:shd w:val="clear" w:color="auto" w:fill="FFFFFF"/>
            <w:tcMar>
              <w:top w:w="80" w:type="dxa"/>
              <w:left w:w="120" w:type="dxa"/>
              <w:bottom w:w="80" w:type="dxa"/>
              <w:right w:w="120" w:type="dxa"/>
            </w:tcMar>
          </w:tcPr>
          <w:p w14:paraId="69C33156" w14:textId="77777777" w:rsidR="00472D2F" w:rsidRDefault="000A34D0">
            <w:r>
              <w:rPr>
                <w:color w:val="444444"/>
                <w:sz w:val="20"/>
                <w:szCs w:val="20"/>
              </w:rPr>
              <w:t>21,598</w:t>
            </w:r>
          </w:p>
        </w:tc>
        <w:tc>
          <w:tcPr>
            <w:tcW w:w="2709" w:type="dxa"/>
            <w:shd w:val="clear" w:color="auto" w:fill="FFFFFF"/>
            <w:tcMar>
              <w:top w:w="80" w:type="dxa"/>
              <w:left w:w="120" w:type="dxa"/>
              <w:bottom w:w="80" w:type="dxa"/>
              <w:right w:w="120" w:type="dxa"/>
            </w:tcMar>
          </w:tcPr>
          <w:p w14:paraId="69C33157" w14:textId="77777777" w:rsidR="00472D2F" w:rsidRDefault="000A34D0">
            <w:r>
              <w:rPr>
                <w:color w:val="444444"/>
                <w:sz w:val="20"/>
                <w:szCs w:val="20"/>
              </w:rPr>
              <w:t>20,402 (49%)</w:t>
            </w:r>
          </w:p>
        </w:tc>
      </w:tr>
      <w:tr w:rsidR="00472D2F" w14:paraId="69C3315C" w14:textId="77777777">
        <w:tc>
          <w:tcPr>
            <w:tcW w:w="3609" w:type="dxa"/>
            <w:shd w:val="clear" w:color="auto" w:fill="F8CECC"/>
            <w:tcMar>
              <w:top w:w="80" w:type="dxa"/>
              <w:left w:w="120" w:type="dxa"/>
              <w:bottom w:w="80" w:type="dxa"/>
              <w:right w:w="120" w:type="dxa"/>
            </w:tcMar>
          </w:tcPr>
          <w:p w14:paraId="69C33159" w14:textId="77777777" w:rsidR="00472D2F" w:rsidRDefault="000A34D0">
            <w:r>
              <w:rPr>
                <w:b/>
                <w:color w:val="444444"/>
                <w:sz w:val="20"/>
                <w:szCs w:val="20"/>
              </w:rPr>
              <w:t>Correct SAAR basis (736mm, no CC uplift)</w:t>
            </w:r>
          </w:p>
        </w:tc>
        <w:tc>
          <w:tcPr>
            <w:tcW w:w="2708" w:type="dxa"/>
            <w:shd w:val="clear" w:color="auto" w:fill="F8CECC"/>
            <w:tcMar>
              <w:top w:w="80" w:type="dxa"/>
              <w:left w:w="120" w:type="dxa"/>
              <w:bottom w:w="80" w:type="dxa"/>
              <w:right w:w="120" w:type="dxa"/>
            </w:tcMar>
          </w:tcPr>
          <w:p w14:paraId="69C3315A" w14:textId="77777777" w:rsidR="00472D2F" w:rsidRDefault="000A34D0">
            <w:r>
              <w:rPr>
                <w:b/>
                <w:color w:val="444444"/>
                <w:sz w:val="20"/>
                <w:szCs w:val="20"/>
              </w:rPr>
              <w:t>20,565</w:t>
            </w:r>
          </w:p>
        </w:tc>
        <w:tc>
          <w:tcPr>
            <w:tcW w:w="2709" w:type="dxa"/>
            <w:shd w:val="clear" w:color="auto" w:fill="F8CECC"/>
            <w:tcMar>
              <w:top w:w="80" w:type="dxa"/>
              <w:left w:w="120" w:type="dxa"/>
              <w:bottom w:w="80" w:type="dxa"/>
              <w:right w:w="120" w:type="dxa"/>
            </w:tcMar>
          </w:tcPr>
          <w:p w14:paraId="69C3315B" w14:textId="77777777" w:rsidR="00472D2F" w:rsidRDefault="000A34D0">
            <w:r>
              <w:rPr>
                <w:b/>
                <w:color w:val="444444"/>
                <w:sz w:val="20"/>
                <w:szCs w:val="20"/>
              </w:rPr>
              <w:t>21,435 (51%)</w:t>
            </w:r>
          </w:p>
        </w:tc>
      </w:tr>
    </w:tbl>
    <w:p w14:paraId="69C3315D" w14:textId="77777777" w:rsidR="00472D2F" w:rsidRDefault="00472D2F">
      <w:pPr>
        <w:spacing w:before="80"/>
      </w:pPr>
    </w:p>
    <w:p w14:paraId="69C3315E" w14:textId="77777777" w:rsidR="00472D2F" w:rsidRDefault="000A34D0">
      <w:pPr>
        <w:spacing w:before="60" w:after="120"/>
        <w:jc w:val="both"/>
      </w:pPr>
      <w:r>
        <w:rPr>
          <w:color w:val="444444"/>
        </w:rPr>
        <w:t xml:space="preserve">The 40% climate change uplift inflates the DIA’s own supply figure by 9,673 m³/year. That overstatement is nearly as large as the deficit the DIA itself admits to. Remove it, and the deficit more than doubles: from 11,762 m³/year (28%) on the DIA’s inflated figures to approximately 21,435 m³/year (51%) on the correct SAAR basis. On a proper supply </w:t>
      </w:r>
      <w:proofErr w:type="gramStart"/>
      <w:r>
        <w:rPr>
          <w:color w:val="444444"/>
        </w:rPr>
        <w:t>assessment</w:t>
      </w:r>
      <w:proofErr w:type="gramEnd"/>
      <w:r>
        <w:rPr>
          <w:color w:val="444444"/>
        </w:rPr>
        <w:t xml:space="preserve"> the facility cannot meet even half of its stated process water demand from rainfall on the contaminated catchment. It is not close to self-sufficient; it is structurally dependent on an external water source for </w:t>
      </w:r>
      <w:proofErr w:type="gramStart"/>
      <w:r>
        <w:rPr>
          <w:color w:val="444444"/>
        </w:rPr>
        <w:t>the majority of</w:t>
      </w:r>
      <w:proofErr w:type="gramEnd"/>
      <w:r>
        <w:rPr>
          <w:color w:val="444444"/>
        </w:rPr>
        <w:t xml:space="preserve"> its operational needs.</w:t>
      </w:r>
    </w:p>
    <w:p w14:paraId="69C3315F" w14:textId="77777777" w:rsidR="00472D2F" w:rsidRDefault="000A34D0">
      <w:pPr>
        <w:spacing w:before="60" w:after="120"/>
        <w:jc w:val="both"/>
      </w:pPr>
      <w:r>
        <w:rPr>
          <w:color w:val="444444"/>
        </w:rPr>
        <w:t xml:space="preserve">The primary objection rests on the DIA’s own admitted figures, which require no correction from objectors to demonstrate a 28% deficit. But the committee should be aware that those figures are themselves optimistic: the methodology used to calculate supply has inflated the available water by applying an attenuation uplift factor to an average annual supply estimate. An independent water resources specialist instructed to audit this water balance would, on standard methodology, arrive at a deficit closer to </w:t>
      </w:r>
      <w:r>
        <w:rPr>
          <w:color w:val="444444"/>
        </w:rPr>
        <w:t>51% than 28%.</w:t>
      </w:r>
    </w:p>
    <w:p w14:paraId="69C33160" w14:textId="77777777" w:rsidR="00472D2F" w:rsidRDefault="000A34D0">
      <w:pPr>
        <w:spacing w:before="60" w:after="120"/>
        <w:jc w:val="both"/>
      </w:pPr>
      <w:r>
        <w:rPr>
          <w:color w:val="444444"/>
        </w:rPr>
        <w:t xml:space="preserve">There is a further reason why the 51% figure is itself a conservative upper bound rather than a true worst case. The 40% uplift the DIA applies is drawn from peak storm attenuation methodology, where </w:t>
      </w:r>
      <w:r>
        <w:rPr>
          <w:color w:val="444444"/>
        </w:rPr>
        <w:lastRenderedPageBreak/>
        <w:t xml:space="preserve">it represents the projected increase in short-duration, high-intensity rainfall. But the UK Climate Projections 2018 (UKCP18), the authoritative Met Office dataset used in national planning and flood risk assessment, make clear that this is a fundamentally different quantity from annual average rainfall available for harvesting. UKCP18 projects that for southern England — of which the Cotswolds </w:t>
      </w:r>
      <w:proofErr w:type="gramStart"/>
      <w:r>
        <w:rPr>
          <w:color w:val="444444"/>
        </w:rPr>
        <w:t>forms</w:t>
      </w:r>
      <w:proofErr w:type="gramEnd"/>
      <w:r>
        <w:rPr>
          <w:color w:val="444444"/>
        </w:rPr>
        <w:t xml:space="preserve"> part — the dominant climate signal over the facility’s operational lifetime is </w:t>
      </w:r>
      <w:proofErr w:type="spellStart"/>
      <w:r>
        <w:rPr>
          <w:color w:val="444444"/>
        </w:rPr>
        <w:t>wetter</w:t>
      </w:r>
      <w:proofErr w:type="spellEnd"/>
      <w:r>
        <w:rPr>
          <w:color w:val="444444"/>
        </w:rPr>
        <w:t xml:space="preserve"> winters combined with </w:t>
      </w:r>
      <w:r>
        <w:rPr>
          <w:color w:val="444444"/>
        </w:rPr>
        <w:t>significantly drier summers, with an overall annual precipitation decrease across most of England. Summer mean rainfall, which is the season critical to silage juice generation and the highest process water demand, is projected to decrease under all UKCP18 scenarios. The 40% uplift the DIA applies to its supply calculation therefore runs directly counter to the projected direction of travel for annual average rainfall in this region: the methodology inflates supply at precisely the time when the actual clim</w:t>
      </w:r>
      <w:r>
        <w:rPr>
          <w:color w:val="444444"/>
        </w:rPr>
        <w:t>ate trajectory indicates supply will reduce. The corrected SAAR-based deficit of approximately 21,435 m³/year (51%) should therefore be understood as a current-day baseline; the long-term structural deficit over the facility’s operational life is likely to be larger still.</w:t>
      </w:r>
    </w:p>
    <w:p w14:paraId="69C33161" w14:textId="77777777" w:rsidR="00472D2F" w:rsidRDefault="00472D2F">
      <w:pPr>
        <w:pBdr>
          <w:bottom w:val="single" w:sz="4" w:space="1" w:color="2E75B6"/>
        </w:pBdr>
        <w:spacing w:before="120" w:after="120"/>
      </w:pPr>
    </w:p>
    <w:p w14:paraId="69C33162" w14:textId="77777777" w:rsidR="00472D2F" w:rsidRDefault="000A34D0">
      <w:pPr>
        <w:pStyle w:val="Heading1"/>
      </w:pPr>
      <w:r>
        <w:t>3. The Seasonality Problem Confirms the Deficit is Structural, Not Manageable</w:t>
      </w:r>
    </w:p>
    <w:p w14:paraId="69C33163" w14:textId="77777777" w:rsidR="00472D2F" w:rsidRDefault="000A34D0">
      <w:pPr>
        <w:spacing w:before="60" w:after="120"/>
        <w:jc w:val="both"/>
      </w:pPr>
      <w:r>
        <w:rPr>
          <w:color w:val="444444"/>
        </w:rPr>
        <w:t>The applicant may argue that annual average figures mask seasonal variation that storage can smooth out. That argument does not hold here, for two reasons.</w:t>
      </w:r>
    </w:p>
    <w:p w14:paraId="69C33164" w14:textId="77777777" w:rsidR="00472D2F" w:rsidRDefault="000A34D0">
      <w:pPr>
        <w:pStyle w:val="Heading2"/>
      </w:pPr>
      <w:r>
        <w:t>3.1 Silage Juice is a Summer-Only Contribution</w:t>
      </w:r>
    </w:p>
    <w:p w14:paraId="69C33165" w14:textId="77777777" w:rsidR="00472D2F" w:rsidRDefault="000A34D0">
      <w:pPr>
        <w:spacing w:before="60" w:after="120"/>
        <w:jc w:val="both"/>
      </w:pPr>
      <w:r>
        <w:rPr>
          <w:color w:val="444444"/>
        </w:rPr>
        <w:t>Silage juice is generated during the ensiling (fermentation) process, which occurs in the weeks immediately following harvest — essentially June through October. Once established, silage stored in clamps produces very little further leachate. For the remaining seven months of the year (November through May), the silage juice contribution to foul water supply drops to near zero. Winter foul water supply is therefore limited to rainfall on clamp floors: approximately 700–900 m³/month against a continuous proc</w:t>
      </w:r>
      <w:r>
        <w:rPr>
          <w:color w:val="444444"/>
        </w:rPr>
        <w:t>ess demand of approximately 3,750 m³/month. That is a factor-of-four shortfall for seven months of the year.</w:t>
      </w:r>
    </w:p>
    <w:p w14:paraId="69C33166" w14:textId="77777777" w:rsidR="00472D2F" w:rsidRDefault="000A34D0">
      <w:pPr>
        <w:pStyle w:val="Heading2"/>
      </w:pPr>
      <w:r>
        <w:t>3.2 The Storage Buffer is Inadequate</w:t>
      </w:r>
    </w:p>
    <w:p w14:paraId="69C33167" w14:textId="77777777" w:rsidR="00472D2F" w:rsidRDefault="000A34D0">
      <w:pPr>
        <w:spacing w:before="60" w:after="120"/>
        <w:jc w:val="both"/>
      </w:pPr>
      <w:r>
        <w:rPr>
          <w:color w:val="444444"/>
        </w:rPr>
        <w:t>The Rainwater Harvesting Lagoon listed in the 2025 ES Addendum (Table 1) has a capacity of approximately 2,000 m³. However, the ES Addendum describes it as collecting ‘clean surface run off from the site’ — not contaminated foul water. It is therefore not a process water store in the AD sense; it collects clean roof and yard runoff that has already been committed to the clean water discharge circuit (see Section 4). Even if it were available as a process water buffer, 2,000 m³ represents approximately 16 da</w:t>
      </w:r>
      <w:r>
        <w:rPr>
          <w:color w:val="444444"/>
        </w:rPr>
        <w:t>ys of supply at full demand. It cannot bridge a seven-month structural shortfall.</w:t>
      </w:r>
    </w:p>
    <w:p w14:paraId="69C33168" w14:textId="77777777" w:rsidR="00472D2F" w:rsidRDefault="000A34D0">
      <w:pPr>
        <w:pStyle w:val="Heading2"/>
      </w:pPr>
      <w:r>
        <w:t>3.3 The Seasonal Shortfall Compounds Other Risks</w:t>
      </w:r>
    </w:p>
    <w:p w14:paraId="69C33169" w14:textId="77777777" w:rsidR="00472D2F" w:rsidRDefault="000A34D0">
      <w:pPr>
        <w:spacing w:before="60" w:after="120"/>
        <w:jc w:val="both"/>
      </w:pPr>
      <w:r>
        <w:rPr>
          <w:color w:val="444444"/>
        </w:rPr>
        <w:t xml:space="preserve">The winter period of greatest process water shortfall is the same period in which: (a) groundwater on this site is at its shallowest (0.43 m </w:t>
      </w:r>
      <w:proofErr w:type="spellStart"/>
      <w:r>
        <w:rPr>
          <w:color w:val="444444"/>
        </w:rPr>
        <w:t>bgl</w:t>
      </w:r>
      <w:proofErr w:type="spellEnd"/>
      <w:r>
        <w:rPr>
          <w:color w:val="444444"/>
        </w:rPr>
        <w:t xml:space="preserve"> in the March 2023 monitoring round, when the ground was recorded as boggy and muddy); (b) the NVZ winter closed period prevents digestate spreading, maximising on-site storage pressure; and (c) hydrological connectivity between the site and the SSSI lakes is at its greatest. If the facility is operating at a process water deficit in winter, it will either draw on an unlicensed source (possibly groundwater from the Cornbrash Limestone aquifer beneath the site, which underlies approximately 7 m of </w:t>
      </w:r>
      <w:proofErr w:type="spellStart"/>
      <w:r>
        <w:rPr>
          <w:color w:val="444444"/>
        </w:rPr>
        <w:t>Kellawa</w:t>
      </w:r>
      <w:r>
        <w:rPr>
          <w:color w:val="444444"/>
        </w:rPr>
        <w:t>ys</w:t>
      </w:r>
      <w:proofErr w:type="spellEnd"/>
      <w:r>
        <w:rPr>
          <w:color w:val="444444"/>
        </w:rPr>
        <w:t xml:space="preserve"> Clay) or progressively concentrate its process liquors, increasing pollution risk at precisely the most hydrologically sensitive time of year.</w:t>
      </w:r>
    </w:p>
    <w:p w14:paraId="69C3316A" w14:textId="77777777" w:rsidR="00472D2F" w:rsidRDefault="00472D2F">
      <w:pPr>
        <w:pBdr>
          <w:bottom w:val="single" w:sz="4" w:space="1" w:color="2E75B6"/>
        </w:pBdr>
        <w:spacing w:before="120" w:after="120"/>
      </w:pPr>
    </w:p>
    <w:p w14:paraId="69C3316B" w14:textId="77777777" w:rsidR="00472D2F" w:rsidRDefault="000A34D0">
      <w:pPr>
        <w:pStyle w:val="Heading1"/>
      </w:pPr>
      <w:r>
        <w:t>4. The Water Balance is Circular: Clean Runoff Cannot Serve Two Masters</w:t>
      </w:r>
    </w:p>
    <w:p w14:paraId="69C3316C" w14:textId="77777777" w:rsidR="00472D2F" w:rsidRDefault="000A34D0">
      <w:pPr>
        <w:spacing w:before="60" w:after="120"/>
        <w:jc w:val="both"/>
      </w:pPr>
      <w:r>
        <w:rPr>
          <w:color w:val="444444"/>
        </w:rPr>
        <w:t xml:space="preserve">The NTS and ES present a dual-circuit drainage system: clean water (roofs and uncontaminated hardstanding) routed to surface water discharge, and foul water (contaminated areas) recycled to </w:t>
      </w:r>
      <w:r>
        <w:rPr>
          <w:color w:val="444444"/>
        </w:rPr>
        <w:lastRenderedPageBreak/>
        <w:t xml:space="preserve">process. This distinction is the foundation of the drainage strategy. The Drainage Impact Assessment models the clean water circuit discharging to the attenuation system at 7.5 l/s. The FRA (V3, Section 6.4) confirms ‘all impermeable surfaces comprising roofs, external hardstanding operational area, parking area and access road’ are drained to </w:t>
      </w:r>
      <w:proofErr w:type="spellStart"/>
      <w:r>
        <w:rPr>
          <w:color w:val="444444"/>
        </w:rPr>
        <w:t>SuDS</w:t>
      </w:r>
      <w:proofErr w:type="spellEnd"/>
      <w:r>
        <w:rPr>
          <w:color w:val="444444"/>
        </w:rPr>
        <w:t xml:space="preserve"> for surface water discharge.</w:t>
      </w:r>
    </w:p>
    <w:p w14:paraId="69C3316D" w14:textId="77777777" w:rsidR="00472D2F" w:rsidRDefault="000A34D0">
      <w:pPr>
        <w:spacing w:before="60" w:after="120"/>
        <w:jc w:val="both"/>
      </w:pPr>
      <w:r>
        <w:rPr>
          <w:color w:val="444444"/>
        </w:rPr>
        <w:t xml:space="preserve">The same clean roof area (2,196 m², drawing 29419/P2/105) simultaneously appears in the applicant’s process water supply narrative as the primary source of harvested rainwater. These are mutually exclusive: a cubic metre of clean roof water cannot simultaneously flow to the surface water attenuation system and into process water storage. The self-sufficiency model therefore </w:t>
      </w:r>
      <w:proofErr w:type="gramStart"/>
      <w:r>
        <w:rPr>
          <w:color w:val="444444"/>
        </w:rPr>
        <w:t>double-counts</w:t>
      </w:r>
      <w:proofErr w:type="gramEnd"/>
      <w:r>
        <w:rPr>
          <w:color w:val="444444"/>
        </w:rPr>
        <w:t xml:space="preserve"> this catchment. Removing the clean-water roof from the supply calculation reduces the already-deficient foul water harvest further </w:t>
      </w:r>
      <w:proofErr w:type="gramStart"/>
      <w:r>
        <w:rPr>
          <w:color w:val="444444"/>
        </w:rPr>
        <w:t>still, and</w:t>
      </w:r>
      <w:proofErr w:type="gramEnd"/>
      <w:r>
        <w:rPr>
          <w:color w:val="444444"/>
        </w:rPr>
        <w:t xml:space="preserve"> means the ‘100% rainwater’ claim is not just overstated but structurally incoherent. It is also worth noting that, even if the entire roof catchment were available and used solely for process water, its annual yield at 100% collection efficiency would be only approximately 1,616 m³/year (2,196 m² × 736 mm SAAR). In practice, roof collection systems typic</w:t>
      </w:r>
      <w:r>
        <w:rPr>
          <w:color w:val="444444"/>
        </w:rPr>
        <w:t>ally achieve 75–90% efficiency, giving a realistic yield of around 1,212–1,454 m³/year. Against a structural deficit of 11,762 m³/year (on the DIA’s own figures), the roof contribution would meet at most 12% of the shortfall even under the most favourable assumptions.</w:t>
      </w:r>
    </w:p>
    <w:p w14:paraId="69C3316E" w14:textId="77777777" w:rsidR="00472D2F" w:rsidRDefault="00472D2F">
      <w:pPr>
        <w:pBdr>
          <w:bottom w:val="single" w:sz="4" w:space="1" w:color="2E75B6"/>
        </w:pBdr>
        <w:spacing w:before="120" w:after="120"/>
      </w:pPr>
    </w:p>
    <w:p w14:paraId="69C3316F" w14:textId="77777777" w:rsidR="00472D2F" w:rsidRDefault="000A34D0">
      <w:pPr>
        <w:pStyle w:val="Heading1"/>
      </w:pPr>
      <w:r>
        <w:t>5. Wheel Wash Water Demand Has Not Been Included</w:t>
      </w:r>
    </w:p>
    <w:p w14:paraId="69C33170" w14:textId="77777777" w:rsidR="00472D2F" w:rsidRDefault="000A34D0">
      <w:pPr>
        <w:spacing w:before="60" w:after="120"/>
        <w:jc w:val="both"/>
      </w:pPr>
      <w:r>
        <w:rPr>
          <w:color w:val="444444"/>
        </w:rPr>
        <w:t>The Construction Traffic Management Plan commits to operational wheel washing for all HGVs departing the site. This is appropriate for a facility receiving 91,000 t/year of silage, straw, poultry litter, and digestate by road. At harvest peak, wheel wash demand alone is typically 30,000–40,000 litres per day (30–40 m³/day), totalling up to 14,600 m³ over a busy quarter.</w:t>
      </w:r>
    </w:p>
    <w:p w14:paraId="69C33171" w14:textId="77777777" w:rsidR="00472D2F" w:rsidRDefault="000A34D0">
      <w:pPr>
        <w:spacing w:before="60" w:after="120"/>
        <w:jc w:val="both"/>
      </w:pPr>
      <w:r>
        <w:rPr>
          <w:color w:val="444444"/>
        </w:rPr>
        <w:t>Wheel wash water at this facility would carry residues of silage, farmyard manure, slurry, and digestate. It cannot enter the clean surface water circuit. It is dirty water that must be captured, stored, and fed to process or disposed of as agricultural waste. No wheel wash unit, collection sump, or associated drainage appears on any of the four submitted drainage drawings (29419/P2/103, 105, 106, 107). The vehicle access area is classified as clean-water catchment routing to the highway ditch. If wheel was</w:t>
      </w:r>
      <w:r>
        <w:rPr>
          <w:color w:val="444444"/>
        </w:rPr>
        <w:t>hing is occurring in this area without a capture system, contaminated water is discharging to the ditch and thence to the Northmoor Sand and Gravel aquifer, which lies to the east and south of the site and is in hydraulic continuity with the SSSI lake network, on every vehicle departure.</w:t>
      </w:r>
    </w:p>
    <w:p w14:paraId="69C33172" w14:textId="77777777" w:rsidR="00472D2F" w:rsidRDefault="000A34D0">
      <w:pPr>
        <w:spacing w:before="60" w:after="120"/>
        <w:jc w:val="both"/>
      </w:pPr>
      <w:r>
        <w:rPr>
          <w:color w:val="444444"/>
        </w:rPr>
        <w:t>More fundamentally for the water balance: wheel wash demand has not been included anywhere in the process water self-sufficiency calculation. Its omission is another reason the ‘100% claim’ is false.</w:t>
      </w:r>
    </w:p>
    <w:p w14:paraId="69C33173" w14:textId="77777777" w:rsidR="00472D2F" w:rsidRDefault="000A34D0">
      <w:pPr>
        <w:spacing w:before="60" w:after="120"/>
        <w:jc w:val="both"/>
      </w:pPr>
      <w:r>
        <w:rPr>
          <w:color w:val="444444"/>
        </w:rPr>
        <w:t>The 2025 ES Addendum (Table 1) introduces a ‘Rainwater Harvesting Lagoon (x1)’ with a capacity of ‘approximately 2,000 m³’, described as collecting ‘clean surface run off from the site.’ This feature:</w:t>
      </w:r>
    </w:p>
    <w:p w14:paraId="69C33174" w14:textId="77777777" w:rsidR="00472D2F" w:rsidRDefault="000A34D0">
      <w:pPr>
        <w:pStyle w:val="ListParagraph"/>
        <w:numPr>
          <w:ilvl w:val="0"/>
          <w:numId w:val="2"/>
        </w:numPr>
        <w:spacing w:before="40" w:after="60"/>
      </w:pPr>
      <w:r>
        <w:rPr>
          <w:color w:val="444444"/>
        </w:rPr>
        <w:t>Does not appear on any of the four submitted drainage drawings (29419/P2/103, 105, 106, 107).</w:t>
      </w:r>
    </w:p>
    <w:p w14:paraId="69C33175" w14:textId="77777777" w:rsidR="00472D2F" w:rsidRDefault="000A34D0">
      <w:pPr>
        <w:pStyle w:val="ListParagraph"/>
        <w:numPr>
          <w:ilvl w:val="0"/>
          <w:numId w:val="2"/>
        </w:numPr>
        <w:spacing w:before="40" w:after="60"/>
      </w:pPr>
      <w:r>
        <w:rPr>
          <w:color w:val="444444"/>
        </w:rPr>
        <w:t>Has not been modelled in the Drainage Impact Assessment (GGP Consult, September 2024).</w:t>
      </w:r>
    </w:p>
    <w:p w14:paraId="69C33176" w14:textId="77777777" w:rsidR="00472D2F" w:rsidRDefault="000A34D0">
      <w:pPr>
        <w:pStyle w:val="ListParagraph"/>
        <w:numPr>
          <w:ilvl w:val="0"/>
          <w:numId w:val="2"/>
        </w:numPr>
        <w:spacing w:before="40" w:after="60"/>
      </w:pPr>
      <w:r>
        <w:rPr>
          <w:color w:val="444444"/>
        </w:rPr>
        <w:t>Has no stated location on the site layout, catchment area, drainage connection, or outfall arrangement.</w:t>
      </w:r>
    </w:p>
    <w:p w14:paraId="69C33177" w14:textId="77777777" w:rsidR="00472D2F" w:rsidRDefault="000A34D0">
      <w:pPr>
        <w:pStyle w:val="ListParagraph"/>
        <w:numPr>
          <w:ilvl w:val="0"/>
          <w:numId w:val="2"/>
        </w:numPr>
        <w:spacing w:before="40" w:after="60"/>
      </w:pPr>
      <w:r>
        <w:rPr>
          <w:color w:val="444444"/>
        </w:rPr>
        <w:t xml:space="preserve">Has not been assessed for groundwater impact in the context of the site’s SPZ2 designation, which applies to the Cornbrash Limestone aquifer underlying the site beneath approximately 7 m of </w:t>
      </w:r>
      <w:proofErr w:type="spellStart"/>
      <w:r>
        <w:rPr>
          <w:color w:val="444444"/>
        </w:rPr>
        <w:t>Kellaways</w:t>
      </w:r>
      <w:proofErr w:type="spellEnd"/>
      <w:r>
        <w:rPr>
          <w:color w:val="444444"/>
        </w:rPr>
        <w:t xml:space="preserve"> Clay.</w:t>
      </w:r>
    </w:p>
    <w:p w14:paraId="69C33178" w14:textId="77777777" w:rsidR="00472D2F" w:rsidRDefault="00472D2F">
      <w:pPr>
        <w:spacing w:before="80"/>
      </w:pPr>
    </w:p>
    <w:p w14:paraId="69C33179" w14:textId="77777777" w:rsidR="00472D2F" w:rsidRDefault="000A34D0">
      <w:pPr>
        <w:spacing w:before="60" w:after="120"/>
        <w:jc w:val="both"/>
      </w:pPr>
      <w:r>
        <w:rPr>
          <w:color w:val="444444"/>
        </w:rPr>
        <w:t>If the 2,000 m³ lagoon is the applicant’s answer to the process water deficit, it has been introduced into the project description without any supporting hydrological, drainage, or groundwater assessment. If it is not a process water store but a clean water feature (as the ES Addendum description implies), it cannot address the deficit. Either way, its presence in the ES Addendum without corresponding engineering documentation is a material omission.</w:t>
      </w:r>
    </w:p>
    <w:p w14:paraId="69C3317A" w14:textId="77777777" w:rsidR="00472D2F" w:rsidRDefault="00472D2F">
      <w:pPr>
        <w:pBdr>
          <w:bottom w:val="single" w:sz="4" w:space="1" w:color="2E75B6"/>
        </w:pBdr>
        <w:spacing w:before="120" w:after="120"/>
      </w:pPr>
    </w:p>
    <w:p w14:paraId="69C3317B" w14:textId="77777777" w:rsidR="00472D2F" w:rsidRDefault="000A34D0">
      <w:pPr>
        <w:pStyle w:val="Heading1"/>
      </w:pPr>
      <w:r>
        <w:lastRenderedPageBreak/>
        <w:t>7. What the FRA’s Internal Inconsistency Tells Us About Reliability</w:t>
      </w:r>
    </w:p>
    <w:p w14:paraId="69C3317C" w14:textId="77777777" w:rsidR="00472D2F" w:rsidRDefault="000A34D0">
      <w:pPr>
        <w:spacing w:before="60" w:after="120"/>
        <w:jc w:val="both"/>
      </w:pPr>
      <w:r>
        <w:rPr>
          <w:color w:val="444444"/>
        </w:rPr>
        <w:t xml:space="preserve">The Updated FRA (V3, October 2025) contains an irreconcilable internal inconsistency on the fundamental parameter of the drainage assessment: the impermeable area of the development. The Executive Summary </w:t>
      </w:r>
      <w:proofErr w:type="gramStart"/>
      <w:r>
        <w:rPr>
          <w:color w:val="444444"/>
        </w:rPr>
        <w:t>states</w:t>
      </w:r>
      <w:proofErr w:type="gramEnd"/>
      <w:r>
        <w:rPr>
          <w:color w:val="444444"/>
        </w:rPr>
        <w:t xml:space="preserve"> ‘c. 4.52 ha of impermeable hardstanding and lagoons’; Section 3.1 states ‘approximately 4.18 ha.’ The JBA Technical Note (Table 1) records a third figure of 3.80 ha from the May 2025 Natural England response. Three figures, three documents, none reconciled.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472D2F" w14:paraId="69C3317F" w14:textId="77777777">
        <w:tc>
          <w:tcPr>
            <w:tcW w:w="4513"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69C3317D" w14:textId="77777777" w:rsidR="00472D2F" w:rsidRDefault="000A34D0">
            <w:r>
              <w:rPr>
                <w:b/>
                <w:bCs/>
                <w:color w:val="FFFFFF"/>
                <w:sz w:val="20"/>
                <w:szCs w:val="20"/>
              </w:rPr>
              <w:t>Document</w:t>
            </w:r>
          </w:p>
        </w:tc>
        <w:tc>
          <w:tcPr>
            <w:tcW w:w="4513"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69C3317E" w14:textId="77777777" w:rsidR="00472D2F" w:rsidRDefault="000A34D0">
            <w:r>
              <w:rPr>
                <w:b/>
                <w:bCs/>
                <w:color w:val="FFFFFF"/>
                <w:sz w:val="20"/>
                <w:szCs w:val="20"/>
              </w:rPr>
              <w:t>Impermeable Area Stated</w:t>
            </w:r>
          </w:p>
        </w:tc>
      </w:tr>
      <w:tr w:rsidR="00472D2F" w14:paraId="69C33182"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9C33180" w14:textId="77777777" w:rsidR="00472D2F" w:rsidRDefault="000A34D0">
            <w:r>
              <w:rPr>
                <w:color w:val="444444"/>
                <w:sz w:val="20"/>
                <w:szCs w:val="20"/>
              </w:rPr>
              <w:t>FRA V3 Executive Summary</w:t>
            </w:r>
          </w:p>
        </w:tc>
        <w:tc>
          <w:tcPr>
            <w:tcW w:w="4513"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9C33181" w14:textId="77777777" w:rsidR="00472D2F" w:rsidRDefault="000A34D0">
            <w:r>
              <w:rPr>
                <w:color w:val="444444"/>
                <w:sz w:val="20"/>
                <w:szCs w:val="20"/>
              </w:rPr>
              <w:t>4.52 ha</w:t>
            </w:r>
          </w:p>
        </w:tc>
      </w:tr>
      <w:tr w:rsidR="00472D2F" w14:paraId="69C33185" w14:textId="77777777">
        <w:tc>
          <w:tcPr>
            <w:tcW w:w="451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C33183" w14:textId="77777777" w:rsidR="00472D2F" w:rsidRDefault="000A34D0">
            <w:r>
              <w:rPr>
                <w:color w:val="444444"/>
                <w:sz w:val="20"/>
                <w:szCs w:val="20"/>
              </w:rPr>
              <w:t>FRA V3 Section 3.1</w:t>
            </w:r>
          </w:p>
        </w:tc>
        <w:tc>
          <w:tcPr>
            <w:tcW w:w="451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C33184" w14:textId="77777777" w:rsidR="00472D2F" w:rsidRDefault="000A34D0">
            <w:r>
              <w:rPr>
                <w:color w:val="444444"/>
                <w:sz w:val="20"/>
                <w:szCs w:val="20"/>
              </w:rPr>
              <w:t>4.18 ha</w:t>
            </w:r>
          </w:p>
        </w:tc>
      </w:tr>
      <w:tr w:rsidR="00472D2F" w14:paraId="69C33188"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9C33186" w14:textId="77777777" w:rsidR="00472D2F" w:rsidRDefault="000A34D0">
            <w:r>
              <w:rPr>
                <w:color w:val="444444"/>
                <w:sz w:val="20"/>
                <w:szCs w:val="20"/>
              </w:rPr>
              <w:t>May 2025 NE Response (JBA Table 1)</w:t>
            </w:r>
          </w:p>
        </w:tc>
        <w:tc>
          <w:tcPr>
            <w:tcW w:w="4513"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9C33187" w14:textId="77777777" w:rsidR="00472D2F" w:rsidRDefault="000A34D0">
            <w:r>
              <w:rPr>
                <w:color w:val="444444"/>
                <w:sz w:val="20"/>
                <w:szCs w:val="20"/>
              </w:rPr>
              <w:t>3.80 ha</w:t>
            </w:r>
          </w:p>
        </w:tc>
      </w:tr>
      <w:tr w:rsidR="00472D2F" w14:paraId="69C3318B" w14:textId="77777777">
        <w:tc>
          <w:tcPr>
            <w:tcW w:w="451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C33189" w14:textId="77777777" w:rsidR="00472D2F" w:rsidRDefault="000A34D0">
            <w:r>
              <w:rPr>
                <w:color w:val="444444"/>
                <w:sz w:val="20"/>
                <w:szCs w:val="20"/>
              </w:rPr>
              <w:t>Maximum discrepancy</w:t>
            </w:r>
          </w:p>
        </w:tc>
        <w:tc>
          <w:tcPr>
            <w:tcW w:w="451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C3318A" w14:textId="77777777" w:rsidR="00472D2F" w:rsidRDefault="000A34D0">
            <w:r>
              <w:rPr>
                <w:color w:val="444444"/>
                <w:sz w:val="20"/>
                <w:szCs w:val="20"/>
              </w:rPr>
              <w:t>7,200 m² (0.72 ha)</w:t>
            </w:r>
          </w:p>
        </w:tc>
      </w:tr>
    </w:tbl>
    <w:p w14:paraId="69C3318C" w14:textId="77777777" w:rsidR="00472D2F" w:rsidRDefault="00472D2F">
      <w:pPr>
        <w:spacing w:before="80"/>
      </w:pPr>
    </w:p>
    <w:p w14:paraId="69C3318D" w14:textId="77777777" w:rsidR="00472D2F" w:rsidRDefault="000A34D0">
      <w:pPr>
        <w:spacing w:before="60" w:after="120"/>
        <w:jc w:val="both"/>
      </w:pPr>
      <w:r>
        <w:rPr>
          <w:color w:val="444444"/>
        </w:rPr>
        <w:t>At the site’s Standard Average Annual Rainfall of 736 mm/year, 7,200 m² equates to approximately 5,300 m³/year of unaccounted runoff. The drainage model cannot be correct for all three figures. JBA (Technical Note Q25-2520, §3.3(5)) characterise this pattern of reductions across every design parameter as suggestive of ‘understatement in run off potential, pollution potential and overall attempting to appear less water-intensive and environmentally complex.’ The committee cannot be confident which design ite</w:t>
      </w:r>
      <w:r>
        <w:rPr>
          <w:color w:val="444444"/>
        </w:rPr>
        <w:t>ration it is assessing.</w:t>
      </w:r>
    </w:p>
    <w:p w14:paraId="69C3318E" w14:textId="77777777" w:rsidR="00472D2F" w:rsidRDefault="00472D2F">
      <w:pPr>
        <w:pBdr>
          <w:bottom w:val="single" w:sz="4" w:space="1" w:color="2E75B6"/>
        </w:pBdr>
        <w:spacing w:before="120" w:after="120"/>
      </w:pPr>
    </w:p>
    <w:p w14:paraId="69C3318F" w14:textId="77777777" w:rsidR="00472D2F" w:rsidRDefault="000A34D0">
      <w:pPr>
        <w:pStyle w:val="Heading1"/>
      </w:pPr>
      <w:r>
        <w:t>8. The Regulatory Consequences of the Unidentified Water Source</w:t>
      </w:r>
    </w:p>
    <w:p w14:paraId="69C33190" w14:textId="77777777" w:rsidR="00472D2F" w:rsidRDefault="000A34D0">
      <w:pPr>
        <w:pStyle w:val="Heading2"/>
      </w:pPr>
      <w:r>
        <w:t>8.1 Abstraction Licensing</w:t>
      </w:r>
    </w:p>
    <w:p w14:paraId="69C33191" w14:textId="0BFF1472" w:rsidR="00472D2F" w:rsidRDefault="000A34D0">
      <w:pPr>
        <w:spacing w:before="60" w:after="120"/>
        <w:jc w:val="both"/>
      </w:pPr>
      <w:r>
        <w:rPr>
          <w:color w:val="444444"/>
        </w:rPr>
        <w:t xml:space="preserve">If the process water deficit of approximately 11,762 m³/year (rising to approximately 21,435 m³/year on the corrected SAAR basis) is to be met by groundwater abstraction, the </w:t>
      </w:r>
      <w:r w:rsidR="00610C05">
        <w:rPr>
          <w:color w:val="444444"/>
        </w:rPr>
        <w:t>shallowest</w:t>
      </w:r>
      <w:r w:rsidR="001E791A">
        <w:rPr>
          <w:color w:val="444444"/>
        </w:rPr>
        <w:t xml:space="preserve"> designated</w:t>
      </w:r>
      <w:r>
        <w:rPr>
          <w:color w:val="444444"/>
        </w:rPr>
        <w:t xml:space="preserve"> aquifer beneath the site is the Cornbrash Limestone, which underlies approximately 7 m of </w:t>
      </w:r>
      <w:proofErr w:type="spellStart"/>
      <w:r>
        <w:rPr>
          <w:color w:val="444444"/>
        </w:rPr>
        <w:t>Kellaways</w:t>
      </w:r>
      <w:proofErr w:type="spellEnd"/>
      <w:r>
        <w:rPr>
          <w:color w:val="444444"/>
        </w:rPr>
        <w:t xml:space="preserve"> Clay and is the aquifer to which the SPZ2 designation applies. Any abstraction from the Cornbrash Limestone would require a licence from the Environment Agency under the Water Resources Act 1991 (as amended), and a groundwater risk assessment demonstrating that the abstraction would not prejudice the protected water source — precisely the assessment that CP68 requires and that has not be</w:t>
      </w:r>
      <w:r>
        <w:rPr>
          <w:color w:val="444444"/>
        </w:rPr>
        <w:t>en submitted. Separately, the Northmoor Sand and Gravel aquifer, which lies to the east and south of the site and is in hydraulic continuity with the drainage ditch network and the SSSI lake network, would be at risk as a pollution receptor from any construction or operational groundwater disturbance. No abstraction licence application has been submitted, and no assessment addresses either aquifer in the context of the proposed facility.</w:t>
      </w:r>
    </w:p>
    <w:p w14:paraId="69C33192" w14:textId="77777777" w:rsidR="00472D2F" w:rsidRDefault="000A34D0">
      <w:pPr>
        <w:pStyle w:val="Heading2"/>
      </w:pPr>
      <w:r>
        <w:t>8.2 Mains Water Connection</w:t>
      </w:r>
    </w:p>
    <w:p w14:paraId="69C33193" w14:textId="77777777" w:rsidR="00472D2F" w:rsidRDefault="000A34D0">
      <w:pPr>
        <w:spacing w:before="60" w:after="120"/>
        <w:jc w:val="both"/>
      </w:pPr>
      <w:r>
        <w:rPr>
          <w:color w:val="444444"/>
        </w:rPr>
        <w:t>If the deficit is to be met from the mains water supply, a formal connection agreement with Thames Water is required. Thames Water has formally noted (WC-26-06-378233, 11 June 2026) that the site falls within an SPZ for groundwater abstraction and recommended the applicant consult a suitably qualified environmental consultant about the groundwater implications. No mains connection request appears in the application documents. In an area where Thames Water has separately flagged groundwater infrastructure pr</w:t>
      </w:r>
      <w:r>
        <w:rPr>
          <w:color w:val="444444"/>
        </w:rPr>
        <w:t>essures, an undisclosed industrial mains water demand of approximately 11,762 m³/year (rising to approximately 21,435 m³/year on the corrected SAAR basis) — equivalent to the annual consumption of around 95–120 households (rising to approximately 175–200 households on the corrected SAAR basis) — is a material planning consideration that has not been assessed.</w:t>
      </w:r>
    </w:p>
    <w:p w14:paraId="69C33194" w14:textId="77777777" w:rsidR="00472D2F" w:rsidRDefault="000A34D0">
      <w:pPr>
        <w:pStyle w:val="Heading2"/>
      </w:pPr>
      <w:r>
        <w:t>8.3 The EIA Materiality of This Omission</w:t>
      </w:r>
    </w:p>
    <w:p w14:paraId="69C33195" w14:textId="77777777" w:rsidR="00472D2F" w:rsidRDefault="000A34D0">
      <w:pPr>
        <w:spacing w:before="60" w:after="120"/>
        <w:jc w:val="both"/>
      </w:pPr>
      <w:r>
        <w:rPr>
          <w:color w:val="444444"/>
        </w:rPr>
        <w:lastRenderedPageBreak/>
        <w:t>The process water self-sufficiency claim is not a peripheral detail. It appears in the Non-Technical Summary and the Environmental Statement as a material positive feature of the proposal — evidence that the facility will have zero impact on local water resources. That claim is, in my professional judgement, false. An ES that materially misrepresents the water demand of a proposed development fails to provide the information required by Schedule 4, paragraph 5(d) of the Town and Country Planning (Environmen</w:t>
      </w:r>
      <w:r>
        <w:rPr>
          <w:color w:val="444444"/>
        </w:rPr>
        <w:t>tal Impact Assessment) Regulations 2017, which requires a description of the features of the project designed to avoid, prevent, reduce, or offset significant adverse effects on the environment. A false claim of water self-sufficiency is not a feature designed to avoid impact; it is an undisclosed impact masquerading as a mitigation.</w:t>
      </w:r>
    </w:p>
    <w:p w14:paraId="69C33196" w14:textId="77777777" w:rsidR="00472D2F" w:rsidRDefault="00472D2F">
      <w:pPr>
        <w:pBdr>
          <w:bottom w:val="single" w:sz="4" w:space="1" w:color="2E75B6"/>
        </w:pBdr>
        <w:spacing w:before="120" w:after="120"/>
      </w:pPr>
    </w:p>
    <w:p w14:paraId="69C33197" w14:textId="77777777" w:rsidR="00472D2F" w:rsidRDefault="000A34D0">
      <w:pPr>
        <w:pStyle w:val="Heading1"/>
      </w:pPr>
      <w:r>
        <w:t>9. Thames Water: Why Their View on Water Demand is Materially Significant and Must Be Sought Before Any Decision</w:t>
      </w:r>
    </w:p>
    <w:p w14:paraId="69C33198" w14:textId="77777777" w:rsidR="00472D2F" w:rsidRDefault="000A34D0">
      <w:pPr>
        <w:pStyle w:val="Heading2"/>
      </w:pPr>
      <w:r>
        <w:t>9.1 Thames Water Has Already Objected to Development in This Supply Zone on Water Quantity Grounds</w:t>
      </w:r>
    </w:p>
    <w:p w14:paraId="69C33199" w14:textId="77777777" w:rsidR="00472D2F" w:rsidRDefault="000A34D0">
      <w:pPr>
        <w:spacing w:before="60" w:after="120"/>
        <w:jc w:val="both"/>
      </w:pPr>
      <w:r>
        <w:rPr>
          <w:color w:val="444444"/>
        </w:rPr>
        <w:t xml:space="preserve">In February 2026 (DTS Ref 73676, 18 February 2026), Thames Water submitted a statutory consultation response to Wiltshire Council in relation to a housing development in the same area. In that response, Thames Water raised </w:t>
      </w:r>
      <w:r>
        <w:rPr>
          <w:b/>
          <w:bCs/>
          <w:color w:val="444444"/>
        </w:rPr>
        <w:t>water supply network capacity concerns</w:t>
      </w:r>
      <w:r>
        <w:rPr>
          <w:color w:val="444444"/>
        </w:rPr>
        <w:t xml:space="preserve"> in respect of proposed residential development in this supply zone. Those concerns were taken sufficiently seriously by the Planning Inspector that Appeal Decision Ref. 6000703 (Inspector M </w:t>
      </w:r>
      <w:proofErr w:type="spellStart"/>
      <w:r>
        <w:rPr>
          <w:color w:val="444444"/>
        </w:rPr>
        <w:t>Aqbal</w:t>
      </w:r>
      <w:proofErr w:type="spellEnd"/>
      <w:r>
        <w:rPr>
          <w:color w:val="444444"/>
        </w:rPr>
        <w:t>, 7 May 2026) included conditions (Conditions 14 and 15) requiring that development not commence until Thames Water had confirmed in writing either that existing network capacity was sufficient, or that a programme of network reinforcement had been agreed and timetabled.</w:t>
      </w:r>
    </w:p>
    <w:p w14:paraId="69C3319A" w14:textId="77777777" w:rsidR="00472D2F" w:rsidRDefault="000A34D0">
      <w:pPr>
        <w:spacing w:before="60" w:after="120"/>
        <w:jc w:val="both"/>
      </w:pPr>
      <w:r>
        <w:rPr>
          <w:color w:val="444444"/>
        </w:rPr>
        <w:t xml:space="preserve">That capacity constraint was identified in respect of </w:t>
      </w:r>
      <w:r>
        <w:rPr>
          <w:i/>
          <w:color w:val="444444"/>
        </w:rPr>
        <w:t>domestic</w:t>
      </w:r>
      <w:r>
        <w:rPr>
          <w:color w:val="444444"/>
        </w:rPr>
        <w:t xml:space="preserve"> water consumption from residential development. The proposed AD facility has an undisclosed and unassessed industrial water demand of approximately 11,762 m³/year (rising to approximately 21,435 m³/year on the corrected SAAR basis) — equivalent to the annual consumption of 95 to 120 average households (rising to approximately 175 to 200 households on the corrected SAAR basis) — that has never been declared to Thames Water, assessed by Thames Water, or considered by any statutory consultee in the co</w:t>
      </w:r>
      <w:r>
        <w:rPr>
          <w:color w:val="444444"/>
        </w:rPr>
        <w:t xml:space="preserve">ntext of this application. Thames Water has been consulted on this application only in relation to sewer infrastructure (the April 2026 H4 response, WC-26-04-370009) and groundwater SPZ protection (the June 2026 response, WC-26-06-378233). </w:t>
      </w:r>
      <w:r>
        <w:rPr>
          <w:b/>
          <w:bCs/>
          <w:color w:val="444444"/>
        </w:rPr>
        <w:t>Thames Water has never been asked whether the water supply network in this zone can support an additional industrial mains water demand of this scale.</w:t>
      </w:r>
    </w:p>
    <w:p w14:paraId="69C3319B" w14:textId="77777777" w:rsidR="00472D2F" w:rsidRDefault="000A34D0">
      <w:pPr>
        <w:pStyle w:val="Heading2"/>
      </w:pPr>
      <w:r>
        <w:t>9.2 The Combination of DTS 73676 and This Review is Materially Significant</w:t>
      </w:r>
    </w:p>
    <w:p w14:paraId="69C3319C" w14:textId="77777777" w:rsidR="00472D2F" w:rsidRDefault="000A34D0">
      <w:pPr>
        <w:spacing w:before="60" w:after="120"/>
        <w:jc w:val="both"/>
      </w:pPr>
      <w:r>
        <w:rPr>
          <w:color w:val="444444"/>
        </w:rPr>
        <w:t>Taken together, these two facts are materially significant and require formal resolution before this application can lawfully be determined:</w:t>
      </w:r>
    </w:p>
    <w:p w14:paraId="69C3319D" w14:textId="77777777" w:rsidR="00472D2F" w:rsidRDefault="000A34D0">
      <w:pPr>
        <w:pStyle w:val="ListParagraph"/>
        <w:numPr>
          <w:ilvl w:val="0"/>
          <w:numId w:val="2"/>
        </w:numPr>
        <w:spacing w:before="40" w:after="60"/>
      </w:pPr>
      <w:r>
        <w:rPr>
          <w:color w:val="444444"/>
        </w:rPr>
        <w:t>Thames Water has already identified that the water supply network in this area is constrained: their February 2026 response (DTS Ref 73676) raised capacity concerns about residential development in the same supply zone, concerns so material that the Planning Inspector imposed binding pre-commencement conditions to resolve them.</w:t>
      </w:r>
    </w:p>
    <w:p w14:paraId="69C3319E" w14:textId="77777777" w:rsidR="00472D2F" w:rsidRDefault="000A34D0">
      <w:pPr>
        <w:pStyle w:val="ListParagraph"/>
        <w:numPr>
          <w:ilvl w:val="0"/>
          <w:numId w:val="2"/>
        </w:numPr>
        <w:spacing w:before="40" w:after="60"/>
      </w:pPr>
      <w:r>
        <w:rPr>
          <w:color w:val="444444"/>
        </w:rPr>
        <w:t>This review has demonstrated, from the applicant’s own submitted data, that the AD facility has an undisclosed and unassessed mains water demand of approximately 11,762 m³/year (rising to approximately 21,435 m³/year on the corrected SAAR basis) — equivalent to 95 to 120 additional households (rising to approximately 175 to 200 on the corrected SAAR basis) — that the applicant has falsely claimed will be met entirely by rainwater harvesting.</w:t>
      </w:r>
    </w:p>
    <w:p w14:paraId="69C3319F" w14:textId="77777777" w:rsidR="00472D2F" w:rsidRDefault="000A34D0">
      <w:pPr>
        <w:spacing w:before="80" w:after="120"/>
        <w:jc w:val="both"/>
      </w:pPr>
      <w:r>
        <w:rPr>
          <w:color w:val="444444"/>
        </w:rPr>
        <w:t>In a supply zone where Thames Water has already flagged network capacity constraints, the belated discovery of an undisclosed industrial demand of this magnitude is not a technicality. It is a material planning consideration that goes to the heart of whether this development can be served by existing infrastructure. The committee cannot grant permission in ignorance of Thames Water’s position on a water demand that has never been put to them.</w:t>
      </w:r>
    </w:p>
    <w:p w14:paraId="69C331A0" w14:textId="77777777" w:rsidR="00472D2F" w:rsidRDefault="000A34D0">
      <w:pPr>
        <w:pStyle w:val="Heading2"/>
      </w:pPr>
      <w:r>
        <w:lastRenderedPageBreak/>
        <w:t>9.3 Thames Water’s June 2026 SPZ Response Does Not Address Water Demand</w:t>
      </w:r>
    </w:p>
    <w:p w14:paraId="69C331A1" w14:textId="77777777" w:rsidR="00472D2F" w:rsidRDefault="000A34D0">
      <w:pPr>
        <w:spacing w:before="60" w:after="120"/>
        <w:jc w:val="both"/>
      </w:pPr>
      <w:r>
        <w:rPr>
          <w:color w:val="444444"/>
        </w:rPr>
        <w:t xml:space="preserve">Thames Water’s formal consultation response of 11 June 2026 (WC-26-06-378233) confirmed that the site falls within a Source Protection Zone at particular risk from polluting activities and recommended that the applicant take specialist advice on the groundwater implications. That is an important and welcome statement, but it addresses </w:t>
      </w:r>
      <w:r>
        <w:rPr>
          <w:i/>
          <w:color w:val="444444"/>
        </w:rPr>
        <w:t>groundwater pollution risk</w:t>
      </w:r>
      <w:r>
        <w:rPr>
          <w:color w:val="444444"/>
        </w:rPr>
        <w:t xml:space="preserve">, not </w:t>
      </w:r>
      <w:r>
        <w:rPr>
          <w:i/>
          <w:color w:val="444444"/>
        </w:rPr>
        <w:t>water supply demand</w:t>
      </w:r>
      <w:r>
        <w:rPr>
          <w:color w:val="444444"/>
        </w:rPr>
        <w:t>. The two questions are distinct. Thames Water’s Development Planning team, which submitted the June 2026 response, operates under a different remit from the Developer Services team that handles network capacity assessments (DTS responses). The question of whether a 91,000-tonne-per-year AD facility with a structural process water deficit of approximately 11,762 m³/year (rising to approximately 21,435 m³/year on the corrected SAAR basis) can be accommodated</w:t>
      </w:r>
      <w:r>
        <w:rPr>
          <w:color w:val="444444"/>
        </w:rPr>
        <w:t xml:space="preserve"> within the existing mains network in a zone where capacity concerns have already been raised has not been put to, and not been answered by, Thames Water. It must be.</w:t>
      </w:r>
    </w:p>
    <w:p w14:paraId="69C331A2" w14:textId="77777777" w:rsidR="00472D2F" w:rsidRDefault="00472D2F">
      <w:pPr>
        <w:pBdr>
          <w:bottom w:val="single" w:sz="4" w:space="1" w:color="2E75B6"/>
        </w:pBdr>
        <w:spacing w:before="120" w:after="120"/>
      </w:pPr>
    </w:p>
    <w:p w14:paraId="69C331A3" w14:textId="77777777" w:rsidR="00472D2F" w:rsidRDefault="000A34D0">
      <w:pPr>
        <w:pStyle w:val="Heading1"/>
      </w:pPr>
      <w:r>
        <w:t>10. What I Am Asking the Committee to Do</w:t>
      </w:r>
    </w:p>
    <w:p w14:paraId="69C331A4" w14:textId="77777777" w:rsidR="00472D2F" w:rsidRDefault="000A34D0">
      <w:pPr>
        <w:spacing w:before="60" w:after="120"/>
        <w:jc w:val="both"/>
      </w:pPr>
      <w:r>
        <w:rPr>
          <w:b/>
          <w:bCs/>
          <w:color w:val="444444"/>
        </w:rPr>
        <w:t>I strongly urge the committee not to determine this application until Thames Water has been formally asked, and has answered, the specific question of whether the water supply network in this zone can accommodate the industrial water demand identified in this review.</w:t>
      </w:r>
      <w:r>
        <w:rPr>
          <w:color w:val="444444"/>
        </w:rPr>
        <w:t xml:space="preserve"> The combination of Thames Water’s existing capacity objection to development in this supply zone (DTS Ref 73676, February 2026) and the undisclosed industrial water demand demonstrated in this review creates a material gap in the evidence base that the committee cannot properly disregard. To do so would be to grant permission for a facility whose infrastructure implications have not been assessed by the one statutory body competent to assess them.</w:t>
      </w:r>
    </w:p>
    <w:p w14:paraId="69C331A5" w14:textId="77777777" w:rsidR="00472D2F" w:rsidRDefault="000A34D0">
      <w:pPr>
        <w:spacing w:before="60" w:after="120"/>
        <w:jc w:val="both"/>
      </w:pPr>
      <w:r>
        <w:rPr>
          <w:b/>
          <w:bCs/>
          <w:color w:val="444444"/>
        </w:rPr>
        <w:t>I respectfully ask the committee to refuse this application</w:t>
      </w:r>
      <w:r>
        <w:rPr>
          <w:color w:val="444444"/>
        </w:rPr>
        <w:t>, on the grounds that the environmental information is materially incomplete under Schedule 4, paragraph 5(d) of the EIA Regulations 2017, and for the following specific reasons:</w:t>
      </w:r>
    </w:p>
    <w:p w14:paraId="69C331A6" w14:textId="77777777" w:rsidR="00472D2F" w:rsidRDefault="00472D2F">
      <w:pPr>
        <w:spacing w:before="60"/>
      </w:pPr>
    </w:p>
    <w:p w14:paraId="69C331A7" w14:textId="77777777" w:rsidR="00472D2F" w:rsidRDefault="000A34D0">
      <w:pPr>
        <w:pStyle w:val="ListParagraph"/>
        <w:numPr>
          <w:ilvl w:val="0"/>
          <w:numId w:val="2"/>
        </w:numPr>
        <w:spacing w:before="40" w:after="60"/>
      </w:pPr>
      <w:r>
        <w:rPr>
          <w:color w:val="444444"/>
        </w:rPr>
        <w:t>The claim that the facility will be ‘up to 100% self-sufficient in process water through rainwater harvesting’ is arithmetically false on the applicant’s own submitted data. The DIA’s own figures demonstrate a structural annual deficit of at least 11,762 m³/year (equivalent to 95–120 households) from an external source that has not been identified, licensed, or assessed. Once the DIA’s misapplied climate change uplift is corrected to a proper SAAR basis, that deficit rises to approximately 21,435 m³/year (e</w:t>
      </w:r>
      <w:r>
        <w:rPr>
          <w:color w:val="444444"/>
        </w:rPr>
        <w:t>quivalent to approximately 175–200 households). Both figures derive entirely from the applicant’s own drainage document.</w:t>
      </w:r>
    </w:p>
    <w:p w14:paraId="69C331A8" w14:textId="77777777" w:rsidR="00472D2F" w:rsidRDefault="000A34D0">
      <w:pPr>
        <w:pStyle w:val="ListParagraph"/>
        <w:numPr>
          <w:ilvl w:val="0"/>
          <w:numId w:val="2"/>
        </w:numPr>
        <w:spacing w:before="40" w:after="60"/>
      </w:pPr>
      <w:r>
        <w:rPr>
          <w:color w:val="444444"/>
        </w:rPr>
        <w:t>The clean water drainage circuit committed to surface water discharge and the foul water process water supply circuit double-count the same roof catchment; the water balance is internally incoherent.</w:t>
      </w:r>
    </w:p>
    <w:p w14:paraId="69C331A9" w14:textId="77777777" w:rsidR="00472D2F" w:rsidRDefault="000A34D0">
      <w:pPr>
        <w:pStyle w:val="ListParagraph"/>
        <w:numPr>
          <w:ilvl w:val="0"/>
          <w:numId w:val="2"/>
        </w:numPr>
        <w:spacing w:before="40" w:after="60"/>
      </w:pPr>
      <w:r>
        <w:rPr>
          <w:color w:val="444444"/>
        </w:rPr>
        <w:t>The Rainwater Harvesting Lagoon (2,000 m³) introduced in the 2025 ES Addendum collects clean surface runoff, not process water; it does not appear on the drainage drawings; and its potential impact on the Cornbrash Limestone aquifer, to which the site’s SPZ2 designation applies, has not been assessed.</w:t>
      </w:r>
    </w:p>
    <w:p w14:paraId="69C331AA" w14:textId="77777777" w:rsidR="00472D2F" w:rsidRDefault="000A34D0">
      <w:pPr>
        <w:pStyle w:val="ListParagraph"/>
        <w:numPr>
          <w:ilvl w:val="0"/>
          <w:numId w:val="2"/>
        </w:numPr>
        <w:spacing w:before="40" w:after="60"/>
      </w:pPr>
      <w:r>
        <w:rPr>
          <w:color w:val="444444"/>
        </w:rPr>
        <w:t>Wheel wash water demand of up to 40 m³/day has been omitted from the process water balance and no wheel wash infrastructure appears on any drainage drawing.</w:t>
      </w:r>
    </w:p>
    <w:p w14:paraId="69C331AB" w14:textId="77777777" w:rsidR="00472D2F" w:rsidRDefault="000A34D0">
      <w:pPr>
        <w:pStyle w:val="ListParagraph"/>
        <w:numPr>
          <w:ilvl w:val="0"/>
          <w:numId w:val="2"/>
        </w:numPr>
        <w:spacing w:before="40" w:after="60"/>
      </w:pPr>
      <w:r>
        <w:rPr>
          <w:color w:val="444444"/>
        </w:rPr>
        <w:t>Thames Water has already raised water supply network capacity concerns about development in this supply zone (DTS Ref 73676, February 2026), concerns the Planning Inspector treated as requiring binding pre-commencement conditions. Thames Water has never been asked whether this supply zone can accommodate an additional undisclosed industrial demand of at least 11,762 m³/year (rising to approximately 21,435 m³/year on the corrected SAAR basis). The committee must obtain that answer before determining this app</w:t>
      </w:r>
      <w:r>
        <w:rPr>
          <w:color w:val="444444"/>
        </w:rPr>
        <w:t>lication.</w:t>
      </w:r>
    </w:p>
    <w:p w14:paraId="69C331AC" w14:textId="77777777" w:rsidR="00472D2F" w:rsidRDefault="000A34D0">
      <w:pPr>
        <w:pStyle w:val="ListParagraph"/>
        <w:numPr>
          <w:ilvl w:val="0"/>
          <w:numId w:val="2"/>
        </w:numPr>
        <w:spacing w:before="40" w:after="60"/>
      </w:pPr>
      <w:r>
        <w:rPr>
          <w:color w:val="444444"/>
        </w:rPr>
        <w:t xml:space="preserve">The Environment Agency has not been consulted on the groundwater quantity and abstraction licensing implications of the structural process water deficit. This is distinct from </w:t>
      </w:r>
      <w:r>
        <w:rPr>
          <w:color w:val="444444"/>
        </w:rPr>
        <w:lastRenderedPageBreak/>
        <w:t xml:space="preserve">the groundwater pollution question. If the shortfall of at least 11,762 m³/year (rising to approximately 21,435 m³/year on the corrected SAAR basis) is to be met from the Cornbrash Limestone aquifer (SPZ2), a Water Resources Act 1991 abstraction licence is </w:t>
      </w:r>
      <w:proofErr w:type="gramStart"/>
      <w:r>
        <w:rPr>
          <w:color w:val="444444"/>
        </w:rPr>
        <w:t>required</w:t>
      </w:r>
      <w:proofErr w:type="gramEnd"/>
      <w:r>
        <w:rPr>
          <w:color w:val="444444"/>
        </w:rPr>
        <w:t xml:space="preserve"> and no application has been made. The Environment Agency must be formally reconsulted on this water resources question before the application can be determined.</w:t>
      </w:r>
    </w:p>
    <w:p w14:paraId="69C331AD" w14:textId="77777777" w:rsidR="00472D2F" w:rsidRDefault="000A34D0">
      <w:pPr>
        <w:pStyle w:val="ListParagraph"/>
        <w:numPr>
          <w:ilvl w:val="0"/>
          <w:numId w:val="2"/>
        </w:numPr>
        <w:spacing w:before="40" w:after="60"/>
      </w:pPr>
      <w:r>
        <w:rPr>
          <w:color w:val="444444"/>
        </w:rPr>
        <w:t>The application constitutes a material omission under Schedule 4, paragraph 5(d) of the EIA Regulations 2017: a false claim of self-sufficiency is not a mitigation measure, it is an undisclosed impact.</w:t>
      </w:r>
    </w:p>
    <w:p w14:paraId="69C331AE" w14:textId="77777777" w:rsidR="00472D2F" w:rsidRDefault="000A34D0">
      <w:pPr>
        <w:spacing w:before="100" w:after="120"/>
        <w:jc w:val="both"/>
      </w:pPr>
      <w:r>
        <w:rPr>
          <w:color w:val="444444"/>
        </w:rPr>
        <w:t>If the committee does not refuse, I ask as a minimum that determination be deferred, and specifically that the LPA formally reconsult Thames Water’s Developer Services team, putting to them the question of whether the mains water supply network in this zone can accommodate an additional industrial water demand of approximately 11,762 m³/year (rising to approximately 21,435 m³/year on the corrected SAAR basis) (equivalent to 95–120 households at the DIA’s own admitted figures, or approximately 175–200 househ</w:t>
      </w:r>
      <w:r>
        <w:rPr>
          <w:color w:val="444444"/>
        </w:rPr>
        <w:t xml:space="preserve">olds on the corrected SAAR basis) year-round. That </w:t>
      </w:r>
      <w:proofErr w:type="spellStart"/>
      <w:r>
        <w:rPr>
          <w:color w:val="444444"/>
        </w:rPr>
        <w:t>reconsultation</w:t>
      </w:r>
      <w:proofErr w:type="spellEnd"/>
      <w:r>
        <w:rPr>
          <w:color w:val="444444"/>
        </w:rPr>
        <w:t xml:space="preserve"> should be conducted in the context of Thames Water’s existing capacity concerns about this supply zone as expressed in DTS Ref 73676. The committee should not determine this application until Thames Water has answered that specific question, in writing, for this specific application.</w:t>
      </w:r>
    </w:p>
    <w:p w14:paraId="69C331AF" w14:textId="77777777" w:rsidR="00472D2F" w:rsidRDefault="000A34D0">
      <w:pPr>
        <w:spacing w:before="60" w:after="120"/>
        <w:jc w:val="both"/>
      </w:pPr>
      <w:r>
        <w:rPr>
          <w:color w:val="444444"/>
        </w:rPr>
        <w:t>The Environment Agency must also be formally reconsulted, separately, on the groundwater quantity implications of the structural water deficit. This is a distinct question from the groundwater pollution risk that the Environment Agency addresses in its standard consultation role. The question here is one of water resources: if the process water shortfall of at least 11,762 m³/year (rising to approximately 21,435 m³/year on the corrected SAAR basis) is to be met from groundwater abstraction — the only plausi</w:t>
      </w:r>
      <w:r>
        <w:rPr>
          <w:color w:val="444444"/>
        </w:rPr>
        <w:t>ble on-site source given the demonstrated failure of the rainwater harvesting model — any such abstraction from the Cornbrash Limestone aquifer (SPZ2) requires a licence under the Water Resources Act 1991, and any abstraction assessment must demonstrate that the licence would not prejudice the protected water source. Neither a licence application nor a supporting abstraction assessment has been submitted. The Environment Agency has not been asked to consider the water resources implications of the facility’</w:t>
      </w:r>
      <w:r>
        <w:rPr>
          <w:color w:val="444444"/>
        </w:rPr>
        <w:t xml:space="preserve">s external water demand for this application. That </w:t>
      </w:r>
      <w:proofErr w:type="spellStart"/>
      <w:r>
        <w:rPr>
          <w:color w:val="444444"/>
        </w:rPr>
        <w:t>reconsultation</w:t>
      </w:r>
      <w:proofErr w:type="spellEnd"/>
      <w:r>
        <w:rPr>
          <w:color w:val="444444"/>
        </w:rPr>
        <w:t xml:space="preserve"> is necessary and must be completed before any decision is made.</w:t>
      </w:r>
    </w:p>
    <w:p w14:paraId="69C331B0" w14:textId="77777777" w:rsidR="00472D2F" w:rsidRDefault="000A34D0">
      <w:pPr>
        <w:spacing w:before="60" w:after="120"/>
        <w:jc w:val="both"/>
      </w:pPr>
      <w:r>
        <w:rPr>
          <w:color w:val="444444"/>
        </w:rPr>
        <w:t xml:space="preserve">Additionally, deferral should be conditional on the applicant submitting: (a) a corrected and audited water balance prepared by an independent water resources specialist, accounting for all process water inputs, all outputs, seasonal availability of silage juice, wheel wash demand, and the correct allocation of each catchment area to a single drainage destination; (b) identification and licensing of the external water source required to meet the structural deficit; and (c) a CP68-compliant groundwater risk </w:t>
      </w:r>
      <w:r>
        <w:rPr>
          <w:color w:val="444444"/>
        </w:rPr>
        <w:t>assessment addressing, for any proposed abstraction from the Cornbrash Limestone aquifer (to which the SPZ2 designation applies), the risk to the protected water source, and addressing separately the risk to the Northmoor Sand and Gravel aquifer (the pollution pathway to the SSSI lake network) from construction and operational activities, reviewed by the Environment Agency and Thames Water.</w:t>
      </w:r>
    </w:p>
    <w:p w14:paraId="69C331B1" w14:textId="77777777" w:rsidR="00472D2F" w:rsidRDefault="00472D2F">
      <w:pPr>
        <w:spacing w:before="60"/>
      </w:pPr>
    </w:p>
    <w:p w14:paraId="69C331B2" w14:textId="77777777" w:rsidR="00472D2F" w:rsidRDefault="000A34D0">
      <w:pPr>
        <w:spacing w:before="80" w:after="60"/>
      </w:pPr>
      <w:r>
        <w:rPr>
          <w:b/>
          <w:bCs/>
          <w:color w:val="444444"/>
        </w:rPr>
        <w:t>N G Cartwright</w:t>
      </w:r>
    </w:p>
    <w:p w14:paraId="69C331B3" w14:textId="77777777" w:rsidR="00472D2F" w:rsidRDefault="000A34D0">
      <w:pPr>
        <w:spacing w:after="40"/>
      </w:pPr>
      <w:r>
        <w:rPr>
          <w:color w:val="444444"/>
        </w:rPr>
        <w:t>Somerford Keynes, June 2026</w:t>
      </w:r>
    </w:p>
    <w:p w14:paraId="69C331B4" w14:textId="77777777" w:rsidR="00472D2F" w:rsidRDefault="000A34D0">
      <w:pPr>
        <w:spacing w:after="80"/>
      </w:pPr>
      <w:r>
        <w:rPr>
          <w:color w:val="666666"/>
          <w:sz w:val="20"/>
          <w:szCs w:val="20"/>
        </w:rPr>
        <w:t>This objection is submitted as a supplementary objection to my earlier objection of 4 May 2026 (established pollutant pathway and absence of a Groundwater Risk Assessment) and should be read alongside JBA Consulting Technical Note Q25-2520 (South Cerney Parish Council, 10 November 2025) and the objection of the retired hydrogeologist (WC-26-06-376979, June 2026).</w:t>
      </w:r>
    </w:p>
    <w:p w14:paraId="69C331B5" w14:textId="77777777" w:rsidR="00472D2F" w:rsidRDefault="00472D2F">
      <w:pPr>
        <w:pBdr>
          <w:bottom w:val="single" w:sz="4" w:space="1" w:color="2E75B6"/>
        </w:pBdr>
        <w:spacing w:before="120" w:after="120"/>
      </w:pPr>
    </w:p>
    <w:p w14:paraId="69C331B6" w14:textId="77777777" w:rsidR="00472D2F" w:rsidRDefault="000A34D0">
      <w:pPr>
        <w:pStyle w:val="Heading1"/>
      </w:pPr>
      <w:r>
        <w:t>Supporting Documents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472D2F" w14:paraId="69C331B9" w14:textId="77777777">
        <w:tc>
          <w:tcPr>
            <w:tcW w:w="4513"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69C331B7" w14:textId="77777777" w:rsidR="00472D2F" w:rsidRDefault="000A34D0">
            <w:r>
              <w:rPr>
                <w:b/>
                <w:bCs/>
                <w:color w:val="FFFFFF"/>
                <w:sz w:val="20"/>
                <w:szCs w:val="20"/>
              </w:rPr>
              <w:t>Document</w:t>
            </w:r>
          </w:p>
        </w:tc>
        <w:tc>
          <w:tcPr>
            <w:tcW w:w="4513" w:type="dxa"/>
            <w:tcBorders>
              <w:top w:val="single" w:sz="1" w:space="0" w:color="AAAAAA"/>
              <w:left w:val="single" w:sz="1" w:space="0" w:color="AAAAAA"/>
              <w:bottom w:val="single" w:sz="1" w:space="0" w:color="AAAAAA"/>
              <w:right w:val="single" w:sz="1" w:space="0" w:color="AAAAAA"/>
            </w:tcBorders>
            <w:shd w:val="clear" w:color="auto" w:fill="1F3864"/>
            <w:tcMar>
              <w:top w:w="80" w:type="dxa"/>
              <w:left w:w="120" w:type="dxa"/>
              <w:bottom w:w="80" w:type="dxa"/>
              <w:right w:w="120" w:type="dxa"/>
            </w:tcMar>
          </w:tcPr>
          <w:p w14:paraId="69C331B8" w14:textId="77777777" w:rsidR="00472D2F" w:rsidRDefault="000A34D0">
            <w:r>
              <w:rPr>
                <w:b/>
                <w:bCs/>
                <w:color w:val="FFFFFF"/>
                <w:sz w:val="20"/>
                <w:szCs w:val="20"/>
              </w:rPr>
              <w:t>Reference</w:t>
            </w:r>
          </w:p>
        </w:tc>
      </w:tr>
      <w:tr w:rsidR="00472D2F" w14:paraId="69C331BC"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9C331BA" w14:textId="77777777" w:rsidR="00472D2F" w:rsidRDefault="000A34D0">
            <w:r>
              <w:rPr>
                <w:color w:val="444444"/>
                <w:sz w:val="20"/>
                <w:szCs w:val="20"/>
              </w:rPr>
              <w:t>JBA Consulting Technical Note</w:t>
            </w:r>
          </w:p>
        </w:tc>
        <w:tc>
          <w:tcPr>
            <w:tcW w:w="4513"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9C331BB" w14:textId="77777777" w:rsidR="00472D2F" w:rsidRDefault="000A34D0">
            <w:r>
              <w:rPr>
                <w:color w:val="444444"/>
                <w:sz w:val="20"/>
                <w:szCs w:val="20"/>
              </w:rPr>
              <w:t>Q25-2520, 10 November 2025 (South Cerney Parish Council)</w:t>
            </w:r>
          </w:p>
        </w:tc>
      </w:tr>
      <w:tr w:rsidR="00472D2F" w14:paraId="69C331BF" w14:textId="77777777">
        <w:tc>
          <w:tcPr>
            <w:tcW w:w="451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C331BD" w14:textId="77777777" w:rsidR="00472D2F" w:rsidRDefault="000A34D0">
            <w:r>
              <w:rPr>
                <w:color w:val="444444"/>
                <w:sz w:val="20"/>
                <w:szCs w:val="20"/>
              </w:rPr>
              <w:lastRenderedPageBreak/>
              <w:t>Updated Flood Risk Assessment V3</w:t>
            </w:r>
          </w:p>
        </w:tc>
        <w:tc>
          <w:tcPr>
            <w:tcW w:w="451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C331BE" w14:textId="77777777" w:rsidR="00472D2F" w:rsidRDefault="000A34D0">
            <w:r>
              <w:rPr>
                <w:color w:val="444444"/>
                <w:sz w:val="20"/>
                <w:szCs w:val="20"/>
              </w:rPr>
              <w:t>SLR Consulting, 1 October 2025</w:t>
            </w:r>
          </w:p>
        </w:tc>
      </w:tr>
      <w:tr w:rsidR="00472D2F" w14:paraId="69C331C2"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9C331C0" w14:textId="77777777" w:rsidR="00472D2F" w:rsidRDefault="000A34D0">
            <w:r>
              <w:rPr>
                <w:color w:val="444444"/>
                <w:sz w:val="20"/>
                <w:szCs w:val="20"/>
              </w:rPr>
              <w:t>ES Addendum – Updates to Chapters 2 &amp; 3</w:t>
            </w:r>
          </w:p>
        </w:tc>
        <w:tc>
          <w:tcPr>
            <w:tcW w:w="4513"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9C331C1" w14:textId="77777777" w:rsidR="00472D2F" w:rsidRDefault="000A34D0">
            <w:r>
              <w:rPr>
                <w:color w:val="444444"/>
                <w:sz w:val="20"/>
                <w:szCs w:val="20"/>
              </w:rPr>
              <w:t>SLR Consulting, 2025</w:t>
            </w:r>
          </w:p>
        </w:tc>
      </w:tr>
      <w:tr w:rsidR="00472D2F" w14:paraId="69C331C5" w14:textId="77777777">
        <w:tc>
          <w:tcPr>
            <w:tcW w:w="451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C331C3" w14:textId="77777777" w:rsidR="00472D2F" w:rsidRDefault="000A34D0">
            <w:r>
              <w:rPr>
                <w:color w:val="444444"/>
                <w:sz w:val="20"/>
                <w:szCs w:val="20"/>
              </w:rPr>
              <w:t>Drainage Impact Assessment</w:t>
            </w:r>
          </w:p>
        </w:tc>
        <w:tc>
          <w:tcPr>
            <w:tcW w:w="451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C331C4" w14:textId="77777777" w:rsidR="00472D2F" w:rsidRDefault="000A34D0">
            <w:r>
              <w:rPr>
                <w:color w:val="444444"/>
                <w:sz w:val="20"/>
                <w:szCs w:val="20"/>
              </w:rPr>
              <w:t>GGP Consult, GGP-29419-CD-DIA-01, September 2024</w:t>
            </w:r>
          </w:p>
        </w:tc>
      </w:tr>
      <w:tr w:rsidR="00472D2F" w14:paraId="69C331C8"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9C331C6" w14:textId="77777777" w:rsidR="00472D2F" w:rsidRDefault="000A34D0">
            <w:r>
              <w:rPr>
                <w:color w:val="444444"/>
                <w:sz w:val="20"/>
                <w:szCs w:val="20"/>
              </w:rPr>
              <w:t>Environmental Statement Chapter 3 / NTS §4.8.2</w:t>
            </w:r>
          </w:p>
        </w:tc>
        <w:tc>
          <w:tcPr>
            <w:tcW w:w="4513"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9C331C7" w14:textId="77777777" w:rsidR="00472D2F" w:rsidRDefault="000A34D0">
            <w:r>
              <w:rPr>
                <w:color w:val="444444"/>
                <w:sz w:val="20"/>
                <w:szCs w:val="20"/>
              </w:rPr>
              <w:t>Acorn Bioenergy Ltd / SLR Consulting, April 2023</w:t>
            </w:r>
          </w:p>
        </w:tc>
      </w:tr>
      <w:tr w:rsidR="00472D2F" w14:paraId="69C331CB" w14:textId="77777777">
        <w:tc>
          <w:tcPr>
            <w:tcW w:w="451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C331C9" w14:textId="77777777" w:rsidR="00472D2F" w:rsidRDefault="000A34D0">
            <w:r>
              <w:rPr>
                <w:color w:val="444444"/>
                <w:sz w:val="20"/>
                <w:szCs w:val="20"/>
              </w:rPr>
              <w:t>Transport Statement / digestate output figures</w:t>
            </w:r>
          </w:p>
        </w:tc>
        <w:tc>
          <w:tcPr>
            <w:tcW w:w="451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C331CA" w14:textId="77777777" w:rsidR="00472D2F" w:rsidRDefault="000A34D0">
            <w:r>
              <w:rPr>
                <w:color w:val="444444"/>
                <w:sz w:val="20"/>
                <w:szCs w:val="20"/>
              </w:rPr>
              <w:t>Acorn Bioenergy Ltd</w:t>
            </w:r>
          </w:p>
        </w:tc>
      </w:tr>
      <w:tr w:rsidR="00472D2F" w14:paraId="69C331CE"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9C331CC" w14:textId="77777777" w:rsidR="00472D2F" w:rsidRDefault="000A34D0">
            <w:r>
              <w:rPr>
                <w:color w:val="444444"/>
                <w:sz w:val="20"/>
                <w:szCs w:val="20"/>
              </w:rPr>
              <w:t>Drainage drawings</w:t>
            </w:r>
          </w:p>
        </w:tc>
        <w:tc>
          <w:tcPr>
            <w:tcW w:w="4513"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9C331CD" w14:textId="77777777" w:rsidR="00472D2F" w:rsidRDefault="000A34D0">
            <w:r>
              <w:rPr>
                <w:color w:val="444444"/>
                <w:sz w:val="20"/>
                <w:szCs w:val="20"/>
              </w:rPr>
              <w:t>29419/P2/103, 105, 106, 107 (SLR Consulting)</w:t>
            </w:r>
          </w:p>
        </w:tc>
      </w:tr>
      <w:tr w:rsidR="00472D2F" w14:paraId="69C331D1" w14:textId="77777777">
        <w:tc>
          <w:tcPr>
            <w:tcW w:w="451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C331CF" w14:textId="77777777" w:rsidR="00472D2F" w:rsidRDefault="000A34D0">
            <w:r>
              <w:rPr>
                <w:color w:val="444444"/>
                <w:sz w:val="20"/>
                <w:szCs w:val="20"/>
              </w:rPr>
              <w:t>Thames Water consultation response</w:t>
            </w:r>
          </w:p>
        </w:tc>
        <w:tc>
          <w:tcPr>
            <w:tcW w:w="451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C331D0" w14:textId="77777777" w:rsidR="00472D2F" w:rsidRDefault="000A34D0">
            <w:r>
              <w:rPr>
                <w:color w:val="444444"/>
                <w:sz w:val="20"/>
                <w:szCs w:val="20"/>
              </w:rPr>
              <w:t>WC-26-06-378233, 11 June 2026</w:t>
            </w:r>
          </w:p>
        </w:tc>
      </w:tr>
      <w:tr w:rsidR="00472D2F" w14:paraId="69C331D4"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9C331D2" w14:textId="77777777" w:rsidR="00472D2F" w:rsidRDefault="000A34D0">
            <w:r>
              <w:rPr>
                <w:color w:val="444444"/>
                <w:sz w:val="20"/>
                <w:szCs w:val="20"/>
              </w:rPr>
              <w:t>Hydrogeologist’s objection</w:t>
            </w:r>
          </w:p>
        </w:tc>
        <w:tc>
          <w:tcPr>
            <w:tcW w:w="4513"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9C331D3" w14:textId="77777777" w:rsidR="00472D2F" w:rsidRDefault="000A34D0">
            <w:r>
              <w:rPr>
                <w:color w:val="444444"/>
                <w:sz w:val="20"/>
                <w:szCs w:val="20"/>
              </w:rPr>
              <w:t>WC-26-06-376979, June 2026 (independent retired hydrogeologist)</w:t>
            </w:r>
          </w:p>
        </w:tc>
      </w:tr>
      <w:tr w:rsidR="00472D2F" w14:paraId="69C331D7" w14:textId="77777777">
        <w:tc>
          <w:tcPr>
            <w:tcW w:w="451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C331D5" w14:textId="77777777" w:rsidR="00472D2F" w:rsidRDefault="000A34D0">
            <w:r>
              <w:rPr>
                <w:color w:val="444444"/>
                <w:sz w:val="20"/>
                <w:szCs w:val="20"/>
              </w:rPr>
              <w:t>Author’s earlier objection</w:t>
            </w:r>
          </w:p>
        </w:tc>
        <w:tc>
          <w:tcPr>
            <w:tcW w:w="451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C331D6" w14:textId="77777777" w:rsidR="00472D2F" w:rsidRDefault="000A34D0">
            <w:r>
              <w:rPr>
                <w:color w:val="444444"/>
                <w:sz w:val="20"/>
                <w:szCs w:val="20"/>
              </w:rPr>
              <w:t>N G Cartwright, 4 May 2026 (pollution pathway and groundwater risk)</w:t>
            </w:r>
          </w:p>
        </w:tc>
      </w:tr>
      <w:tr w:rsidR="00472D2F" w14:paraId="69C331DA" w14:textId="77777777">
        <w:tc>
          <w:tcPr>
            <w:tcW w:w="4513"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9C331D8" w14:textId="77777777" w:rsidR="00472D2F" w:rsidRDefault="000A34D0">
            <w:r>
              <w:rPr>
                <w:color w:val="444444"/>
                <w:sz w:val="20"/>
                <w:szCs w:val="20"/>
              </w:rPr>
              <w:t>EIA Regulations</w:t>
            </w:r>
          </w:p>
        </w:tc>
        <w:tc>
          <w:tcPr>
            <w:tcW w:w="4513"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9C331D9" w14:textId="77777777" w:rsidR="00472D2F" w:rsidRDefault="000A34D0">
            <w:r>
              <w:rPr>
                <w:color w:val="444444"/>
                <w:sz w:val="20"/>
                <w:szCs w:val="20"/>
              </w:rPr>
              <w:t>Town and Country Planning (EIA) Regulations 2017, Schedule 4 para 5(d)</w:t>
            </w:r>
          </w:p>
        </w:tc>
      </w:tr>
      <w:tr w:rsidR="00472D2F" w14:paraId="69C331DD" w14:textId="77777777">
        <w:tc>
          <w:tcPr>
            <w:tcW w:w="451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C331DB" w14:textId="77777777" w:rsidR="00472D2F" w:rsidRDefault="000A34D0">
            <w:r>
              <w:rPr>
                <w:color w:val="444444"/>
                <w:sz w:val="20"/>
                <w:szCs w:val="20"/>
              </w:rPr>
              <w:t>Wiltshire Core Strategy CP68</w:t>
            </w:r>
          </w:p>
        </w:tc>
        <w:tc>
          <w:tcPr>
            <w:tcW w:w="451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C331DC" w14:textId="77777777" w:rsidR="00472D2F" w:rsidRDefault="000A34D0">
            <w:r>
              <w:rPr>
                <w:color w:val="444444"/>
                <w:sz w:val="20"/>
                <w:szCs w:val="20"/>
              </w:rPr>
              <w:t>Water Resources policy, Wiltshire Council, 2015</w:t>
            </w:r>
          </w:p>
        </w:tc>
      </w:tr>
    </w:tbl>
    <w:p w14:paraId="69C331DE" w14:textId="77777777" w:rsidR="00FF208F" w:rsidRDefault="00FF208F"/>
    <w:sectPr w:rsidR="00FF208F">
      <w:headerReference w:type="default" r:id="rId7"/>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FC9B8" w14:textId="77777777" w:rsidR="000A34D0" w:rsidRDefault="000A34D0">
      <w:r>
        <w:separator/>
      </w:r>
    </w:p>
  </w:endnote>
  <w:endnote w:type="continuationSeparator" w:id="0">
    <w:p w14:paraId="395F5787" w14:textId="77777777" w:rsidR="000A34D0" w:rsidRDefault="000A3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331DF" w14:textId="77777777" w:rsidR="00472D2F" w:rsidRDefault="000A34D0">
    <w:pPr>
      <w:pBdr>
        <w:top w:val="single" w:sz="4" w:space="4" w:color="2E75B6"/>
      </w:pBdr>
      <w:spacing w:before="80"/>
    </w:pPr>
    <w:r>
      <w:rPr>
        <w:color w:val="444444"/>
        <w:sz w:val="18"/>
        <w:szCs w:val="18"/>
      </w:rPr>
      <w:t>N G Cartwright – Objection to PL/2023/03359 – Process Water Self-Sufficiency – 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BF76A" w14:textId="77777777" w:rsidR="000A34D0" w:rsidRDefault="000A34D0">
      <w:r>
        <w:separator/>
      </w:r>
    </w:p>
  </w:footnote>
  <w:footnote w:type="continuationSeparator" w:id="0">
    <w:p w14:paraId="03905689" w14:textId="77777777" w:rsidR="000A34D0" w:rsidRDefault="000A34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331DE" w14:textId="77777777" w:rsidR="00472D2F" w:rsidRDefault="000A34D0">
    <w:pPr>
      <w:pBdr>
        <w:bottom w:val="single" w:sz="6" w:space="4" w:color="2E75B6"/>
      </w:pBdr>
      <w:tabs>
        <w:tab w:val="right" w:pos="9026"/>
      </w:tabs>
    </w:pPr>
    <w:r>
      <w:rPr>
        <w:b/>
        <w:bCs/>
        <w:color w:val="1F3864"/>
        <w:sz w:val="18"/>
        <w:szCs w:val="18"/>
      </w:rPr>
      <w:t>OBJECTION – PROCESS WATER SELF-SUFFICIENCY &amp; WATER DEMAND</w:t>
    </w:r>
    <w:r>
      <w:rPr>
        <w:color w:val="444444"/>
        <w:sz w:val="18"/>
        <w:szCs w:val="18"/>
      </w:rPr>
      <w:tab/>
      <w:t>PL/2023/03359 – AD Facility, Ashton Keynes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B7D"/>
    <w:multiLevelType w:val="hybridMultilevel"/>
    <w:tmpl w:val="F5D45BB8"/>
    <w:lvl w:ilvl="0" w:tplc="3BB28BB0">
      <w:start w:val="1"/>
      <w:numFmt w:val="bullet"/>
      <w:lvlText w:val="●"/>
      <w:lvlJc w:val="left"/>
      <w:pPr>
        <w:ind w:left="720" w:hanging="360"/>
      </w:pPr>
    </w:lvl>
    <w:lvl w:ilvl="1" w:tplc="3F5C0962">
      <w:start w:val="1"/>
      <w:numFmt w:val="bullet"/>
      <w:lvlText w:val="○"/>
      <w:lvlJc w:val="left"/>
      <w:pPr>
        <w:ind w:left="1440" w:hanging="360"/>
      </w:pPr>
    </w:lvl>
    <w:lvl w:ilvl="2" w:tplc="52C0FE54">
      <w:start w:val="1"/>
      <w:numFmt w:val="bullet"/>
      <w:lvlText w:val="■"/>
      <w:lvlJc w:val="left"/>
      <w:pPr>
        <w:ind w:left="2160" w:hanging="360"/>
      </w:pPr>
    </w:lvl>
    <w:lvl w:ilvl="3" w:tplc="6A18B488">
      <w:start w:val="1"/>
      <w:numFmt w:val="bullet"/>
      <w:lvlText w:val="●"/>
      <w:lvlJc w:val="left"/>
      <w:pPr>
        <w:ind w:left="2880" w:hanging="360"/>
      </w:pPr>
    </w:lvl>
    <w:lvl w:ilvl="4" w:tplc="66F2C6BE">
      <w:start w:val="1"/>
      <w:numFmt w:val="bullet"/>
      <w:lvlText w:val="○"/>
      <w:lvlJc w:val="left"/>
      <w:pPr>
        <w:ind w:left="3600" w:hanging="360"/>
      </w:pPr>
    </w:lvl>
    <w:lvl w:ilvl="5" w:tplc="0B88B256">
      <w:start w:val="1"/>
      <w:numFmt w:val="bullet"/>
      <w:lvlText w:val="■"/>
      <w:lvlJc w:val="left"/>
      <w:pPr>
        <w:ind w:left="4320" w:hanging="360"/>
      </w:pPr>
    </w:lvl>
    <w:lvl w:ilvl="6" w:tplc="176CF808">
      <w:start w:val="1"/>
      <w:numFmt w:val="bullet"/>
      <w:lvlText w:val="●"/>
      <w:lvlJc w:val="left"/>
      <w:pPr>
        <w:ind w:left="5040" w:hanging="360"/>
      </w:pPr>
    </w:lvl>
    <w:lvl w:ilvl="7" w:tplc="0CE29DE6">
      <w:start w:val="1"/>
      <w:numFmt w:val="bullet"/>
      <w:lvlText w:val="●"/>
      <w:lvlJc w:val="left"/>
      <w:pPr>
        <w:ind w:left="5760" w:hanging="360"/>
      </w:pPr>
    </w:lvl>
    <w:lvl w:ilvl="8" w:tplc="EF66C470">
      <w:start w:val="1"/>
      <w:numFmt w:val="bullet"/>
      <w:lvlText w:val="●"/>
      <w:lvlJc w:val="left"/>
      <w:pPr>
        <w:ind w:left="6480" w:hanging="360"/>
      </w:pPr>
    </w:lvl>
  </w:abstractNum>
  <w:abstractNum w:abstractNumId="1" w15:restartNumberingAfterBreak="0">
    <w:nsid w:val="3AE230C2"/>
    <w:multiLevelType w:val="hybridMultilevel"/>
    <w:tmpl w:val="9BDCDF14"/>
    <w:lvl w:ilvl="0" w:tplc="96444740">
      <w:start w:val="1"/>
      <w:numFmt w:val="bullet"/>
      <w:lvlText w:val="•"/>
      <w:lvlJc w:val="left"/>
      <w:pPr>
        <w:ind w:left="600" w:hanging="300"/>
      </w:pPr>
    </w:lvl>
    <w:lvl w:ilvl="1" w:tplc="E7CAB7B6">
      <w:numFmt w:val="decimal"/>
      <w:lvlText w:val=""/>
      <w:lvlJc w:val="left"/>
    </w:lvl>
    <w:lvl w:ilvl="2" w:tplc="432EBD12">
      <w:numFmt w:val="decimal"/>
      <w:lvlText w:val=""/>
      <w:lvlJc w:val="left"/>
    </w:lvl>
    <w:lvl w:ilvl="3" w:tplc="D05847BA">
      <w:numFmt w:val="decimal"/>
      <w:lvlText w:val=""/>
      <w:lvlJc w:val="left"/>
    </w:lvl>
    <w:lvl w:ilvl="4" w:tplc="023C3164">
      <w:numFmt w:val="decimal"/>
      <w:lvlText w:val=""/>
      <w:lvlJc w:val="left"/>
    </w:lvl>
    <w:lvl w:ilvl="5" w:tplc="2362DA7E">
      <w:numFmt w:val="decimal"/>
      <w:lvlText w:val=""/>
      <w:lvlJc w:val="left"/>
    </w:lvl>
    <w:lvl w:ilvl="6" w:tplc="A8CAF7F2">
      <w:numFmt w:val="decimal"/>
      <w:lvlText w:val=""/>
      <w:lvlJc w:val="left"/>
    </w:lvl>
    <w:lvl w:ilvl="7" w:tplc="B6927174">
      <w:numFmt w:val="decimal"/>
      <w:lvlText w:val=""/>
      <w:lvlJc w:val="left"/>
    </w:lvl>
    <w:lvl w:ilvl="8" w:tplc="01661DD0">
      <w:numFmt w:val="decimal"/>
      <w:lvlText w:val=""/>
      <w:lvlJc w:val="left"/>
    </w:lvl>
  </w:abstractNum>
  <w:num w:numId="1" w16cid:durableId="1591963663">
    <w:abstractNumId w:val="0"/>
    <w:lvlOverride w:ilvl="0">
      <w:startOverride w:val="1"/>
    </w:lvlOverride>
  </w:num>
  <w:num w:numId="2" w16cid:durableId="48162427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D2F"/>
    <w:rsid w:val="000A34D0"/>
    <w:rsid w:val="001E791A"/>
    <w:rsid w:val="002C4D80"/>
    <w:rsid w:val="00472D2F"/>
    <w:rsid w:val="00610C05"/>
    <w:rsid w:val="00D1732E"/>
    <w:rsid w:val="00FF20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330E9"/>
  <w15:docId w15:val="{3F37837B-0F45-4812-9701-215AFE960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1F3864"/>
      <w:sz w:val="28"/>
      <w:szCs w:val="28"/>
    </w:rPr>
  </w:style>
  <w:style w:type="paragraph" w:styleId="Heading2">
    <w:name w:val="heading 2"/>
    <w:uiPriority w:val="9"/>
    <w:unhideWhenUsed/>
    <w:qFormat/>
    <w:pPr>
      <w:spacing w:before="200" w:after="100"/>
      <w:outlineLvl w:val="1"/>
    </w:pPr>
    <w:rPr>
      <w:b/>
      <w:bCs/>
      <w:color w:val="2E75B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8263</Words>
  <Characters>29747</Characters>
  <Application>Microsoft Office Word</Application>
  <DocSecurity>0</DocSecurity>
  <Lines>1416</Lines>
  <Paragraphs>691</Paragraphs>
  <ScaleCrop>false</ScaleCrop>
  <Company/>
  <LinksUpToDate>false</LinksUpToDate>
  <CharactersWithSpaces>37319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Nick Cartwright</cp:lastModifiedBy>
  <cp:revision>2</cp:revision>
  <dcterms:created xsi:type="dcterms:W3CDTF">2026-06-24T15:59:00Z</dcterms:created>
  <dcterms:modified xsi:type="dcterms:W3CDTF">2026-06-24T15:59:00Z</dcterms:modified>
</cp:coreProperties>
</file>