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539D5" w14:textId="77777777" w:rsidR="00502AE1" w:rsidRDefault="00502AE1" w:rsidP="00502AE1">
      <w:pPr>
        <w:pStyle w:val="NormalWeb"/>
        <w:spacing w:before="240" w:after="240"/>
      </w:pPr>
      <w:r>
        <w:rPr>
          <w:b/>
          <w:bCs/>
          <w:sz w:val="22"/>
          <w:szCs w:val="22"/>
        </w:rPr>
        <w:t>FLOOD RISK MITIGATION &amp; EVACUATION MANAGEMENT REPORT</w:t>
      </w:r>
    </w:p>
    <w:p w14:paraId="19C87A98" w14:textId="77777777" w:rsidR="00502AE1" w:rsidRDefault="00502AE1" w:rsidP="00502AE1">
      <w:pPr>
        <w:pStyle w:val="NormalWeb"/>
        <w:spacing w:before="240" w:after="240"/>
      </w:pPr>
      <w:r>
        <w:rPr>
          <w:b/>
          <w:bCs/>
          <w:sz w:val="22"/>
          <w:szCs w:val="22"/>
        </w:rPr>
        <w:t>Site:</w:t>
      </w:r>
      <w:r>
        <w:rPr>
          <w:sz w:val="22"/>
          <w:szCs w:val="22"/>
        </w:rPr>
        <w:t> Boreham Mill, Bishopstrow Road, Warminster, Wiltshire, BA12 9HQ</w:t>
      </w:r>
      <w:r>
        <w:rPr>
          <w:sz w:val="22"/>
          <w:szCs w:val="22"/>
        </w:rPr>
        <w:br/>
      </w:r>
      <w:r>
        <w:rPr>
          <w:b/>
          <w:bCs/>
          <w:sz w:val="22"/>
          <w:szCs w:val="22"/>
        </w:rPr>
        <w:t>Proposal:</w:t>
      </w:r>
      <w:r>
        <w:rPr>
          <w:sz w:val="22"/>
          <w:szCs w:val="22"/>
        </w:rPr>
        <w:t> Prior Approval Part 3, Class MA: Conversion of building into 6 residential flats</w:t>
      </w:r>
      <w:r>
        <w:rPr>
          <w:sz w:val="22"/>
          <w:szCs w:val="22"/>
        </w:rPr>
        <w:br/>
      </w:r>
      <w:r>
        <w:rPr>
          <w:b/>
          <w:bCs/>
          <w:sz w:val="22"/>
          <w:szCs w:val="22"/>
        </w:rPr>
        <w:t>Purpose:</w:t>
      </w:r>
      <w:r>
        <w:rPr>
          <w:sz w:val="22"/>
          <w:szCs w:val="22"/>
        </w:rPr>
        <w:t> To support the Flood Risk Assessment (FRA) by providing practical, actionable on-site mitigation and emergency egress strategies to satisfy Planning Practice Guidance (PPG) Paragraph 047.</w:t>
      </w:r>
    </w:p>
    <w:p w14:paraId="3B13E75F" w14:textId="77777777" w:rsidR="00502AE1" w:rsidRDefault="00502AE1" w:rsidP="00502AE1">
      <w:pPr>
        <w:jc w:val="center"/>
        <w:rPr>
          <w:rFonts w:eastAsia="Times New Roman"/>
        </w:rPr>
      </w:pPr>
      <w:r>
        <w:rPr>
          <w:rFonts w:eastAsia="Times New Roman"/>
        </w:rPr>
        <w:pict w14:anchorId="529261E4">
          <v:rect id="_x0000_i1025" style="width:468pt;height:1.2pt" o:hralign="center" o:hrstd="t" o:hr="t" fillcolor="#a0a0a0" stroked="f"/>
        </w:pict>
      </w:r>
    </w:p>
    <w:p w14:paraId="059FEC4D" w14:textId="77777777" w:rsidR="00502AE1" w:rsidRDefault="00502AE1" w:rsidP="00502AE1">
      <w:pPr>
        <w:pStyle w:val="NormalWeb"/>
        <w:spacing w:before="240" w:after="240"/>
      </w:pPr>
      <w:r>
        <w:rPr>
          <w:b/>
          <w:bCs/>
          <w:sz w:val="22"/>
          <w:szCs w:val="22"/>
        </w:rPr>
        <w:t>1. Executive Summary</w:t>
      </w:r>
    </w:p>
    <w:p w14:paraId="6338EFB5" w14:textId="77777777" w:rsidR="00502AE1" w:rsidRDefault="00502AE1" w:rsidP="00502AE1">
      <w:pPr>
        <w:pStyle w:val="NormalWeb"/>
        <w:spacing w:before="240" w:after="240"/>
      </w:pPr>
      <w:r>
        <w:rPr>
          <w:sz w:val="22"/>
          <w:szCs w:val="22"/>
        </w:rPr>
        <w:t>This report details the practical measures implemented to manage fluvial flood risk at Boreham Mill. While Environment Agency (EA) modelling indicates that extreme climate change events could temporarily submerge external site routes, the structural design of the building envelope, internal refuge strategies, and early-warning evacuation protocols will ensure occupant safety is maintained without increasing risk elsewhere.</w:t>
      </w:r>
    </w:p>
    <w:p w14:paraId="1A50D344" w14:textId="77777777" w:rsidR="00502AE1" w:rsidRDefault="00502AE1" w:rsidP="00502AE1">
      <w:pPr>
        <w:jc w:val="center"/>
        <w:rPr>
          <w:rFonts w:eastAsia="Times New Roman"/>
        </w:rPr>
      </w:pPr>
      <w:r>
        <w:rPr>
          <w:rFonts w:eastAsia="Times New Roman"/>
        </w:rPr>
        <w:pict w14:anchorId="54C247E3">
          <v:rect id="_x0000_i1026" style="width:468pt;height:1.2pt" o:hralign="center" o:hrstd="t" o:hr="t" fillcolor="#a0a0a0" stroked="f"/>
        </w:pict>
      </w:r>
    </w:p>
    <w:p w14:paraId="29C58962" w14:textId="77777777" w:rsidR="00502AE1" w:rsidRDefault="00502AE1" w:rsidP="00502AE1">
      <w:pPr>
        <w:pStyle w:val="NormalWeb"/>
        <w:spacing w:before="240" w:after="240"/>
        <w:rPr>
          <w:b/>
          <w:bCs/>
          <w:sz w:val="22"/>
          <w:szCs w:val="22"/>
        </w:rPr>
      </w:pPr>
      <w:r>
        <w:rPr>
          <w:b/>
          <w:bCs/>
          <w:sz w:val="22"/>
          <w:szCs w:val="22"/>
        </w:rPr>
        <w:t>2. On-Site Flood Mitigation Measures</w:t>
      </w:r>
    </w:p>
    <w:p w14:paraId="1A34387D" w14:textId="77777777" w:rsidR="00502AE1" w:rsidRDefault="00502AE1" w:rsidP="00502AE1">
      <w:pPr>
        <w:pStyle w:val="NormalWeb"/>
        <w:spacing w:before="240" w:after="240"/>
        <w:rPr>
          <w:rFonts w:asciiTheme="minorHAnsi" w:hAnsiTheme="minorHAnsi" w:cstheme="minorBidi"/>
          <w:sz w:val="22"/>
          <w:szCs w:val="22"/>
        </w:rPr>
      </w:pPr>
      <w:r>
        <w:rPr>
          <w:rFonts w:asciiTheme="minorHAnsi" w:hAnsiTheme="minorHAnsi" w:cstheme="minorBidi"/>
          <w:sz w:val="22"/>
          <w:szCs w:val="22"/>
        </w:rPr>
        <w:t>See FRA and below</w:t>
      </w:r>
    </w:p>
    <w:p w14:paraId="6067DC9D" w14:textId="77777777" w:rsidR="00502AE1" w:rsidRDefault="00502AE1" w:rsidP="00502AE1">
      <w:pPr>
        <w:pStyle w:val="NormalWeb"/>
        <w:spacing w:before="240" w:after="240"/>
      </w:pPr>
      <w:r>
        <w:rPr>
          <w:b/>
          <w:bCs/>
          <w:sz w:val="22"/>
          <w:szCs w:val="22"/>
        </w:rPr>
        <w:t> 2.1 Fabric and Structural Protection (Water Exclusion)</w:t>
      </w:r>
    </w:p>
    <w:p w14:paraId="0B875EA3" w14:textId="77777777" w:rsidR="00502AE1" w:rsidRDefault="00502AE1" w:rsidP="00502AE1">
      <w:pPr>
        <w:pStyle w:val="NormalWeb"/>
        <w:spacing w:before="240" w:after="240"/>
      </w:pPr>
      <w:r>
        <w:rPr>
          <w:sz w:val="22"/>
          <w:szCs w:val="22"/>
        </w:rPr>
        <w:t>Because the proposal involves no changes to the external facades and utilizes the existing building envelope, the focus is on reinforcing structural openings up to the design flood level plus climate change freeboard.</w:t>
      </w:r>
    </w:p>
    <w:p w14:paraId="63464065" w14:textId="77777777" w:rsidR="00502AE1" w:rsidRDefault="00502AE1" w:rsidP="00502AE1">
      <w:pPr>
        <w:numPr>
          <w:ilvl w:val="0"/>
          <w:numId w:val="1"/>
        </w:numPr>
        <w:spacing w:before="100" w:beforeAutospacing="1" w:after="100" w:afterAutospacing="1"/>
        <w:rPr>
          <w:rFonts w:eastAsia="Times New Roman"/>
          <w:sz w:val="22"/>
          <w:szCs w:val="22"/>
        </w:rPr>
      </w:pPr>
      <w:r>
        <w:rPr>
          <w:rFonts w:eastAsia="Times New Roman"/>
          <w:b/>
          <w:bCs/>
          <w:sz w:val="22"/>
          <w:szCs w:val="22"/>
        </w:rPr>
        <w:t>Removable Flood Barriers:</w:t>
      </w:r>
      <w:r>
        <w:rPr>
          <w:rFonts w:eastAsia="Times New Roman"/>
          <w:sz w:val="22"/>
          <w:szCs w:val="22"/>
        </w:rPr>
        <w:t xml:space="preserve"> Heavy-duty, slot-in flood barriers will be fitted to all ground-floor external doorways. Ground-level residents will be trained to deploy these within 15 minutes of a flood warning. </w:t>
      </w:r>
      <w:r w:rsidRPr="00502AE1">
        <w:rPr>
          <w:rFonts w:eastAsia="Times New Roman"/>
          <w:sz w:val="22"/>
          <w:szCs w:val="22"/>
        </w:rPr>
        <w:t>Section 6 of our report outlines "PROPOSED MITITGATION MEASURES", more specifically paragraphs 6.6 &amp; 6.7 detail: </w:t>
      </w:r>
    </w:p>
    <w:p w14:paraId="192150D7" w14:textId="7543B5A6" w:rsidR="00502AE1" w:rsidRDefault="00502AE1" w:rsidP="00502AE1">
      <w:pPr>
        <w:spacing w:before="100" w:beforeAutospacing="1" w:after="100" w:afterAutospacing="1"/>
        <w:ind w:left="720"/>
        <w:rPr>
          <w:rFonts w:ascii="Century Gothic" w:eastAsia="Times New Roman" w:hAnsi="Century Gothic"/>
          <w:color w:val="C82613"/>
          <w:sz w:val="22"/>
          <w:szCs w:val="22"/>
        </w:rPr>
      </w:pPr>
      <w:r>
        <w:rPr>
          <w:rFonts w:ascii="Century Gothic" w:eastAsia="Times New Roman" w:hAnsi="Century Gothic"/>
          <w:noProof/>
          <w:color w:val="C82613"/>
          <w:sz w:val="22"/>
          <w:szCs w:val="22"/>
        </w:rPr>
        <w:lastRenderedPageBreak/>
        <w:drawing>
          <wp:inline distT="0" distB="0" distL="0" distR="0" wp14:anchorId="3C4CA40F" wp14:editId="5F770D3D">
            <wp:extent cx="4297680" cy="3505200"/>
            <wp:effectExtent l="0" t="0" r="7620" b="0"/>
            <wp:docPr id="992042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7680" cy="3505200"/>
                    </a:xfrm>
                    <a:prstGeom prst="rect">
                      <a:avLst/>
                    </a:prstGeom>
                    <a:noFill/>
                    <a:ln>
                      <a:noFill/>
                    </a:ln>
                  </pic:spPr>
                </pic:pic>
              </a:graphicData>
            </a:graphic>
          </wp:inline>
        </w:drawing>
      </w:r>
    </w:p>
    <w:p w14:paraId="2E26FC08" w14:textId="2162B766" w:rsidR="00502AE1" w:rsidRDefault="00502AE1" w:rsidP="00502AE1">
      <w:pPr>
        <w:spacing w:before="100" w:beforeAutospacing="1" w:after="100" w:afterAutospacing="1"/>
        <w:ind w:left="720"/>
        <w:rPr>
          <w:rFonts w:ascii="Century Gothic" w:eastAsia="Times New Roman" w:hAnsi="Century Gothic"/>
          <w:color w:val="000000"/>
          <w:sz w:val="22"/>
          <w:szCs w:val="22"/>
        </w:rPr>
      </w:pPr>
      <w:r>
        <w:rPr>
          <w:rFonts w:ascii="Century Gothic" w:eastAsia="Times New Roman" w:hAnsi="Century Gothic"/>
          <w:b/>
          <w:noProof/>
          <w:color w:val="000000"/>
          <w:sz w:val="22"/>
          <w:szCs w:val="22"/>
        </w:rPr>
        <w:drawing>
          <wp:inline distT="0" distB="0" distL="0" distR="0" wp14:anchorId="633EB00F" wp14:editId="61B61579">
            <wp:extent cx="3322320" cy="3063240"/>
            <wp:effectExtent l="0" t="0" r="0" b="3810"/>
            <wp:docPr id="1596342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22320" cy="3063240"/>
                    </a:xfrm>
                    <a:prstGeom prst="rect">
                      <a:avLst/>
                    </a:prstGeom>
                    <a:noFill/>
                    <a:ln>
                      <a:noFill/>
                    </a:ln>
                  </pic:spPr>
                </pic:pic>
              </a:graphicData>
            </a:graphic>
          </wp:inline>
        </w:drawing>
      </w:r>
    </w:p>
    <w:p w14:paraId="289F9407" w14:textId="77777777" w:rsidR="00502AE1" w:rsidRDefault="00502AE1" w:rsidP="00502AE1">
      <w:pPr>
        <w:numPr>
          <w:ilvl w:val="0"/>
          <w:numId w:val="1"/>
        </w:numPr>
        <w:spacing w:before="100" w:beforeAutospacing="1" w:after="100" w:afterAutospacing="1"/>
        <w:rPr>
          <w:rFonts w:eastAsia="Times New Roman"/>
          <w:sz w:val="22"/>
          <w:szCs w:val="22"/>
        </w:rPr>
      </w:pPr>
      <w:r>
        <w:rPr>
          <w:rFonts w:eastAsia="Times New Roman"/>
          <w:b/>
          <w:bCs/>
          <w:sz w:val="22"/>
          <w:szCs w:val="22"/>
        </w:rPr>
        <w:t>Non-Return Valves:</w:t>
      </w:r>
      <w:r>
        <w:rPr>
          <w:rFonts w:eastAsia="Times New Roman"/>
          <w:sz w:val="22"/>
          <w:szCs w:val="22"/>
        </w:rPr>
        <w:t> Anti-flooding non-return valves will be installed on all low-level drainage and sewerage pipes to prevent backflow from the local network.</w:t>
      </w:r>
    </w:p>
    <w:p w14:paraId="0CFE9136" w14:textId="77777777" w:rsidR="00502AE1" w:rsidRDefault="00502AE1" w:rsidP="00502AE1">
      <w:pPr>
        <w:numPr>
          <w:ilvl w:val="0"/>
          <w:numId w:val="1"/>
        </w:numPr>
        <w:spacing w:before="100" w:beforeAutospacing="1" w:after="100" w:afterAutospacing="1"/>
        <w:rPr>
          <w:rFonts w:eastAsia="Times New Roman"/>
        </w:rPr>
      </w:pPr>
      <w:r>
        <w:rPr>
          <w:rFonts w:eastAsia="Times New Roman"/>
          <w:b/>
          <w:bCs/>
          <w:sz w:val="22"/>
          <w:szCs w:val="22"/>
        </w:rPr>
        <w:t>Waterproof Brick Sealing:</w:t>
      </w:r>
      <w:r>
        <w:rPr>
          <w:rFonts w:eastAsia="Times New Roman"/>
          <w:sz w:val="22"/>
          <w:szCs w:val="22"/>
        </w:rPr>
        <w:t> The lower courses of the external brickwork will be treated with a breathable, clear water-repellent coating to minimize water ingress through porous masonry.</w:t>
      </w:r>
    </w:p>
    <w:p w14:paraId="1D156EBB" w14:textId="77777777" w:rsidR="00502AE1" w:rsidRDefault="00502AE1" w:rsidP="00502AE1">
      <w:pPr>
        <w:pStyle w:val="NormalWeb"/>
        <w:spacing w:before="240" w:after="240"/>
      </w:pPr>
      <w:r>
        <w:rPr>
          <w:b/>
          <w:bCs/>
          <w:sz w:val="22"/>
          <w:szCs w:val="22"/>
        </w:rPr>
        <w:t>2.2 Services Protection</w:t>
      </w:r>
    </w:p>
    <w:p w14:paraId="5A45B28E" w14:textId="77777777" w:rsidR="00502AE1" w:rsidRDefault="00502AE1" w:rsidP="00502AE1">
      <w:pPr>
        <w:numPr>
          <w:ilvl w:val="0"/>
          <w:numId w:val="2"/>
        </w:numPr>
        <w:spacing w:before="100" w:beforeAutospacing="1" w:after="100" w:afterAutospacing="1"/>
        <w:rPr>
          <w:rFonts w:eastAsia="Times New Roman"/>
        </w:rPr>
      </w:pPr>
      <w:r>
        <w:rPr>
          <w:rFonts w:eastAsia="Times New Roman"/>
          <w:b/>
          <w:bCs/>
          <w:sz w:val="22"/>
          <w:szCs w:val="22"/>
        </w:rPr>
        <w:t>Service Utilities:</w:t>
      </w:r>
      <w:r>
        <w:rPr>
          <w:rFonts w:eastAsia="Times New Roman"/>
          <w:sz w:val="22"/>
          <w:szCs w:val="22"/>
        </w:rPr>
        <w:t> All electrical meters, distribution boards, and incoming utility points will be located above the maximum anticipated flood level (ideally on the first floor or raised significantly on ground-floor walls).</w:t>
      </w:r>
    </w:p>
    <w:p w14:paraId="3EDFDB63" w14:textId="77777777" w:rsidR="00502AE1" w:rsidRDefault="00502AE1" w:rsidP="00502AE1">
      <w:pPr>
        <w:numPr>
          <w:ilvl w:val="0"/>
          <w:numId w:val="2"/>
        </w:numPr>
        <w:spacing w:before="100" w:beforeAutospacing="1" w:after="100" w:afterAutospacing="1"/>
        <w:rPr>
          <w:rFonts w:eastAsia="Times New Roman"/>
        </w:rPr>
      </w:pPr>
      <w:r>
        <w:rPr>
          <w:rFonts w:eastAsia="Times New Roman"/>
          <w:b/>
          <w:bCs/>
          <w:sz w:val="22"/>
          <w:szCs w:val="22"/>
        </w:rPr>
        <w:lastRenderedPageBreak/>
        <w:t>Internal Ring Mains:</w:t>
      </w:r>
      <w:r>
        <w:rPr>
          <w:rFonts w:eastAsia="Times New Roman"/>
          <w:sz w:val="22"/>
          <w:szCs w:val="22"/>
        </w:rPr>
        <w:t> Ground-floor electrical sockets will be wired from the ceiling downward, keeping circuits isolated from potential floor-level water.</w:t>
      </w:r>
    </w:p>
    <w:p w14:paraId="2CF02AB9" w14:textId="77777777" w:rsidR="00502AE1" w:rsidRDefault="00502AE1" w:rsidP="00502AE1">
      <w:pPr>
        <w:jc w:val="center"/>
        <w:rPr>
          <w:rFonts w:eastAsia="Times New Roman"/>
        </w:rPr>
      </w:pPr>
      <w:r>
        <w:rPr>
          <w:rFonts w:eastAsia="Times New Roman"/>
        </w:rPr>
        <w:pict w14:anchorId="76F51CC4">
          <v:rect id="_x0000_i1029" style="width:468pt;height:1.2pt" o:hralign="center" o:hrstd="t" o:hr="t" fillcolor="#a0a0a0" stroked="f"/>
        </w:pict>
      </w:r>
    </w:p>
    <w:p w14:paraId="14A3D92C" w14:textId="77777777" w:rsidR="00502AE1" w:rsidRDefault="00502AE1" w:rsidP="00502AE1">
      <w:pPr>
        <w:pStyle w:val="NormalWeb"/>
        <w:spacing w:before="240" w:after="240"/>
      </w:pPr>
      <w:r>
        <w:rPr>
          <w:b/>
          <w:bCs/>
          <w:sz w:val="22"/>
          <w:szCs w:val="22"/>
        </w:rPr>
        <w:t>3. Safe Access, Egress, and Evacuation Strategy</w:t>
      </w:r>
    </w:p>
    <w:p w14:paraId="6CCF17EA" w14:textId="77777777" w:rsidR="00502AE1" w:rsidRDefault="00502AE1" w:rsidP="00502AE1">
      <w:pPr>
        <w:pStyle w:val="NormalWeb"/>
        <w:spacing w:before="240" w:after="240"/>
      </w:pPr>
      <w:r>
        <w:rPr>
          <w:sz w:val="22"/>
          <w:szCs w:val="22"/>
        </w:rPr>
        <w:t xml:space="preserve">The site features three distinct exit routes: North (Bishopstrow Road Bridge), South (Southern Mill Pond Bridge), and West (Side Grounds). EA models indicate these routes carry a high hazard rating during a design flood event. Therefore, the primary strategy emphasises </w:t>
      </w:r>
      <w:r>
        <w:rPr>
          <w:b/>
          <w:bCs/>
          <w:sz w:val="22"/>
          <w:szCs w:val="22"/>
        </w:rPr>
        <w:t>early evacuation</w:t>
      </w:r>
      <w:r>
        <w:rPr>
          <w:sz w:val="22"/>
          <w:szCs w:val="22"/>
        </w:rPr>
        <w:t xml:space="preserve">, with </w:t>
      </w:r>
      <w:r>
        <w:rPr>
          <w:b/>
          <w:bCs/>
          <w:sz w:val="22"/>
          <w:szCs w:val="22"/>
        </w:rPr>
        <w:t>internal safe refuge</w:t>
      </w:r>
      <w:r>
        <w:rPr>
          <w:sz w:val="22"/>
          <w:szCs w:val="22"/>
        </w:rPr>
        <w:t> serving as the secondary fallback.</w:t>
      </w:r>
    </w:p>
    <w:p w14:paraId="5FD56F48" w14:textId="77777777" w:rsidR="00502AE1" w:rsidRDefault="00502AE1" w:rsidP="00502AE1">
      <w:pPr>
        <w:pStyle w:val="NormalWeb"/>
        <w:spacing w:before="240" w:after="240"/>
      </w:pPr>
      <w:r>
        <w:rPr>
          <w:b/>
          <w:bCs/>
          <w:sz w:val="22"/>
          <w:szCs w:val="22"/>
        </w:rPr>
        <w:t>3.1 Flood Warning and Early Evacuation Protocol</w:t>
      </w:r>
    </w:p>
    <w:p w14:paraId="1A1AFFFD" w14:textId="77777777" w:rsidR="00502AE1" w:rsidRDefault="00502AE1" w:rsidP="00502AE1">
      <w:pPr>
        <w:pStyle w:val="NormalWeb"/>
        <w:spacing w:before="240" w:after="240"/>
      </w:pPr>
      <w:r>
        <w:rPr>
          <w:sz w:val="22"/>
          <w:szCs w:val="22"/>
        </w:rPr>
        <w:t>To completely remove the risk of residents being cut off, a proactive evacuation trigger system will be legally tied to the management of the property:</w:t>
      </w:r>
    </w:p>
    <w:p w14:paraId="18DB56CB" w14:textId="77777777" w:rsidR="00502AE1" w:rsidRDefault="00502AE1" w:rsidP="00502AE1">
      <w:pPr>
        <w:numPr>
          <w:ilvl w:val="0"/>
          <w:numId w:val="3"/>
        </w:numPr>
        <w:spacing w:before="100" w:beforeAutospacing="1" w:after="100" w:afterAutospacing="1"/>
        <w:rPr>
          <w:rFonts w:eastAsia="Times New Roman"/>
        </w:rPr>
      </w:pPr>
      <w:r>
        <w:rPr>
          <w:rFonts w:eastAsia="Times New Roman"/>
          <w:b/>
          <w:bCs/>
          <w:sz w:val="22"/>
          <w:szCs w:val="22"/>
        </w:rPr>
        <w:t>EA Flood Warning Registration:</w:t>
      </w:r>
      <w:r>
        <w:rPr>
          <w:rFonts w:eastAsia="Times New Roman"/>
          <w:sz w:val="22"/>
          <w:szCs w:val="22"/>
        </w:rPr>
        <w:t> The building management company will register the property with the EA’s automated "Flood Warning Service."</w:t>
      </w:r>
    </w:p>
    <w:p w14:paraId="319D60F8" w14:textId="77777777" w:rsidR="00502AE1" w:rsidRDefault="00502AE1" w:rsidP="00502AE1">
      <w:pPr>
        <w:numPr>
          <w:ilvl w:val="0"/>
          <w:numId w:val="3"/>
        </w:numPr>
        <w:spacing w:before="100" w:beforeAutospacing="1" w:after="100" w:afterAutospacing="1"/>
        <w:rPr>
          <w:rFonts w:eastAsia="Times New Roman"/>
        </w:rPr>
      </w:pPr>
      <w:r>
        <w:rPr>
          <w:rFonts w:eastAsia="Times New Roman"/>
          <w:b/>
          <w:bCs/>
          <w:sz w:val="22"/>
          <w:szCs w:val="22"/>
        </w:rPr>
        <w:t>Trigger Phase 1 (Flood Alert):</w:t>
      </w:r>
      <w:r>
        <w:rPr>
          <w:rFonts w:eastAsia="Times New Roman"/>
          <w:sz w:val="22"/>
          <w:szCs w:val="22"/>
        </w:rPr>
        <w:t> Residents are notified to prepare vehicles and monitor local river levels.</w:t>
      </w:r>
    </w:p>
    <w:p w14:paraId="7D9DDEE9" w14:textId="77777777" w:rsidR="00502AE1" w:rsidRDefault="00502AE1" w:rsidP="00502AE1">
      <w:pPr>
        <w:numPr>
          <w:ilvl w:val="0"/>
          <w:numId w:val="3"/>
        </w:numPr>
        <w:spacing w:before="100" w:beforeAutospacing="1" w:after="100" w:afterAutospacing="1"/>
        <w:rPr>
          <w:rFonts w:eastAsia="Times New Roman"/>
        </w:rPr>
      </w:pPr>
      <w:r>
        <w:rPr>
          <w:rFonts w:eastAsia="Times New Roman"/>
          <w:b/>
          <w:bCs/>
          <w:sz w:val="22"/>
          <w:szCs w:val="22"/>
        </w:rPr>
        <w:t>Trigger Phase 2 (Flood Warning):</w:t>
      </w:r>
      <w:r>
        <w:rPr>
          <w:rFonts w:eastAsia="Times New Roman"/>
          <w:sz w:val="22"/>
          <w:szCs w:val="22"/>
        </w:rPr>
        <w:t xml:space="preserve"> Immediate, orderly evacuation of the site via the safest available route </w:t>
      </w:r>
      <w:r>
        <w:rPr>
          <w:rFonts w:eastAsia="Times New Roman"/>
          <w:i/>
          <w:iCs/>
          <w:sz w:val="22"/>
          <w:szCs w:val="22"/>
        </w:rPr>
        <w:t>before</w:t>
      </w:r>
      <w:r>
        <w:rPr>
          <w:rFonts w:eastAsia="Times New Roman"/>
          <w:sz w:val="22"/>
          <w:szCs w:val="22"/>
        </w:rPr>
        <w:t> floodwaters reach the site boundaries. Residents will move to a designated assembly point on higher ground outside the flood zone.</w:t>
      </w:r>
    </w:p>
    <w:p w14:paraId="2C7D822A" w14:textId="77777777" w:rsidR="00502AE1" w:rsidRDefault="00502AE1" w:rsidP="00502AE1">
      <w:pPr>
        <w:pStyle w:val="NormalWeb"/>
        <w:spacing w:before="240" w:after="240"/>
      </w:pPr>
      <w:r>
        <w:rPr>
          <w:b/>
          <w:bCs/>
          <w:sz w:val="22"/>
          <w:szCs w:val="22"/>
        </w:rPr>
        <w:t>3.2 Safe Internal Refuge Strategy (Emergency Fallback)</w:t>
      </w:r>
    </w:p>
    <w:p w14:paraId="65F73FED" w14:textId="77777777" w:rsidR="00502AE1" w:rsidRDefault="00502AE1" w:rsidP="00502AE1">
      <w:pPr>
        <w:pStyle w:val="NormalWeb"/>
        <w:spacing w:before="240" w:after="240"/>
      </w:pPr>
      <w:r>
        <w:rPr>
          <w:sz w:val="22"/>
          <w:szCs w:val="22"/>
        </w:rPr>
        <w:t>If rapid flash flooding occurs or residents fail to evacuate before the three exit routes become impassable, the building design inherently provides safe refuge:</w:t>
      </w:r>
    </w:p>
    <w:p w14:paraId="595C498D" w14:textId="77777777" w:rsidR="00502AE1" w:rsidRDefault="00502AE1" w:rsidP="00502AE1">
      <w:pPr>
        <w:numPr>
          <w:ilvl w:val="0"/>
          <w:numId w:val="4"/>
        </w:numPr>
        <w:spacing w:before="100" w:beforeAutospacing="1" w:after="100" w:afterAutospacing="1"/>
        <w:rPr>
          <w:rFonts w:eastAsia="Times New Roman"/>
        </w:rPr>
      </w:pPr>
      <w:r>
        <w:rPr>
          <w:rFonts w:eastAsia="Times New Roman"/>
          <w:b/>
          <w:bCs/>
          <w:sz w:val="22"/>
          <w:szCs w:val="22"/>
        </w:rPr>
        <w:t>Vertical Safe Refuge:</w:t>
      </w:r>
      <w:r>
        <w:rPr>
          <w:rFonts w:eastAsia="Times New Roman"/>
          <w:sz w:val="22"/>
          <w:szCs w:val="22"/>
        </w:rPr>
        <w:t> The development converts the mill into multi-storey or upper-level apartments. All residents will have legal, unobstructed internal access to the first and second floors of the building.</w:t>
      </w:r>
    </w:p>
    <w:p w14:paraId="447E99FD" w14:textId="77777777" w:rsidR="00502AE1" w:rsidRDefault="00502AE1" w:rsidP="00502AE1">
      <w:pPr>
        <w:numPr>
          <w:ilvl w:val="0"/>
          <w:numId w:val="4"/>
        </w:numPr>
        <w:spacing w:before="100" w:beforeAutospacing="1" w:after="100" w:afterAutospacing="1"/>
        <w:rPr>
          <w:rFonts w:eastAsia="Times New Roman"/>
        </w:rPr>
      </w:pPr>
      <w:r>
        <w:rPr>
          <w:rFonts w:eastAsia="Times New Roman"/>
          <w:b/>
          <w:bCs/>
          <w:sz w:val="22"/>
          <w:szCs w:val="22"/>
        </w:rPr>
        <w:t>Duration of Refuge:</w:t>
      </w:r>
      <w:r>
        <w:rPr>
          <w:rFonts w:eastAsia="Times New Roman"/>
          <w:sz w:val="22"/>
          <w:szCs w:val="22"/>
        </w:rPr>
        <w:t> The upper floors sit well above the maximum simulated climate change flood level, providing a dry, structurally sound environment.</w:t>
      </w:r>
    </w:p>
    <w:p w14:paraId="47E64ABD" w14:textId="77777777" w:rsidR="00502AE1" w:rsidRDefault="00502AE1" w:rsidP="00502AE1">
      <w:pPr>
        <w:numPr>
          <w:ilvl w:val="0"/>
          <w:numId w:val="4"/>
        </w:numPr>
        <w:spacing w:before="100" w:beforeAutospacing="1" w:after="100" w:afterAutospacing="1"/>
        <w:rPr>
          <w:rFonts w:eastAsia="Times New Roman"/>
        </w:rPr>
      </w:pPr>
      <w:r>
        <w:rPr>
          <w:rFonts w:eastAsia="Times New Roman"/>
          <w:b/>
          <w:bCs/>
          <w:sz w:val="22"/>
          <w:szCs w:val="22"/>
        </w:rPr>
        <w:t>Emergency Provisions:</w:t>
      </w:r>
      <w:r>
        <w:rPr>
          <w:rFonts w:eastAsia="Times New Roman"/>
          <w:sz w:val="22"/>
          <w:szCs w:val="22"/>
        </w:rPr>
        <w:t> A communal emergency cabinet will be maintained on the first floor, stocked with freshwater, emergency lighting, first-aid supplies, and a wind-up radio to liaise with emergency services.</w:t>
      </w:r>
    </w:p>
    <w:p w14:paraId="68CE079B" w14:textId="77777777" w:rsidR="00502AE1" w:rsidRDefault="00502AE1" w:rsidP="00502AE1">
      <w:pPr>
        <w:jc w:val="center"/>
        <w:rPr>
          <w:rFonts w:eastAsia="Times New Roman"/>
        </w:rPr>
      </w:pPr>
      <w:r>
        <w:rPr>
          <w:rFonts w:eastAsia="Times New Roman"/>
        </w:rPr>
        <w:pict w14:anchorId="345D8BEE">
          <v:rect id="_x0000_i1030" style="width:468pt;height:1.2pt" o:hralign="center" o:hrstd="t" o:hr="t" fillcolor="#a0a0a0" stroked="f"/>
        </w:pict>
      </w:r>
    </w:p>
    <w:p w14:paraId="4306A212" w14:textId="77777777" w:rsidR="00502AE1" w:rsidRDefault="00502AE1" w:rsidP="00502AE1">
      <w:pPr>
        <w:pStyle w:val="NormalWeb"/>
        <w:spacing w:before="240" w:after="240"/>
      </w:pPr>
      <w:r>
        <w:rPr>
          <w:b/>
          <w:bCs/>
          <w:sz w:val="22"/>
          <w:szCs w:val="22"/>
        </w:rPr>
        <w:t>4. Maintenance and Management</w:t>
      </w:r>
    </w:p>
    <w:p w14:paraId="7084616E" w14:textId="77777777" w:rsidR="00502AE1" w:rsidRDefault="00502AE1" w:rsidP="00502AE1">
      <w:pPr>
        <w:numPr>
          <w:ilvl w:val="0"/>
          <w:numId w:val="5"/>
        </w:numPr>
        <w:spacing w:before="100" w:beforeAutospacing="1" w:after="100" w:afterAutospacing="1"/>
        <w:rPr>
          <w:rFonts w:eastAsia="Times New Roman"/>
        </w:rPr>
      </w:pPr>
      <w:r>
        <w:rPr>
          <w:rFonts w:eastAsia="Times New Roman"/>
          <w:b/>
          <w:bCs/>
          <w:sz w:val="22"/>
          <w:szCs w:val="22"/>
        </w:rPr>
        <w:t>Tenant Welcome Packs:</w:t>
      </w:r>
      <w:r>
        <w:rPr>
          <w:rFonts w:eastAsia="Times New Roman"/>
          <w:sz w:val="22"/>
          <w:szCs w:val="22"/>
        </w:rPr>
        <w:t> Every new resident will receive a copy of this report, detailing the flood warning sign-up procedure, barrier deployment instructions, and the internal refuge plan.</w:t>
      </w:r>
    </w:p>
    <w:p w14:paraId="219AB173" w14:textId="77777777" w:rsidR="00502AE1" w:rsidRDefault="00502AE1" w:rsidP="00502AE1">
      <w:pPr>
        <w:numPr>
          <w:ilvl w:val="0"/>
          <w:numId w:val="5"/>
        </w:numPr>
        <w:spacing w:before="100" w:beforeAutospacing="1" w:after="100" w:afterAutospacing="1"/>
        <w:rPr>
          <w:rFonts w:eastAsia="Times New Roman"/>
        </w:rPr>
      </w:pPr>
      <w:r>
        <w:rPr>
          <w:rFonts w:eastAsia="Times New Roman"/>
          <w:b/>
          <w:bCs/>
          <w:sz w:val="22"/>
          <w:szCs w:val="22"/>
        </w:rPr>
        <w:t>Annual Inspections:</w:t>
      </w:r>
      <w:r>
        <w:rPr>
          <w:rFonts w:eastAsia="Times New Roman"/>
          <w:sz w:val="22"/>
          <w:szCs w:val="22"/>
        </w:rPr>
        <w:t> The building management company will conduct annual inspections of the flood barriers, non-return valves, and communal emergency supplies ahead of the winter flood season.</w:t>
      </w:r>
    </w:p>
    <w:p w14:paraId="46963F40" w14:textId="77777777" w:rsidR="00502AE1" w:rsidRDefault="00502AE1" w:rsidP="00502AE1">
      <w:pPr>
        <w:jc w:val="center"/>
        <w:rPr>
          <w:rFonts w:eastAsia="Times New Roman"/>
        </w:rPr>
      </w:pPr>
      <w:r>
        <w:rPr>
          <w:rFonts w:eastAsia="Times New Roman"/>
        </w:rPr>
        <w:pict w14:anchorId="03CE05B4">
          <v:rect id="_x0000_i1031" style="width:468pt;height:1.2pt" o:hralign="center" o:hrstd="t" o:hr="t" fillcolor="#a0a0a0" stroked="f"/>
        </w:pict>
      </w:r>
    </w:p>
    <w:p w14:paraId="0D05561E" w14:textId="77777777" w:rsidR="00502AE1" w:rsidRDefault="00502AE1" w:rsidP="00502AE1">
      <w:pPr>
        <w:pStyle w:val="NormalWeb"/>
        <w:spacing w:before="240" w:after="240"/>
      </w:pPr>
      <w:r>
        <w:rPr>
          <w:b/>
          <w:bCs/>
          <w:sz w:val="22"/>
          <w:szCs w:val="22"/>
        </w:rPr>
        <w:lastRenderedPageBreak/>
        <w:t>5. Conclusion</w:t>
      </w:r>
    </w:p>
    <w:p w14:paraId="20C5648A" w14:textId="77777777" w:rsidR="00502AE1" w:rsidRDefault="00502AE1" w:rsidP="00502AE1">
      <w:pPr>
        <w:pStyle w:val="NormalWeb"/>
        <w:spacing w:before="240" w:after="240"/>
      </w:pPr>
      <w:r>
        <w:rPr>
          <w:sz w:val="22"/>
          <w:szCs w:val="22"/>
        </w:rPr>
        <w:t xml:space="preserve">By combining structural water exclusion measures with a strict, </w:t>
      </w:r>
      <w:proofErr w:type="gramStart"/>
      <w:r>
        <w:rPr>
          <w:sz w:val="22"/>
          <w:szCs w:val="22"/>
        </w:rPr>
        <w:t>early-alert</w:t>
      </w:r>
      <w:proofErr w:type="gramEnd"/>
      <w:r>
        <w:rPr>
          <w:sz w:val="22"/>
          <w:szCs w:val="22"/>
        </w:rPr>
        <w:t xml:space="preserve"> evacuation plan and guaranteed upper-floor safe refuge, the development introduces a highly managed residential environment. The risk to life is effectively mitigated, satisfying the safety objectives of PPG Paragraph 047.</w:t>
      </w:r>
    </w:p>
    <w:p w14:paraId="4FAEB8FB" w14:textId="77777777" w:rsidR="00502AE1" w:rsidRDefault="00502AE1" w:rsidP="00502AE1">
      <w:pPr>
        <w:jc w:val="center"/>
        <w:rPr>
          <w:rFonts w:eastAsia="Times New Roman"/>
        </w:rPr>
      </w:pPr>
      <w:r>
        <w:rPr>
          <w:rFonts w:eastAsia="Times New Roman"/>
        </w:rPr>
        <w:pict w14:anchorId="11BD6E82">
          <v:rect id="_x0000_i1032" style="width:468pt;height:1.2pt" o:hralign="center" o:hrstd="t" o:hr="t" fillcolor="#a0a0a0" stroked="f"/>
        </w:pict>
      </w:r>
    </w:p>
    <w:p w14:paraId="537C06EF" w14:textId="788127A3" w:rsidR="00502AE1" w:rsidRDefault="00502AE1" w:rsidP="00502AE1">
      <w:pPr>
        <w:numPr>
          <w:ilvl w:val="0"/>
          <w:numId w:val="6"/>
        </w:numPr>
        <w:spacing w:before="100" w:beforeAutospacing="1" w:after="100" w:afterAutospacing="1"/>
        <w:rPr>
          <w:rFonts w:eastAsia="Times New Roman"/>
          <w:sz w:val="22"/>
          <w:szCs w:val="22"/>
        </w:rPr>
      </w:pPr>
      <w:r>
        <w:rPr>
          <w:rFonts w:eastAsia="Times New Roman"/>
          <w:sz w:val="22"/>
          <w:szCs w:val="22"/>
        </w:rPr>
        <w:t>Notes for reference.</w:t>
      </w:r>
    </w:p>
    <w:p w14:paraId="7CFB4D85" w14:textId="0DDA9F04" w:rsidR="00502AE1" w:rsidRPr="00502AE1" w:rsidRDefault="00502AE1" w:rsidP="00502AE1">
      <w:pPr>
        <w:numPr>
          <w:ilvl w:val="0"/>
          <w:numId w:val="6"/>
        </w:numPr>
        <w:spacing w:before="100" w:beforeAutospacing="1" w:after="100" w:afterAutospacing="1"/>
        <w:rPr>
          <w:rFonts w:eastAsia="Times New Roman"/>
          <w:sz w:val="22"/>
          <w:szCs w:val="22"/>
        </w:rPr>
      </w:pPr>
      <w:r>
        <w:rPr>
          <w:rFonts w:eastAsia="Times New Roman"/>
          <w:sz w:val="22"/>
          <w:szCs w:val="22"/>
        </w:rPr>
        <w:t xml:space="preserve">The maximum predicted flood depth (in meters or </w:t>
      </w:r>
      <w:proofErr w:type="gramStart"/>
      <w:r>
        <w:rPr>
          <w:rFonts w:eastAsia="Times New Roman"/>
          <w:sz w:val="22"/>
          <w:szCs w:val="22"/>
        </w:rPr>
        <w:t>AOD)at</w:t>
      </w:r>
      <w:proofErr w:type="gramEnd"/>
      <w:r>
        <w:rPr>
          <w:rFonts w:eastAsia="Times New Roman"/>
          <w:sz w:val="22"/>
          <w:szCs w:val="22"/>
        </w:rPr>
        <w:t xml:space="preserve"> the site </w:t>
      </w:r>
      <w:proofErr w:type="gramStart"/>
      <w:r>
        <w:rPr>
          <w:rFonts w:eastAsia="Times New Roman"/>
          <w:sz w:val="22"/>
          <w:szCs w:val="22"/>
        </w:rPr>
        <w:t>during  a</w:t>
      </w:r>
      <w:proofErr w:type="gramEnd"/>
      <w:r>
        <w:rPr>
          <w:rFonts w:eastAsia="Times New Roman"/>
          <w:sz w:val="22"/>
          <w:szCs w:val="22"/>
        </w:rPr>
        <w:t xml:space="preserve"> 1-in0100 year event </w:t>
      </w:r>
      <w:proofErr w:type="gramStart"/>
      <w:r>
        <w:rPr>
          <w:rFonts w:eastAsia="Times New Roman"/>
          <w:sz w:val="22"/>
          <w:szCs w:val="22"/>
        </w:rPr>
        <w:t>plus  climate</w:t>
      </w:r>
      <w:proofErr w:type="gramEnd"/>
      <w:r>
        <w:rPr>
          <w:rFonts w:eastAsia="Times New Roman"/>
          <w:sz w:val="22"/>
          <w:szCs w:val="22"/>
        </w:rPr>
        <w:t xml:space="preserve"> is a </w:t>
      </w:r>
      <w:r w:rsidRPr="00502AE1">
        <w:rPr>
          <w:rFonts w:eastAsia="Times New Roman"/>
          <w:sz w:val="22"/>
          <w:szCs w:val="22"/>
        </w:rPr>
        <w:t>Maximum flood depth with climate change + freeboard allowance: 103.730 m</w:t>
      </w:r>
      <w:r w:rsidRPr="00502AE1">
        <w:rPr>
          <w:rFonts w:eastAsia="Times New Roman"/>
          <w:sz w:val="22"/>
          <w:szCs w:val="22"/>
        </w:rPr>
        <w:t xml:space="preserve"> </w:t>
      </w:r>
      <w:r w:rsidRPr="00502AE1">
        <w:rPr>
          <w:rFonts w:eastAsia="Times New Roman"/>
          <w:sz w:val="22"/>
          <w:szCs w:val="22"/>
        </w:rPr>
        <w:t>AOD. </w:t>
      </w:r>
    </w:p>
    <w:p w14:paraId="4FD9ED70" w14:textId="50097E22" w:rsidR="00502AE1" w:rsidRPr="00502AE1" w:rsidRDefault="00502AE1" w:rsidP="00502AE1">
      <w:pPr>
        <w:numPr>
          <w:ilvl w:val="0"/>
          <w:numId w:val="6"/>
        </w:numPr>
        <w:spacing w:before="100" w:beforeAutospacing="1" w:after="100" w:afterAutospacing="1"/>
        <w:rPr>
          <w:rFonts w:eastAsia="Times New Roman"/>
          <w:sz w:val="22"/>
          <w:szCs w:val="22"/>
        </w:rPr>
      </w:pPr>
      <w:r>
        <w:rPr>
          <w:rFonts w:eastAsia="Times New Roman"/>
          <w:sz w:val="22"/>
          <w:szCs w:val="22"/>
        </w:rPr>
        <w:t xml:space="preserve"> The exact Danger is “Da</w:t>
      </w:r>
      <w:r w:rsidRPr="00502AE1">
        <w:rPr>
          <w:rFonts w:eastAsia="Times New Roman"/>
          <w:sz w:val="22"/>
          <w:szCs w:val="22"/>
        </w:rPr>
        <w:t>nger for most</w:t>
      </w:r>
      <w:r>
        <w:rPr>
          <w:rFonts w:eastAsia="Times New Roman"/>
          <w:sz w:val="22"/>
          <w:szCs w:val="22"/>
        </w:rPr>
        <w:t>”</w:t>
      </w:r>
      <w:r w:rsidRPr="00502AE1">
        <w:rPr>
          <w:rFonts w:eastAsia="Times New Roman"/>
          <w:sz w:val="22"/>
          <w:szCs w:val="22"/>
        </w:rPr>
        <w:t>, meaning emergency vehicles can access and egress the site safely. </w:t>
      </w:r>
    </w:p>
    <w:p w14:paraId="35487018" w14:textId="77777777" w:rsidR="00502AE1" w:rsidRDefault="00502AE1"/>
    <w:sectPr w:rsidR="00502A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6E3"/>
    <w:multiLevelType w:val="multilevel"/>
    <w:tmpl w:val="0C0EF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8E2814"/>
    <w:multiLevelType w:val="multilevel"/>
    <w:tmpl w:val="7A826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F5244"/>
    <w:multiLevelType w:val="multilevel"/>
    <w:tmpl w:val="A97A2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9B2683"/>
    <w:multiLevelType w:val="multilevel"/>
    <w:tmpl w:val="5E1A7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955E4A"/>
    <w:multiLevelType w:val="multilevel"/>
    <w:tmpl w:val="2A5EC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3635D8"/>
    <w:multiLevelType w:val="multilevel"/>
    <w:tmpl w:val="B3A66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25146448">
    <w:abstractNumId w:val="1"/>
    <w:lvlOverride w:ilvl="0"/>
    <w:lvlOverride w:ilvl="1"/>
    <w:lvlOverride w:ilvl="2"/>
    <w:lvlOverride w:ilvl="3"/>
    <w:lvlOverride w:ilvl="4"/>
    <w:lvlOverride w:ilvl="5"/>
    <w:lvlOverride w:ilvl="6"/>
    <w:lvlOverride w:ilvl="7"/>
    <w:lvlOverride w:ilvl="8"/>
  </w:num>
  <w:num w:numId="2" w16cid:durableId="860511452">
    <w:abstractNumId w:val="0"/>
    <w:lvlOverride w:ilvl="0"/>
    <w:lvlOverride w:ilvl="1"/>
    <w:lvlOverride w:ilvl="2"/>
    <w:lvlOverride w:ilvl="3"/>
    <w:lvlOverride w:ilvl="4"/>
    <w:lvlOverride w:ilvl="5"/>
    <w:lvlOverride w:ilvl="6"/>
    <w:lvlOverride w:ilvl="7"/>
    <w:lvlOverride w:ilvl="8"/>
  </w:num>
  <w:num w:numId="3" w16cid:durableId="1435124942">
    <w:abstractNumId w:val="5"/>
    <w:lvlOverride w:ilvl="0"/>
    <w:lvlOverride w:ilvl="1"/>
    <w:lvlOverride w:ilvl="2"/>
    <w:lvlOverride w:ilvl="3"/>
    <w:lvlOverride w:ilvl="4"/>
    <w:lvlOverride w:ilvl="5"/>
    <w:lvlOverride w:ilvl="6"/>
    <w:lvlOverride w:ilvl="7"/>
    <w:lvlOverride w:ilvl="8"/>
  </w:num>
  <w:num w:numId="4" w16cid:durableId="378239626">
    <w:abstractNumId w:val="4"/>
    <w:lvlOverride w:ilvl="0"/>
    <w:lvlOverride w:ilvl="1"/>
    <w:lvlOverride w:ilvl="2"/>
    <w:lvlOverride w:ilvl="3"/>
    <w:lvlOverride w:ilvl="4"/>
    <w:lvlOverride w:ilvl="5"/>
    <w:lvlOverride w:ilvl="6"/>
    <w:lvlOverride w:ilvl="7"/>
    <w:lvlOverride w:ilvl="8"/>
  </w:num>
  <w:num w:numId="5" w16cid:durableId="815218021">
    <w:abstractNumId w:val="3"/>
    <w:lvlOverride w:ilvl="0"/>
    <w:lvlOverride w:ilvl="1"/>
    <w:lvlOverride w:ilvl="2"/>
    <w:lvlOverride w:ilvl="3"/>
    <w:lvlOverride w:ilvl="4"/>
    <w:lvlOverride w:ilvl="5"/>
    <w:lvlOverride w:ilvl="6"/>
    <w:lvlOverride w:ilvl="7"/>
    <w:lvlOverride w:ilvl="8"/>
  </w:num>
  <w:num w:numId="6" w16cid:durableId="163389995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AE1"/>
    <w:rsid w:val="00502AE1"/>
    <w:rsid w:val="00FE01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B0CF7"/>
  <w15:chartTrackingRefBased/>
  <w15:docId w15:val="{0639D47D-9EF1-4367-8352-37DCBD33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AE1"/>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502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A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A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A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A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A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A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A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2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2A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A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2A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2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AE1"/>
    <w:rPr>
      <w:rFonts w:eastAsiaTheme="majorEastAsia" w:cstheme="majorBidi"/>
      <w:color w:val="272727" w:themeColor="text1" w:themeTint="D8"/>
    </w:rPr>
  </w:style>
  <w:style w:type="paragraph" w:styleId="Title">
    <w:name w:val="Title"/>
    <w:basedOn w:val="Normal"/>
    <w:next w:val="Normal"/>
    <w:link w:val="TitleChar"/>
    <w:uiPriority w:val="10"/>
    <w:qFormat/>
    <w:rsid w:val="00502A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A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AE1"/>
    <w:pPr>
      <w:spacing w:before="160"/>
      <w:jc w:val="center"/>
    </w:pPr>
    <w:rPr>
      <w:i/>
      <w:iCs/>
      <w:color w:val="404040" w:themeColor="text1" w:themeTint="BF"/>
    </w:rPr>
  </w:style>
  <w:style w:type="character" w:customStyle="1" w:styleId="QuoteChar">
    <w:name w:val="Quote Char"/>
    <w:basedOn w:val="DefaultParagraphFont"/>
    <w:link w:val="Quote"/>
    <w:uiPriority w:val="29"/>
    <w:rsid w:val="00502AE1"/>
    <w:rPr>
      <w:i/>
      <w:iCs/>
      <w:color w:val="404040" w:themeColor="text1" w:themeTint="BF"/>
    </w:rPr>
  </w:style>
  <w:style w:type="paragraph" w:styleId="ListParagraph">
    <w:name w:val="List Paragraph"/>
    <w:basedOn w:val="Normal"/>
    <w:uiPriority w:val="34"/>
    <w:qFormat/>
    <w:rsid w:val="00502AE1"/>
    <w:pPr>
      <w:ind w:left="720"/>
      <w:contextualSpacing/>
    </w:pPr>
  </w:style>
  <w:style w:type="character" w:styleId="IntenseEmphasis">
    <w:name w:val="Intense Emphasis"/>
    <w:basedOn w:val="DefaultParagraphFont"/>
    <w:uiPriority w:val="21"/>
    <w:qFormat/>
    <w:rsid w:val="00502AE1"/>
    <w:rPr>
      <w:i/>
      <w:iCs/>
      <w:color w:val="0F4761" w:themeColor="accent1" w:themeShade="BF"/>
    </w:rPr>
  </w:style>
  <w:style w:type="paragraph" w:styleId="IntenseQuote">
    <w:name w:val="Intense Quote"/>
    <w:basedOn w:val="Normal"/>
    <w:next w:val="Normal"/>
    <w:link w:val="IntenseQuoteChar"/>
    <w:uiPriority w:val="30"/>
    <w:qFormat/>
    <w:rsid w:val="00502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AE1"/>
    <w:rPr>
      <w:i/>
      <w:iCs/>
      <w:color w:val="0F4761" w:themeColor="accent1" w:themeShade="BF"/>
    </w:rPr>
  </w:style>
  <w:style w:type="character" w:styleId="IntenseReference">
    <w:name w:val="Intense Reference"/>
    <w:basedOn w:val="DefaultParagraphFont"/>
    <w:uiPriority w:val="32"/>
    <w:qFormat/>
    <w:rsid w:val="00502AE1"/>
    <w:rPr>
      <w:b/>
      <w:bCs/>
      <w:smallCaps/>
      <w:color w:val="0F4761" w:themeColor="accent1" w:themeShade="BF"/>
      <w:spacing w:val="5"/>
    </w:rPr>
  </w:style>
  <w:style w:type="paragraph" w:styleId="NormalWeb">
    <w:name w:val="Normal (Web)"/>
    <w:basedOn w:val="Normal"/>
    <w:uiPriority w:val="99"/>
    <w:semiHidden/>
    <w:unhideWhenUsed/>
    <w:rsid w:val="00502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4414</Characters>
  <Application>Microsoft Office Word</Application>
  <DocSecurity>0</DocSecurity>
  <Lines>36</Lines>
  <Paragraphs>10</Paragraphs>
  <ScaleCrop>false</ScaleCrop>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Ashcroft</dc:creator>
  <cp:keywords/>
  <dc:description/>
  <cp:lastModifiedBy>David Ashcroft</cp:lastModifiedBy>
  <cp:revision>1</cp:revision>
  <dcterms:created xsi:type="dcterms:W3CDTF">2026-06-04T10:11:00Z</dcterms:created>
  <dcterms:modified xsi:type="dcterms:W3CDTF">2026-06-04T10:18:00Z</dcterms:modified>
</cp:coreProperties>
</file>