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FB290"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2720ABD"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C12D8FE"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3618A62" w14:textId="77777777" w:rsidTr="00683C17">
        <w:tc>
          <w:tcPr>
            <w:tcW w:w="3681" w:type="dxa"/>
          </w:tcPr>
          <w:p w14:paraId="1A1B442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311F7F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PL/2026/02172</w:t>
            </w:r>
          </w:p>
        </w:tc>
      </w:tr>
      <w:tr w:rsidR="00097010" w14:paraId="11B08B47" w14:textId="77777777" w:rsidTr="00683C17">
        <w:tc>
          <w:tcPr>
            <w:tcW w:w="3681" w:type="dxa"/>
          </w:tcPr>
          <w:p w14:paraId="50067D0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3F88FC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01F9E189" w14:textId="77777777" w:rsidTr="00683C17">
        <w:tc>
          <w:tcPr>
            <w:tcW w:w="3681" w:type="dxa"/>
          </w:tcPr>
          <w:p w14:paraId="3CDBEF4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C77FB8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Rood Ashton Manor, Rood Ashton Park, West Ashton, Trowbridge, BA14 6AS</w:t>
            </w:r>
          </w:p>
        </w:tc>
      </w:tr>
      <w:tr w:rsidR="00097010" w14:paraId="438D60A3" w14:textId="77777777" w:rsidTr="00683C17">
        <w:tc>
          <w:tcPr>
            <w:tcW w:w="3681" w:type="dxa"/>
          </w:tcPr>
          <w:p w14:paraId="6A4DF6A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BFCFD47" w14:textId="669A1C83"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timber fence (</w:t>
            </w:r>
            <w:r w:rsidR="00686DA0">
              <w:rPr>
                <w:rFonts w:ascii="Arial" w:eastAsia="Times New Roman" w:hAnsi="Arial" w:cs="Arial"/>
                <w:kern w:val="0"/>
                <w:sz w:val="22"/>
                <w:szCs w:val="22"/>
                <w:lang w:eastAsia="en-GB"/>
                <w14:ligatures w14:val="none"/>
              </w:rPr>
              <w:t xml:space="preserve">part </w:t>
            </w:r>
            <w:r w:rsidRPr="00C777DF">
              <w:rPr>
                <w:rFonts w:ascii="Arial" w:eastAsia="Times New Roman" w:hAnsi="Arial" w:cs="Arial"/>
                <w:kern w:val="0"/>
                <w:sz w:val="22"/>
                <w:szCs w:val="22"/>
                <w:lang w:eastAsia="en-GB"/>
                <w14:ligatures w14:val="none"/>
              </w:rPr>
              <w:t>retrospective)</w:t>
            </w:r>
          </w:p>
        </w:tc>
      </w:tr>
      <w:tr w:rsidR="00097010" w14:paraId="47CBBC8B" w14:textId="77777777" w:rsidTr="00683C17">
        <w:tc>
          <w:tcPr>
            <w:tcW w:w="3681" w:type="dxa"/>
          </w:tcPr>
          <w:p w14:paraId="21C130D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B7CA4D2"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E0CF96F"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2CA0878"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4681B44" w14:textId="2A7A7E43" w:rsidR="005B0FD5" w:rsidRPr="00F937AC"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r w:rsidRPr="00F937AC">
        <w:rPr>
          <w:rFonts w:ascii="Arial" w:eastAsia="Times New Roman" w:hAnsi="Arial" w:cs="Arial"/>
          <w:kern w:val="0"/>
          <w:sz w:val="22"/>
          <w:szCs w:val="22"/>
          <w:lang w:eastAsia="en-GB"/>
          <w14:ligatures w14:val="none"/>
        </w:rPr>
        <w:t xml:space="preserve">The proposal seeks </w:t>
      </w:r>
      <w:r w:rsidR="00EA018B" w:rsidRPr="00F937AC">
        <w:rPr>
          <w:rFonts w:ascii="Arial" w:eastAsia="Times New Roman" w:hAnsi="Arial" w:cs="Arial"/>
          <w:kern w:val="0"/>
          <w:sz w:val="22"/>
          <w:szCs w:val="22"/>
          <w:lang w:eastAsia="en-GB"/>
          <w14:ligatures w14:val="none"/>
        </w:rPr>
        <w:t xml:space="preserve">householder </w:t>
      </w:r>
      <w:r w:rsidR="003F6846" w:rsidRPr="00F937AC">
        <w:rPr>
          <w:rFonts w:ascii="Arial" w:eastAsia="Times New Roman" w:hAnsi="Arial" w:cs="Arial"/>
          <w:kern w:val="0"/>
          <w:sz w:val="22"/>
          <w:szCs w:val="22"/>
          <w:lang w:eastAsia="en-GB"/>
          <w14:ligatures w14:val="none"/>
        </w:rPr>
        <w:t xml:space="preserve">part retrospective </w:t>
      </w:r>
      <w:r w:rsidRPr="00F937AC">
        <w:rPr>
          <w:rFonts w:ascii="Arial" w:eastAsia="Times New Roman" w:hAnsi="Arial" w:cs="Arial"/>
          <w:kern w:val="0"/>
          <w:sz w:val="22"/>
          <w:szCs w:val="22"/>
          <w:lang w:eastAsia="en-GB"/>
          <w14:ligatures w14:val="none"/>
        </w:rPr>
        <w:t xml:space="preserve">planning permission for </w:t>
      </w:r>
      <w:r w:rsidR="00EA018B" w:rsidRPr="00F937AC">
        <w:rPr>
          <w:rFonts w:ascii="Arial" w:eastAsia="Times New Roman" w:hAnsi="Arial" w:cs="Arial"/>
          <w:kern w:val="0"/>
          <w:sz w:val="22"/>
          <w:szCs w:val="22"/>
          <w:lang w:eastAsia="en-GB"/>
          <w14:ligatures w14:val="none"/>
        </w:rPr>
        <w:t xml:space="preserve">the erection of a timber fence on the </w:t>
      </w:r>
      <w:r w:rsidR="003F6846" w:rsidRPr="00F937AC">
        <w:rPr>
          <w:rFonts w:ascii="Arial" w:eastAsia="Times New Roman" w:hAnsi="Arial" w:cs="Arial"/>
          <w:kern w:val="0"/>
          <w:sz w:val="22"/>
          <w:szCs w:val="22"/>
          <w:lang w:eastAsia="en-GB"/>
          <w14:ligatures w14:val="none"/>
        </w:rPr>
        <w:t xml:space="preserve">eastern </w:t>
      </w:r>
      <w:r w:rsidR="00EA018B" w:rsidRPr="00F937AC">
        <w:rPr>
          <w:rFonts w:ascii="Arial" w:eastAsia="Times New Roman" w:hAnsi="Arial" w:cs="Arial"/>
          <w:kern w:val="0"/>
          <w:sz w:val="22"/>
          <w:szCs w:val="22"/>
          <w:lang w:eastAsia="en-GB"/>
          <w14:ligatures w14:val="none"/>
        </w:rPr>
        <w:t xml:space="preserve">boundary </w:t>
      </w:r>
      <w:r w:rsidR="003F6846" w:rsidRPr="00F937AC">
        <w:rPr>
          <w:rFonts w:ascii="Arial" w:eastAsia="Times New Roman" w:hAnsi="Arial" w:cs="Arial"/>
          <w:kern w:val="0"/>
          <w:sz w:val="22"/>
          <w:szCs w:val="22"/>
          <w:lang w:eastAsia="en-GB"/>
          <w14:ligatures w14:val="none"/>
        </w:rPr>
        <w:t>of the host dwelling.</w:t>
      </w:r>
    </w:p>
    <w:p w14:paraId="68EAD472"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3E503F7"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0BAB78D" w14:textId="112D89F7" w:rsidR="003F6846" w:rsidRDefault="003F6846" w:rsidP="00F937AC">
      <w:pPr>
        <w:spacing w:after="0" w:line="276" w:lineRule="auto"/>
        <w:jc w:val="both"/>
        <w:outlineLvl w:val="2"/>
        <w:rPr>
          <w:rFonts w:ascii="Arial" w:eastAsia="Times New Roman" w:hAnsi="Arial" w:cs="Arial"/>
          <w:kern w:val="0"/>
          <w:sz w:val="22"/>
          <w:szCs w:val="22"/>
          <w:lang w:eastAsia="en-GB"/>
          <w14:ligatures w14:val="none"/>
        </w:rPr>
      </w:pPr>
      <w:r w:rsidRPr="00F937AC">
        <w:rPr>
          <w:rFonts w:ascii="Arial" w:eastAsia="Times New Roman" w:hAnsi="Arial" w:cs="Arial"/>
          <w:kern w:val="0"/>
          <w:sz w:val="22"/>
          <w:szCs w:val="22"/>
          <w:lang w:eastAsia="en-GB"/>
          <w14:ligatures w14:val="none"/>
        </w:rPr>
        <w:t>The host dwelling is the Grade I</w:t>
      </w:r>
      <w:r w:rsidR="00F937AC">
        <w:rPr>
          <w:rFonts w:ascii="Arial" w:eastAsia="Times New Roman" w:hAnsi="Arial" w:cs="Arial"/>
          <w:kern w:val="0"/>
          <w:sz w:val="22"/>
          <w:szCs w:val="22"/>
          <w:lang w:eastAsia="en-GB"/>
          <w14:ligatures w14:val="none"/>
        </w:rPr>
        <w:t>I</w:t>
      </w:r>
      <w:r w:rsidRPr="00F937AC">
        <w:rPr>
          <w:rFonts w:ascii="Arial" w:eastAsia="Times New Roman" w:hAnsi="Arial" w:cs="Arial"/>
          <w:kern w:val="0"/>
          <w:sz w:val="22"/>
          <w:szCs w:val="22"/>
          <w:lang w:eastAsia="en-GB"/>
          <w14:ligatures w14:val="none"/>
        </w:rPr>
        <w:t xml:space="preserve"> listed </w:t>
      </w:r>
      <w:r w:rsidR="00611EE2" w:rsidRPr="00F937AC">
        <w:rPr>
          <w:rFonts w:ascii="Arial" w:eastAsia="Times New Roman" w:hAnsi="Arial" w:cs="Arial"/>
          <w:kern w:val="0"/>
          <w:sz w:val="22"/>
          <w:szCs w:val="22"/>
          <w:lang w:eastAsia="en-GB"/>
          <w14:ligatures w14:val="none"/>
        </w:rPr>
        <w:t xml:space="preserve">property known as Rood Ashton Manor, located down a private road to the </w:t>
      </w:r>
      <w:r w:rsidR="00A4064A" w:rsidRPr="00F937AC">
        <w:rPr>
          <w:rFonts w:ascii="Arial" w:eastAsia="Times New Roman" w:hAnsi="Arial" w:cs="Arial"/>
          <w:kern w:val="0"/>
          <w:sz w:val="22"/>
          <w:szCs w:val="22"/>
          <w:lang w:eastAsia="en-GB"/>
          <w14:ligatures w14:val="none"/>
        </w:rPr>
        <w:t xml:space="preserve">east of the village of West Ashton. The </w:t>
      </w:r>
      <w:r w:rsidR="00373D71">
        <w:rPr>
          <w:rFonts w:ascii="Arial" w:eastAsia="Times New Roman" w:hAnsi="Arial" w:cs="Arial"/>
          <w:kern w:val="0"/>
          <w:sz w:val="22"/>
          <w:szCs w:val="22"/>
          <w:lang w:eastAsia="en-GB"/>
          <w14:ligatures w14:val="none"/>
        </w:rPr>
        <w:t>h</w:t>
      </w:r>
      <w:r w:rsidR="00D01565" w:rsidRPr="00F937AC">
        <w:rPr>
          <w:rFonts w:ascii="Arial" w:eastAsia="Times New Roman" w:hAnsi="Arial" w:cs="Arial"/>
          <w:kern w:val="0"/>
          <w:sz w:val="22"/>
          <w:szCs w:val="22"/>
          <w:lang w:eastAsia="en-GB"/>
          <w14:ligatures w14:val="none"/>
        </w:rPr>
        <w:t xml:space="preserve">ost dwelling is a </w:t>
      </w:r>
      <w:r w:rsidR="00F937AC" w:rsidRPr="00F937AC">
        <w:rPr>
          <w:rFonts w:ascii="Arial" w:eastAsia="Times New Roman" w:hAnsi="Arial" w:cs="Arial"/>
          <w:kern w:val="0"/>
          <w:sz w:val="22"/>
          <w:szCs w:val="22"/>
          <w:lang w:eastAsia="en-GB"/>
          <w14:ligatures w14:val="none"/>
        </w:rPr>
        <w:t>large, detached</w:t>
      </w:r>
      <w:r w:rsidR="00D01565" w:rsidRPr="00F937AC">
        <w:rPr>
          <w:rFonts w:ascii="Arial" w:eastAsia="Times New Roman" w:hAnsi="Arial" w:cs="Arial"/>
          <w:kern w:val="0"/>
          <w:sz w:val="22"/>
          <w:szCs w:val="22"/>
          <w:lang w:eastAsia="en-GB"/>
          <w14:ligatures w14:val="none"/>
        </w:rPr>
        <w:t xml:space="preserve"> country house, with generous grounds stretching to the </w:t>
      </w:r>
      <w:r w:rsidR="00D75F49" w:rsidRPr="00F937AC">
        <w:rPr>
          <w:rFonts w:ascii="Arial" w:eastAsia="Times New Roman" w:hAnsi="Arial" w:cs="Arial"/>
          <w:kern w:val="0"/>
          <w:sz w:val="22"/>
          <w:szCs w:val="22"/>
          <w:lang w:eastAsia="en-GB"/>
          <w14:ligatures w14:val="none"/>
        </w:rPr>
        <w:t>east and south of the building</w:t>
      </w:r>
      <w:r w:rsidR="00373D71">
        <w:rPr>
          <w:rFonts w:ascii="Arial" w:eastAsia="Times New Roman" w:hAnsi="Arial" w:cs="Arial"/>
          <w:kern w:val="0"/>
          <w:sz w:val="22"/>
          <w:szCs w:val="22"/>
          <w:lang w:eastAsia="en-GB"/>
          <w14:ligatures w14:val="none"/>
        </w:rPr>
        <w:t xml:space="preserve">, </w:t>
      </w:r>
      <w:r w:rsidR="00F937AC">
        <w:rPr>
          <w:rFonts w:ascii="Arial" w:eastAsia="Times New Roman" w:hAnsi="Arial" w:cs="Arial"/>
          <w:kern w:val="0"/>
          <w:sz w:val="22"/>
          <w:szCs w:val="22"/>
          <w:lang w:eastAsia="en-GB"/>
          <w14:ligatures w14:val="none"/>
        </w:rPr>
        <w:t>to the northeast of the property lies a Grade II listed Coach House.</w:t>
      </w:r>
    </w:p>
    <w:p w14:paraId="0EF01DBA" w14:textId="77777777" w:rsidR="00F937AC" w:rsidRPr="00F937AC" w:rsidRDefault="00F937AC" w:rsidP="00F937AC">
      <w:pPr>
        <w:spacing w:after="0" w:line="276" w:lineRule="auto"/>
        <w:jc w:val="both"/>
        <w:outlineLvl w:val="2"/>
        <w:rPr>
          <w:rFonts w:ascii="Arial" w:eastAsia="Times New Roman" w:hAnsi="Arial" w:cs="Arial"/>
          <w:kern w:val="0"/>
          <w:sz w:val="22"/>
          <w:szCs w:val="22"/>
          <w:lang w:eastAsia="en-GB"/>
          <w14:ligatures w14:val="none"/>
        </w:rPr>
      </w:pPr>
    </w:p>
    <w:p w14:paraId="35A00390" w14:textId="10262B4D" w:rsidR="008F5A9F" w:rsidRPr="00F937AC" w:rsidRDefault="00D75F49" w:rsidP="00F937AC">
      <w:pPr>
        <w:spacing w:after="0" w:line="240" w:lineRule="auto"/>
        <w:jc w:val="both"/>
        <w:rPr>
          <w:rFonts w:ascii="Arial" w:eastAsia="Times New Roman" w:hAnsi="Arial" w:cs="Arial"/>
          <w:color w:val="3E3E3C"/>
          <w:sz w:val="22"/>
          <w:szCs w:val="22"/>
          <w:shd w:val="clear" w:color="auto" w:fill="FFFFFF"/>
          <w:lang w:eastAsia="en-GB"/>
        </w:rPr>
      </w:pPr>
      <w:r w:rsidRPr="00F937AC">
        <w:rPr>
          <w:rFonts w:ascii="Arial" w:eastAsia="Times New Roman" w:hAnsi="Arial" w:cs="Arial"/>
          <w:kern w:val="0"/>
          <w:sz w:val="22"/>
          <w:szCs w:val="22"/>
          <w:lang w:eastAsia="en-GB"/>
          <w14:ligatures w14:val="none"/>
        </w:rPr>
        <w:t xml:space="preserve">The application site lies within the </w:t>
      </w:r>
      <w:r w:rsidR="008F5A9F" w:rsidRPr="00F937AC">
        <w:rPr>
          <w:rFonts w:ascii="Arial" w:eastAsia="Times New Roman" w:hAnsi="Arial" w:cs="Arial"/>
          <w:color w:val="181818"/>
          <w:sz w:val="22"/>
          <w:szCs w:val="22"/>
          <w:lang w:eastAsia="en-GB"/>
        </w:rPr>
        <w:t>Bath and Bradford on Avon Special Area of Conservation for bats</w:t>
      </w:r>
      <w:r w:rsidR="00530670">
        <w:rPr>
          <w:rFonts w:ascii="Arial" w:eastAsia="Times New Roman" w:hAnsi="Arial" w:cs="Arial"/>
          <w:color w:val="181818"/>
          <w:sz w:val="22"/>
          <w:szCs w:val="22"/>
          <w:lang w:eastAsia="en-GB"/>
        </w:rPr>
        <w:t xml:space="preserve"> and </w:t>
      </w:r>
      <w:r w:rsidR="008F5A9F" w:rsidRPr="00F937AC">
        <w:rPr>
          <w:rFonts w:ascii="Arial" w:hAnsi="Arial" w:cs="Arial"/>
          <w:sz w:val="22"/>
          <w:szCs w:val="22"/>
        </w:rPr>
        <w:t>Trowbridge and Westbury Bat Mitigation Strategy (TWBMS</w:t>
      </w:r>
      <w:r w:rsidR="001C6596" w:rsidRPr="00F937AC">
        <w:rPr>
          <w:rFonts w:ascii="Arial" w:hAnsi="Arial" w:cs="Arial"/>
          <w:sz w:val="22"/>
          <w:szCs w:val="22"/>
        </w:rPr>
        <w:t>)</w:t>
      </w:r>
      <w:r w:rsidR="001C6596">
        <w:rPr>
          <w:rFonts w:ascii="Arial" w:hAnsi="Arial" w:cs="Arial"/>
          <w:sz w:val="22"/>
          <w:szCs w:val="22"/>
        </w:rPr>
        <w:t>. It</w:t>
      </w:r>
      <w:r w:rsidR="00530670">
        <w:rPr>
          <w:rFonts w:ascii="Arial" w:hAnsi="Arial" w:cs="Arial"/>
          <w:sz w:val="22"/>
          <w:szCs w:val="22"/>
        </w:rPr>
        <w:t xml:space="preserve"> also</w:t>
      </w:r>
      <w:r w:rsidR="00F937AC" w:rsidRPr="00F937AC">
        <w:rPr>
          <w:rFonts w:ascii="Arial" w:hAnsi="Arial" w:cs="Arial"/>
          <w:sz w:val="22"/>
          <w:szCs w:val="22"/>
        </w:rPr>
        <w:t xml:space="preserve"> </w:t>
      </w:r>
      <w:r w:rsidR="00F937AC" w:rsidRPr="00F937AC">
        <w:rPr>
          <w:rFonts w:ascii="Arial" w:eastAsia="Times New Roman" w:hAnsi="Arial" w:cs="Arial"/>
          <w:color w:val="3E3E3C"/>
          <w:sz w:val="22"/>
          <w:szCs w:val="22"/>
          <w:shd w:val="clear" w:color="auto" w:fill="FFFFFF"/>
          <w:lang w:eastAsia="en-GB"/>
        </w:rPr>
        <w:t>falls within the recreational impact zone of the Salisbury Plain Special Protection Area for birds</w:t>
      </w:r>
    </w:p>
    <w:p w14:paraId="12634AE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63DDFFAE" w14:textId="6F5FF377" w:rsidR="00631B2E" w:rsidRPr="00530670"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4F4190C6" w14:textId="77777777" w:rsidTr="00B13119">
        <w:trPr>
          <w:trHeight w:hRule="exact" w:val="20"/>
        </w:trPr>
        <w:tc>
          <w:tcPr>
            <w:tcW w:w="8921" w:type="dxa"/>
            <w:tcBorders>
              <w:bottom w:val="single" w:sz="6" w:space="0" w:color="auto"/>
            </w:tcBorders>
            <w:vAlign w:val="center"/>
            <w:hideMark/>
          </w:tcPr>
          <w:p w14:paraId="56A69226"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5B07F988"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15BD506"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085E2E6D" w14:textId="77777777" w:rsidTr="00B13119">
        <w:tc>
          <w:tcPr>
            <w:tcW w:w="8921" w:type="dxa"/>
            <w:tcBorders>
              <w:left w:val="single" w:sz="12" w:space="0" w:color="auto"/>
              <w:bottom w:val="single" w:sz="12" w:space="0" w:color="auto"/>
              <w:right w:val="single" w:sz="12" w:space="0" w:color="auto"/>
            </w:tcBorders>
            <w:vAlign w:val="center"/>
          </w:tcPr>
          <w:p w14:paraId="5BFCB2A4"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PL/2022/00294 - Householder planning permission Decision - Approve with Conditions Date: 1/3/2022 – Proposed alterations and conversion of existing 1980s garage to provide additional accommodation.</w:t>
            </w:r>
          </w:p>
        </w:tc>
      </w:tr>
      <w:tr w:rsidR="00C777DF" w:rsidRPr="003E74F7" w14:paraId="2D44EB52" w14:textId="77777777" w:rsidTr="00B13119">
        <w:tc>
          <w:tcPr>
            <w:tcW w:w="8921" w:type="dxa"/>
            <w:tcBorders>
              <w:left w:val="single" w:sz="12" w:space="0" w:color="auto"/>
              <w:bottom w:val="single" w:sz="12" w:space="0" w:color="auto"/>
              <w:right w:val="single" w:sz="12" w:space="0" w:color="auto"/>
            </w:tcBorders>
            <w:vAlign w:val="center"/>
          </w:tcPr>
          <w:p w14:paraId="2027ADD8"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PL/2022/00507 - Listed building consent Decision - Approve with Conditions Date: 1/3/2022 – Proposed alterations and conversion of existing 1980s garage to provide additional accommodation.</w:t>
            </w:r>
          </w:p>
        </w:tc>
      </w:tr>
      <w:tr w:rsidR="00C777DF" w:rsidRPr="003E74F7" w14:paraId="4E030F02" w14:textId="77777777" w:rsidTr="00B13119">
        <w:tc>
          <w:tcPr>
            <w:tcW w:w="8921" w:type="dxa"/>
            <w:tcBorders>
              <w:left w:val="single" w:sz="12" w:space="0" w:color="auto"/>
              <w:bottom w:val="single" w:sz="12" w:space="0" w:color="auto"/>
              <w:right w:val="single" w:sz="12" w:space="0" w:color="auto"/>
            </w:tcBorders>
            <w:vAlign w:val="center"/>
          </w:tcPr>
          <w:p w14:paraId="29F8EF5A"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PL/2021/07828 - Householder planning permission Decision - Approve with Conditions Date: 11/10/2021 – Erection of greenhouse, and wall and fence along boundary line.</w:t>
            </w:r>
          </w:p>
        </w:tc>
      </w:tr>
      <w:tr w:rsidR="00C777DF" w:rsidRPr="003E74F7" w14:paraId="18D2E126" w14:textId="77777777" w:rsidTr="00B13119">
        <w:tc>
          <w:tcPr>
            <w:tcW w:w="8921" w:type="dxa"/>
            <w:tcBorders>
              <w:left w:val="single" w:sz="12" w:space="0" w:color="auto"/>
              <w:bottom w:val="single" w:sz="12" w:space="0" w:color="auto"/>
              <w:right w:val="single" w:sz="12" w:space="0" w:color="auto"/>
            </w:tcBorders>
            <w:vAlign w:val="center"/>
          </w:tcPr>
          <w:p w14:paraId="6663AC39"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PL/2024/05874 - Householder planning permission Decision - Approve with Conditions Date: 28/8/2024 – Erection of timber outbuilding</w:t>
            </w:r>
          </w:p>
        </w:tc>
      </w:tr>
      <w:bookmarkEnd w:id="0"/>
    </w:tbl>
    <w:p w14:paraId="4D075A84"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2E285598"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C68615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B6A23A3"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37F64CF4" w14:textId="77777777" w:rsidR="00B241FA" w:rsidRPr="00FB55D2" w:rsidRDefault="00B241FA" w:rsidP="00B241FA">
      <w:pPr>
        <w:rPr>
          <w:rFonts w:ascii="Arial" w:hAnsi="Arial" w:cs="Arial"/>
          <w:sz w:val="22"/>
          <w:szCs w:val="22"/>
        </w:rPr>
      </w:pPr>
      <w:r w:rsidRPr="00FB55D2">
        <w:rPr>
          <w:rFonts w:ascii="Arial" w:hAnsi="Arial" w:cs="Arial"/>
          <w:sz w:val="22"/>
          <w:szCs w:val="22"/>
        </w:rPr>
        <w:t>Core Policy 2 Delivery Strategy</w:t>
      </w:r>
    </w:p>
    <w:p w14:paraId="02F7FF20" w14:textId="77777777" w:rsidR="00B241FA" w:rsidRPr="00FB55D2" w:rsidRDefault="00B241FA" w:rsidP="00B241FA">
      <w:pPr>
        <w:rPr>
          <w:rFonts w:ascii="Arial" w:hAnsi="Arial" w:cs="Arial"/>
          <w:sz w:val="22"/>
          <w:szCs w:val="22"/>
        </w:rPr>
      </w:pPr>
      <w:r w:rsidRPr="00FB55D2">
        <w:rPr>
          <w:rFonts w:ascii="Arial" w:hAnsi="Arial" w:cs="Arial"/>
          <w:sz w:val="22"/>
          <w:szCs w:val="22"/>
        </w:rPr>
        <w:t>Core Policy 29 – Spatial Strategy for the Trowbridge Community Area</w:t>
      </w:r>
    </w:p>
    <w:p w14:paraId="2D647DA9" w14:textId="77777777" w:rsidR="00B241FA" w:rsidRPr="00FB55D2" w:rsidRDefault="00B241FA" w:rsidP="00B241FA">
      <w:pPr>
        <w:rPr>
          <w:rFonts w:ascii="Arial" w:hAnsi="Arial" w:cs="Arial"/>
          <w:sz w:val="22"/>
          <w:szCs w:val="22"/>
        </w:rPr>
      </w:pPr>
      <w:r w:rsidRPr="00FB55D2">
        <w:rPr>
          <w:rFonts w:ascii="Arial" w:hAnsi="Arial" w:cs="Arial"/>
          <w:sz w:val="22"/>
          <w:szCs w:val="22"/>
        </w:rPr>
        <w:t>Core Policy 50 – Biodiversity and Geodiversity</w:t>
      </w:r>
    </w:p>
    <w:p w14:paraId="3A022B45" w14:textId="77777777" w:rsidR="00B241FA" w:rsidRPr="00FB55D2" w:rsidRDefault="00B241FA" w:rsidP="00B241FA">
      <w:pPr>
        <w:rPr>
          <w:rFonts w:ascii="Arial" w:hAnsi="Arial" w:cs="Arial"/>
          <w:sz w:val="22"/>
          <w:szCs w:val="22"/>
        </w:rPr>
      </w:pPr>
      <w:r w:rsidRPr="00FB55D2">
        <w:rPr>
          <w:rFonts w:ascii="Arial" w:hAnsi="Arial" w:cs="Arial"/>
          <w:sz w:val="22"/>
          <w:szCs w:val="22"/>
        </w:rPr>
        <w:t>Core Policy 57 - Ensuring High Quality Design and Place Shaping</w:t>
      </w:r>
    </w:p>
    <w:p w14:paraId="0042D622" w14:textId="77777777" w:rsidR="00B241FA" w:rsidRDefault="00B241FA" w:rsidP="00B241FA">
      <w:pPr>
        <w:rPr>
          <w:rFonts w:ascii="Arial" w:eastAsia="Calibri" w:hAnsi="Arial" w:cs="Arial"/>
          <w:sz w:val="22"/>
          <w:szCs w:val="22"/>
        </w:rPr>
      </w:pPr>
      <w:r w:rsidRPr="00FB55D2">
        <w:rPr>
          <w:rFonts w:ascii="Arial" w:hAnsi="Arial" w:cs="Arial"/>
          <w:sz w:val="22"/>
          <w:szCs w:val="22"/>
        </w:rPr>
        <w:lastRenderedPageBreak/>
        <w:t xml:space="preserve">Core Policy 58 - </w:t>
      </w:r>
      <w:r w:rsidRPr="00FB55D2">
        <w:rPr>
          <w:rFonts w:ascii="Arial" w:eastAsia="Calibri" w:hAnsi="Arial" w:cs="Arial"/>
          <w:sz w:val="22"/>
          <w:szCs w:val="22"/>
        </w:rPr>
        <w:t xml:space="preserve">Ensuring the Conservation of the Historic Environment </w:t>
      </w:r>
    </w:p>
    <w:p w14:paraId="1FEB3703" w14:textId="77777777" w:rsidR="00683456" w:rsidRPr="00683456" w:rsidRDefault="00683456" w:rsidP="00683456">
      <w:pPr>
        <w:spacing w:line="240" w:lineRule="auto"/>
        <w:jc w:val="both"/>
        <w:rPr>
          <w:rFonts w:ascii="Arial" w:hAnsi="Arial" w:cs="Arial"/>
          <w:bCs/>
          <w:sz w:val="22"/>
          <w:szCs w:val="22"/>
        </w:rPr>
      </w:pPr>
      <w:r w:rsidRPr="00683456">
        <w:rPr>
          <w:rFonts w:ascii="Arial" w:hAnsi="Arial" w:cs="Arial"/>
          <w:bCs/>
          <w:sz w:val="22"/>
          <w:szCs w:val="22"/>
        </w:rPr>
        <w:t>Emerging Policy – Wiltshire Local Plan Review</w:t>
      </w:r>
    </w:p>
    <w:p w14:paraId="1DAA3C2B" w14:textId="77777777" w:rsidR="00683456" w:rsidRPr="00683456" w:rsidRDefault="00683456" w:rsidP="00683456">
      <w:pPr>
        <w:spacing w:line="240" w:lineRule="auto"/>
        <w:jc w:val="both"/>
        <w:rPr>
          <w:rFonts w:ascii="Arial" w:hAnsi="Arial" w:cs="Arial"/>
          <w:bCs/>
          <w:sz w:val="22"/>
          <w:szCs w:val="22"/>
        </w:rPr>
      </w:pPr>
      <w:r w:rsidRPr="00683456">
        <w:rPr>
          <w:rFonts w:ascii="Arial" w:hAnsi="Arial" w:cs="Arial"/>
          <w:bCs/>
          <w:sz w:val="22"/>
          <w:szCs w:val="22"/>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569AE700" w14:textId="77777777" w:rsidR="00F83D5B" w:rsidRPr="0073039D" w:rsidRDefault="00F83D5B" w:rsidP="0073039D">
      <w:pPr>
        <w:spacing w:after="200" w:line="276" w:lineRule="auto"/>
        <w:contextualSpacing/>
        <w:jc w:val="both"/>
        <w:rPr>
          <w:rFonts w:ascii="Arial" w:hAnsi="Arial" w:cs="Arial"/>
          <w:sz w:val="22"/>
          <w:szCs w:val="22"/>
        </w:rPr>
      </w:pPr>
      <w:r w:rsidRPr="0073039D">
        <w:rPr>
          <w:rFonts w:ascii="Arial" w:hAnsi="Arial" w:cs="Arial"/>
          <w:sz w:val="22"/>
          <w:szCs w:val="22"/>
        </w:rPr>
        <w:t>West Ashton Neighbourhood Development Plan 2018-2026 Made June 2021</w:t>
      </w:r>
    </w:p>
    <w:p w14:paraId="2220269F" w14:textId="7FA7A053" w:rsidR="00B241FA" w:rsidRPr="0073039D" w:rsidRDefault="00B241FA" w:rsidP="0073039D">
      <w:pPr>
        <w:spacing w:after="200" w:line="276" w:lineRule="auto"/>
        <w:contextualSpacing/>
        <w:jc w:val="both"/>
        <w:rPr>
          <w:rFonts w:ascii="Arial" w:hAnsi="Arial" w:cs="Arial"/>
          <w:color w:val="080707"/>
          <w:sz w:val="22"/>
          <w:szCs w:val="22"/>
          <w:shd w:val="clear" w:color="auto" w:fill="FFFFFF"/>
        </w:rPr>
      </w:pPr>
      <w:r w:rsidRPr="0073039D">
        <w:rPr>
          <w:rFonts w:ascii="Arial" w:hAnsi="Arial" w:cs="Arial"/>
          <w:color w:val="080707"/>
          <w:sz w:val="22"/>
          <w:szCs w:val="22"/>
          <w:shd w:val="clear" w:color="auto" w:fill="FFFFFF"/>
        </w:rPr>
        <w:t>Salisbury Plain Special Protection Area</w:t>
      </w:r>
    </w:p>
    <w:p w14:paraId="34B797DD" w14:textId="77777777" w:rsidR="00683456" w:rsidRDefault="00B241FA" w:rsidP="0073039D">
      <w:pPr>
        <w:shd w:val="clear" w:color="auto" w:fill="FFFFFF"/>
        <w:spacing w:before="100" w:beforeAutospacing="1" w:after="100" w:afterAutospacing="1"/>
        <w:jc w:val="both"/>
        <w:outlineLvl w:val="2"/>
        <w:rPr>
          <w:rFonts w:ascii="Arial" w:hAnsi="Arial" w:cs="Arial"/>
          <w:sz w:val="22"/>
          <w:szCs w:val="22"/>
        </w:rPr>
      </w:pPr>
      <w:r w:rsidRPr="0073039D">
        <w:rPr>
          <w:rFonts w:ascii="Arial" w:hAnsi="Arial" w:cs="Arial"/>
          <w:sz w:val="22"/>
          <w:szCs w:val="22"/>
        </w:rPr>
        <w:t>Trowbridge</w:t>
      </w:r>
      <w:r w:rsidRPr="0073039D">
        <w:rPr>
          <w:rFonts w:ascii="Arial" w:hAnsi="Arial" w:cs="Arial"/>
          <w:spacing w:val="-6"/>
          <w:sz w:val="22"/>
          <w:szCs w:val="22"/>
        </w:rPr>
        <w:t xml:space="preserve"> </w:t>
      </w:r>
      <w:r w:rsidRPr="0073039D">
        <w:rPr>
          <w:rFonts w:ascii="Arial" w:hAnsi="Arial" w:cs="Arial"/>
          <w:sz w:val="22"/>
          <w:szCs w:val="22"/>
        </w:rPr>
        <w:t>Bat</w:t>
      </w:r>
      <w:r w:rsidRPr="0073039D">
        <w:rPr>
          <w:rFonts w:ascii="Arial" w:hAnsi="Arial" w:cs="Arial"/>
          <w:spacing w:val="-6"/>
          <w:sz w:val="22"/>
          <w:szCs w:val="22"/>
        </w:rPr>
        <w:t xml:space="preserve"> </w:t>
      </w:r>
      <w:r w:rsidRPr="0073039D">
        <w:rPr>
          <w:rFonts w:ascii="Arial" w:hAnsi="Arial" w:cs="Arial"/>
          <w:sz w:val="22"/>
          <w:szCs w:val="22"/>
        </w:rPr>
        <w:t>Mitigation</w:t>
      </w:r>
      <w:r w:rsidRPr="0073039D">
        <w:rPr>
          <w:rFonts w:ascii="Arial" w:hAnsi="Arial" w:cs="Arial"/>
          <w:spacing w:val="-6"/>
          <w:sz w:val="22"/>
          <w:szCs w:val="22"/>
        </w:rPr>
        <w:t xml:space="preserve"> </w:t>
      </w:r>
      <w:r w:rsidRPr="0073039D">
        <w:rPr>
          <w:rFonts w:ascii="Arial" w:hAnsi="Arial" w:cs="Arial"/>
          <w:sz w:val="22"/>
          <w:szCs w:val="22"/>
        </w:rPr>
        <w:t>Strategy</w:t>
      </w:r>
      <w:r w:rsidRPr="0073039D">
        <w:rPr>
          <w:rFonts w:ascii="Arial" w:hAnsi="Arial" w:cs="Arial"/>
          <w:spacing w:val="-6"/>
          <w:sz w:val="22"/>
          <w:szCs w:val="22"/>
        </w:rPr>
        <w:t xml:space="preserve"> </w:t>
      </w:r>
      <w:r w:rsidRPr="0073039D">
        <w:rPr>
          <w:rFonts w:ascii="Arial" w:hAnsi="Arial" w:cs="Arial"/>
          <w:sz w:val="22"/>
          <w:szCs w:val="22"/>
        </w:rPr>
        <w:t>SPD,</w:t>
      </w:r>
      <w:r w:rsidRPr="0073039D">
        <w:rPr>
          <w:rFonts w:ascii="Arial" w:hAnsi="Arial" w:cs="Arial"/>
          <w:spacing w:val="-6"/>
          <w:sz w:val="22"/>
          <w:szCs w:val="22"/>
        </w:rPr>
        <w:t xml:space="preserve"> </w:t>
      </w:r>
      <w:r w:rsidRPr="0073039D">
        <w:rPr>
          <w:rFonts w:ascii="Arial" w:hAnsi="Arial" w:cs="Arial"/>
          <w:sz w:val="22"/>
          <w:szCs w:val="22"/>
        </w:rPr>
        <w:t>adopted</w:t>
      </w:r>
      <w:r w:rsidRPr="0073039D">
        <w:rPr>
          <w:rFonts w:ascii="Arial" w:hAnsi="Arial" w:cs="Arial"/>
          <w:spacing w:val="-6"/>
          <w:sz w:val="22"/>
          <w:szCs w:val="22"/>
        </w:rPr>
        <w:t xml:space="preserve"> </w:t>
      </w:r>
      <w:r w:rsidRPr="0073039D">
        <w:rPr>
          <w:rFonts w:ascii="Arial" w:hAnsi="Arial" w:cs="Arial"/>
          <w:sz w:val="22"/>
          <w:szCs w:val="22"/>
        </w:rPr>
        <w:t>February 2020</w:t>
      </w:r>
    </w:p>
    <w:p w14:paraId="77F0E307" w14:textId="716B1954" w:rsidR="0073039D" w:rsidRPr="00683456" w:rsidRDefault="00B241FA" w:rsidP="0073039D">
      <w:pPr>
        <w:shd w:val="clear" w:color="auto" w:fill="FFFFFF"/>
        <w:spacing w:before="100" w:beforeAutospacing="1" w:after="100" w:afterAutospacing="1"/>
        <w:jc w:val="both"/>
        <w:outlineLvl w:val="2"/>
        <w:rPr>
          <w:rFonts w:ascii="Arial" w:hAnsi="Arial" w:cs="Arial"/>
          <w:sz w:val="22"/>
          <w:szCs w:val="22"/>
        </w:rPr>
      </w:pPr>
      <w:r w:rsidRPr="0073039D">
        <w:rPr>
          <w:rFonts w:ascii="Arial" w:hAnsi="Arial" w:cs="Arial"/>
          <w:color w:val="444444"/>
          <w:sz w:val="22"/>
          <w:szCs w:val="22"/>
          <w:shd w:val="clear" w:color="auto" w:fill="FFFFFF"/>
        </w:rPr>
        <w:t>Bath and Bradford on Avon Bat SAC Guidance September 2015</w:t>
      </w:r>
    </w:p>
    <w:p w14:paraId="51FF16A5" w14:textId="77777777" w:rsidR="0073039D" w:rsidRDefault="00454C71" w:rsidP="0073039D">
      <w:pPr>
        <w:shd w:val="clear" w:color="auto" w:fill="FFFFFF"/>
        <w:spacing w:before="100" w:beforeAutospacing="1" w:after="100" w:afterAutospacing="1"/>
        <w:jc w:val="both"/>
        <w:outlineLvl w:val="2"/>
        <w:rPr>
          <w:rFonts w:ascii="Arial" w:eastAsia="Times New Roman" w:hAnsi="Arial" w:cs="Arial"/>
          <w:color w:val="000000" w:themeColor="text1"/>
          <w:kern w:val="0"/>
          <w:sz w:val="22"/>
          <w:szCs w:val="22"/>
          <w:lang w:eastAsia="en-GB"/>
          <w14:ligatures w14:val="none"/>
        </w:rPr>
      </w:pPr>
      <w:r w:rsidRPr="0073039D">
        <w:rPr>
          <w:rFonts w:ascii="Arial" w:eastAsia="Times New Roman" w:hAnsi="Arial" w:cs="Arial"/>
          <w:color w:val="000000" w:themeColor="text1"/>
          <w:kern w:val="0"/>
          <w:sz w:val="22"/>
          <w:szCs w:val="22"/>
          <w:lang w:eastAsia="en-GB"/>
          <w14:ligatures w14:val="none"/>
        </w:rPr>
        <w:t>Wiltshire Design Guide</w:t>
      </w:r>
      <w:r w:rsidR="00015ADB" w:rsidRPr="0073039D">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60F2368" w14:textId="6F600725" w:rsidR="0073039D" w:rsidRPr="0073039D" w:rsidRDefault="00284692" w:rsidP="0073039D">
      <w:pPr>
        <w:shd w:val="clear" w:color="auto" w:fill="FFFFFF"/>
        <w:spacing w:before="100" w:beforeAutospacing="1" w:after="100" w:afterAutospacing="1"/>
        <w:jc w:val="both"/>
        <w:outlineLvl w:val="2"/>
        <w:rPr>
          <w:rFonts w:ascii="Arial" w:hAnsi="Arial" w:cs="Arial"/>
          <w:color w:val="404040"/>
          <w:sz w:val="22"/>
          <w:szCs w:val="22"/>
        </w:rPr>
      </w:pPr>
      <w:r w:rsidRPr="0073039D">
        <w:rPr>
          <w:rFonts w:ascii="Arial" w:eastAsia="Times New Roman" w:hAnsi="Arial" w:cs="Arial"/>
          <w:kern w:val="0"/>
          <w:sz w:val="22"/>
          <w:szCs w:val="22"/>
          <w:lang w:eastAsia="en-GB"/>
          <w14:ligatures w14:val="none"/>
        </w:rPr>
        <w:t xml:space="preserve">The National Planning Policy Framework (NPPF) </w:t>
      </w:r>
    </w:p>
    <w:p w14:paraId="4203E22D" w14:textId="60097660" w:rsidR="00284692" w:rsidRPr="0073039D" w:rsidRDefault="00284692" w:rsidP="0073039D">
      <w:pPr>
        <w:shd w:val="clear" w:color="auto" w:fill="FFFFFF"/>
        <w:spacing w:before="100" w:beforeAutospacing="1" w:after="100" w:afterAutospacing="1"/>
        <w:jc w:val="both"/>
        <w:outlineLvl w:val="2"/>
        <w:rPr>
          <w:rFonts w:ascii="Arial" w:hAnsi="Arial" w:cs="Arial"/>
          <w:color w:val="404040"/>
          <w:sz w:val="22"/>
          <w:szCs w:val="22"/>
        </w:rPr>
      </w:pPr>
      <w:r w:rsidRPr="0073039D">
        <w:rPr>
          <w:rFonts w:ascii="Arial" w:eastAsia="Times New Roman" w:hAnsi="Arial" w:cs="Arial"/>
          <w:kern w:val="0"/>
          <w:sz w:val="22"/>
          <w:szCs w:val="22"/>
          <w:lang w:eastAsia="en-GB"/>
          <w14:ligatures w14:val="none"/>
        </w:rPr>
        <w:t xml:space="preserve">The Planning Practice Guidance </w:t>
      </w:r>
    </w:p>
    <w:p w14:paraId="4CF33D33" w14:textId="77777777" w:rsidR="0073039D" w:rsidRDefault="0073039D" w:rsidP="0073039D">
      <w:pPr>
        <w:spacing w:after="200" w:line="276" w:lineRule="auto"/>
        <w:contextualSpacing/>
        <w:jc w:val="both"/>
        <w:rPr>
          <w:rFonts w:ascii="Arial" w:hAnsi="Arial" w:cs="Arial"/>
          <w:color w:val="080707"/>
          <w:sz w:val="22"/>
          <w:szCs w:val="22"/>
          <w:shd w:val="clear" w:color="auto" w:fill="FFFFFF"/>
        </w:rPr>
      </w:pPr>
      <w:r w:rsidRPr="0073039D">
        <w:rPr>
          <w:rFonts w:ascii="Arial" w:hAnsi="Arial" w:cs="Arial"/>
          <w:color w:val="000000"/>
          <w:sz w:val="22"/>
          <w:szCs w:val="22"/>
        </w:rPr>
        <w:t xml:space="preserve">Planning </w:t>
      </w:r>
      <w:r w:rsidRPr="0073039D">
        <w:rPr>
          <w:rFonts w:ascii="Arial" w:hAnsi="Arial" w:cs="Arial"/>
          <w:color w:val="080707"/>
          <w:sz w:val="22"/>
          <w:szCs w:val="22"/>
          <w:shd w:val="clear" w:color="auto" w:fill="FFFFFF"/>
        </w:rPr>
        <w:t xml:space="preserve">(Listed Buildings and Conservation Areas) Act 1990 </w:t>
      </w:r>
    </w:p>
    <w:p w14:paraId="4ADE8F7C" w14:textId="77777777" w:rsidR="003A1DCC" w:rsidRPr="0073039D" w:rsidRDefault="003A1DCC" w:rsidP="0073039D">
      <w:pPr>
        <w:spacing w:after="200" w:line="276" w:lineRule="auto"/>
        <w:contextualSpacing/>
        <w:jc w:val="both"/>
        <w:rPr>
          <w:rFonts w:ascii="Arial" w:hAnsi="Arial" w:cs="Arial"/>
          <w:color w:val="080707"/>
          <w:sz w:val="22"/>
          <w:szCs w:val="22"/>
          <w:shd w:val="clear" w:color="auto" w:fill="FFFFFF"/>
        </w:rPr>
      </w:pPr>
    </w:p>
    <w:p w14:paraId="294CDCC2" w14:textId="77777777" w:rsidR="00B633AB" w:rsidRPr="0073039D" w:rsidRDefault="00B633AB" w:rsidP="0073039D">
      <w:pPr>
        <w:spacing w:after="0" w:line="276" w:lineRule="auto"/>
        <w:jc w:val="both"/>
        <w:rPr>
          <w:rFonts w:ascii="Arial" w:eastAsia="Times New Roman" w:hAnsi="Arial" w:cs="Arial"/>
          <w:kern w:val="0"/>
          <w:sz w:val="22"/>
          <w:szCs w:val="22"/>
          <w:lang w:eastAsia="en-GB"/>
          <w14:ligatures w14:val="none"/>
        </w:rPr>
      </w:pPr>
      <w:r w:rsidRPr="0073039D">
        <w:rPr>
          <w:rFonts w:ascii="Arial" w:eastAsia="Times New Roman" w:hAnsi="Arial" w:cs="Arial"/>
          <w:kern w:val="0"/>
          <w:sz w:val="22"/>
          <w:szCs w:val="22"/>
          <w:lang w:eastAsia="en-GB"/>
          <w14:ligatures w14:val="none"/>
        </w:rPr>
        <w:t xml:space="preserve">National </w:t>
      </w:r>
      <w:r w:rsidR="00DB7D89" w:rsidRPr="0073039D">
        <w:rPr>
          <w:rFonts w:ascii="Arial" w:eastAsia="Times New Roman" w:hAnsi="Arial" w:cs="Arial"/>
          <w:kern w:val="0"/>
          <w:sz w:val="22"/>
          <w:szCs w:val="22"/>
          <w:lang w:eastAsia="en-GB"/>
          <w14:ligatures w14:val="none"/>
        </w:rPr>
        <w:t>Design Guide</w:t>
      </w:r>
    </w:p>
    <w:p w14:paraId="04BDD7CC"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20C4E02"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2D194C3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E8E8BC4" w14:textId="16C961C9" w:rsidR="0016162B" w:rsidRPr="00E16B1D" w:rsidRDefault="0041091D"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West Ashton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1" w:name="_Hlk198304422"/>
      <w:r>
        <w:rPr>
          <w:rFonts w:ascii="Arial" w:eastAsia="Times New Roman" w:hAnsi="Arial" w:cs="Arial"/>
          <w:kern w:val="0"/>
          <w:sz w:val="22"/>
          <w:szCs w:val="22"/>
          <w:lang w:eastAsia="en-GB"/>
          <w14:ligatures w14:val="none"/>
        </w:rPr>
        <w:t>comment</w:t>
      </w:r>
    </w:p>
    <w:bookmarkEnd w:id="1"/>
    <w:p w14:paraId="7D94B33E"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4001F8D8"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39ED8BE" w14:textId="4597A99A" w:rsidR="008D7802" w:rsidRPr="00E16B1D" w:rsidRDefault="0041091D" w:rsidP="008D78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One letter of objection was received from an adjacent neighbour. The points raised will be assessed within the officer report below</w:t>
      </w:r>
    </w:p>
    <w:p w14:paraId="4FEDB535"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54B372FE"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4A2B67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13F87A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D439231"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44C460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D28624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14EF370"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186F75A5" w14:textId="77777777" w:rsidR="007B7AE0" w:rsidRPr="00642193" w:rsidRDefault="007B7AE0" w:rsidP="007B7AE0">
      <w:pPr>
        <w:spacing w:after="0" w:line="276" w:lineRule="auto"/>
        <w:jc w:val="both"/>
        <w:rPr>
          <w:rFonts w:ascii="Arial" w:hAnsi="Arial" w:cs="Arial"/>
          <w:sz w:val="22"/>
          <w:szCs w:val="22"/>
          <w:u w:val="single"/>
        </w:rPr>
      </w:pPr>
      <w:r w:rsidRPr="00642193">
        <w:rPr>
          <w:rFonts w:ascii="Arial" w:hAnsi="Arial" w:cs="Arial"/>
          <w:sz w:val="22"/>
          <w:szCs w:val="22"/>
          <w:u w:val="single"/>
        </w:rPr>
        <w:t>Heritage, Design and Impact upon the character and context of the area:</w:t>
      </w:r>
    </w:p>
    <w:p w14:paraId="0700FC6F" w14:textId="77777777" w:rsidR="007B7AE0" w:rsidRPr="00642193" w:rsidRDefault="007B7AE0" w:rsidP="007B7AE0">
      <w:pPr>
        <w:spacing w:after="0" w:line="276" w:lineRule="auto"/>
        <w:jc w:val="both"/>
        <w:rPr>
          <w:rFonts w:ascii="Arial" w:hAnsi="Arial" w:cs="Arial"/>
          <w:sz w:val="22"/>
          <w:szCs w:val="22"/>
        </w:rPr>
      </w:pPr>
      <w:r w:rsidRPr="00642193">
        <w:rPr>
          <w:rFonts w:ascii="Arial" w:hAnsi="Arial" w:cs="Arial"/>
          <w:sz w:val="22"/>
          <w:szCs w:val="22"/>
        </w:rPr>
        <w:t xml:space="preserve">From the point of view of the historic environment the main statutory tests are set out within the Planning (Listed Building and Conservation Areas) Act 1990. </w:t>
      </w:r>
    </w:p>
    <w:p w14:paraId="4BE0D85C" w14:textId="77777777" w:rsidR="007B7AE0" w:rsidRPr="00642193" w:rsidRDefault="007B7AE0" w:rsidP="007B7AE0">
      <w:pPr>
        <w:spacing w:after="0" w:line="276" w:lineRule="auto"/>
        <w:jc w:val="both"/>
        <w:rPr>
          <w:rFonts w:ascii="Arial" w:hAnsi="Arial" w:cs="Arial"/>
          <w:sz w:val="22"/>
          <w:szCs w:val="22"/>
        </w:rPr>
      </w:pPr>
    </w:p>
    <w:p w14:paraId="0BD91771" w14:textId="77777777" w:rsidR="007B7AE0" w:rsidRPr="00642193" w:rsidRDefault="007B7AE0" w:rsidP="007B7AE0">
      <w:pPr>
        <w:spacing w:after="0" w:line="276" w:lineRule="auto"/>
        <w:jc w:val="both"/>
        <w:rPr>
          <w:rFonts w:ascii="Arial" w:hAnsi="Arial" w:cs="Arial"/>
          <w:sz w:val="22"/>
          <w:szCs w:val="22"/>
        </w:rPr>
      </w:pPr>
      <w:r w:rsidRPr="00642193">
        <w:rPr>
          <w:rFonts w:ascii="Arial" w:hAnsi="Arial" w:cs="Arial"/>
          <w:sz w:val="22"/>
          <w:szCs w:val="22"/>
        </w:rPr>
        <w:lastRenderedPageBreak/>
        <w:t>Section 66 requires that special regard be given to the desirability of preserving listed buildings, their settings or any features of special architectural or historic interest which they possess.</w:t>
      </w:r>
    </w:p>
    <w:p w14:paraId="2265119C" w14:textId="77777777" w:rsidR="007B7AE0" w:rsidRPr="00642193" w:rsidRDefault="007B7AE0" w:rsidP="007B7AE0">
      <w:pPr>
        <w:spacing w:after="0" w:line="276" w:lineRule="auto"/>
        <w:jc w:val="both"/>
        <w:rPr>
          <w:rFonts w:ascii="Arial" w:hAnsi="Arial" w:cs="Arial"/>
          <w:sz w:val="22"/>
          <w:szCs w:val="22"/>
        </w:rPr>
      </w:pPr>
    </w:p>
    <w:p w14:paraId="26609D95" w14:textId="77777777" w:rsidR="007B7AE0" w:rsidRPr="00642193" w:rsidRDefault="007B7AE0" w:rsidP="007B7AE0">
      <w:pPr>
        <w:spacing w:after="0" w:line="276" w:lineRule="auto"/>
        <w:jc w:val="both"/>
        <w:rPr>
          <w:rFonts w:ascii="Arial" w:hAnsi="Arial" w:cs="Arial"/>
          <w:sz w:val="22"/>
          <w:szCs w:val="22"/>
        </w:rPr>
      </w:pPr>
      <w:r w:rsidRPr="00642193">
        <w:rPr>
          <w:rFonts w:ascii="Arial" w:hAnsi="Arial" w:cs="Arial"/>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38A11CD" w14:textId="77777777" w:rsidR="007B7AE0" w:rsidRPr="00642193" w:rsidRDefault="007B7AE0" w:rsidP="007B7AE0">
      <w:pPr>
        <w:spacing w:after="0" w:line="276" w:lineRule="auto"/>
        <w:jc w:val="both"/>
        <w:rPr>
          <w:rFonts w:ascii="Arial" w:hAnsi="Arial" w:cs="Arial"/>
          <w:sz w:val="22"/>
          <w:szCs w:val="22"/>
        </w:rPr>
      </w:pPr>
    </w:p>
    <w:p w14:paraId="42D9D9E9" w14:textId="77777777" w:rsidR="007B7AE0" w:rsidRPr="00642193" w:rsidRDefault="007B7AE0" w:rsidP="007B7AE0">
      <w:pPr>
        <w:spacing w:after="0" w:line="276" w:lineRule="auto"/>
        <w:jc w:val="both"/>
        <w:rPr>
          <w:rFonts w:ascii="Arial" w:hAnsi="Arial" w:cs="Arial"/>
          <w:sz w:val="22"/>
          <w:szCs w:val="22"/>
        </w:rPr>
      </w:pPr>
      <w:r w:rsidRPr="00642193">
        <w:rPr>
          <w:rFonts w:ascii="Arial" w:hAnsi="Arial" w:cs="Arial"/>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3A89A3D3" w14:textId="77777777" w:rsidR="007B7AE0" w:rsidRPr="00642193" w:rsidRDefault="007B7AE0" w:rsidP="007B7AE0">
      <w:pPr>
        <w:spacing w:after="0" w:line="276" w:lineRule="auto"/>
        <w:jc w:val="both"/>
        <w:rPr>
          <w:rFonts w:ascii="Arial" w:hAnsi="Arial" w:cs="Arial"/>
          <w:sz w:val="22"/>
          <w:szCs w:val="22"/>
        </w:rPr>
      </w:pPr>
    </w:p>
    <w:p w14:paraId="4D5EA9DF" w14:textId="77777777" w:rsidR="007B7AE0" w:rsidRPr="00974920" w:rsidRDefault="007B7AE0" w:rsidP="007B7AE0">
      <w:pPr>
        <w:spacing w:after="0" w:line="276" w:lineRule="auto"/>
        <w:jc w:val="both"/>
        <w:rPr>
          <w:rFonts w:ascii="Arial" w:hAnsi="Arial" w:cs="Arial"/>
          <w:sz w:val="22"/>
          <w:szCs w:val="22"/>
        </w:rPr>
      </w:pPr>
      <w:r w:rsidRPr="00642193">
        <w:rPr>
          <w:rFonts w:ascii="Arial" w:hAnsi="Arial" w:cs="Arial"/>
          <w:sz w:val="22"/>
          <w:szCs w:val="22"/>
        </w:rPr>
        <w:t>The NPPF outlines government policy for planning. Chapter 16 of the NPPF 'Conserving and enhancing the historic environment' sets out the Government's high-level policies concerning heritage and sustainable development.</w:t>
      </w:r>
    </w:p>
    <w:p w14:paraId="43A7B025" w14:textId="77777777" w:rsidR="007B7AE0" w:rsidRPr="00974920" w:rsidRDefault="007B7AE0" w:rsidP="007B7AE0">
      <w:pPr>
        <w:spacing w:after="0" w:line="276" w:lineRule="auto"/>
        <w:jc w:val="both"/>
        <w:rPr>
          <w:rFonts w:ascii="Arial" w:hAnsi="Arial" w:cs="Arial"/>
          <w:sz w:val="22"/>
          <w:szCs w:val="22"/>
        </w:rPr>
      </w:pPr>
    </w:p>
    <w:p w14:paraId="7E0B1466" w14:textId="797014A3" w:rsidR="00411A70" w:rsidRDefault="007B7AE0" w:rsidP="007B7AE0">
      <w:pPr>
        <w:spacing w:after="0" w:line="276" w:lineRule="auto"/>
        <w:jc w:val="both"/>
        <w:rPr>
          <w:rFonts w:ascii="Arial" w:hAnsi="Arial" w:cs="Arial"/>
          <w:sz w:val="22"/>
          <w:szCs w:val="22"/>
        </w:rPr>
      </w:pPr>
      <w:r w:rsidRPr="00642193">
        <w:rPr>
          <w:rFonts w:ascii="Arial" w:hAnsi="Arial" w:cs="Arial"/>
          <w:sz w:val="22"/>
          <w:szCs w:val="22"/>
        </w:rPr>
        <w:t>The host building</w:t>
      </w:r>
      <w:r w:rsidR="0011659B">
        <w:rPr>
          <w:rFonts w:ascii="Arial" w:hAnsi="Arial" w:cs="Arial"/>
          <w:sz w:val="22"/>
          <w:szCs w:val="22"/>
        </w:rPr>
        <w:t xml:space="preserve">, </w:t>
      </w:r>
      <w:r w:rsidR="0068695E">
        <w:rPr>
          <w:rFonts w:ascii="Arial" w:hAnsi="Arial" w:cs="Arial"/>
          <w:sz w:val="22"/>
          <w:szCs w:val="22"/>
        </w:rPr>
        <w:t xml:space="preserve">Rood Ashton Manor </w:t>
      </w:r>
      <w:r w:rsidR="0011659B">
        <w:rPr>
          <w:rFonts w:ascii="Arial" w:hAnsi="Arial" w:cs="Arial"/>
          <w:sz w:val="22"/>
          <w:szCs w:val="22"/>
        </w:rPr>
        <w:t>is G</w:t>
      </w:r>
      <w:r w:rsidR="00662503">
        <w:rPr>
          <w:rFonts w:ascii="Arial" w:hAnsi="Arial" w:cs="Arial"/>
          <w:sz w:val="22"/>
          <w:szCs w:val="22"/>
        </w:rPr>
        <w:t>ra</w:t>
      </w:r>
      <w:r w:rsidR="0011659B">
        <w:rPr>
          <w:rFonts w:ascii="Arial" w:hAnsi="Arial" w:cs="Arial"/>
          <w:sz w:val="22"/>
          <w:szCs w:val="22"/>
        </w:rPr>
        <w:t xml:space="preserve">de II listed as is the </w:t>
      </w:r>
      <w:r w:rsidR="00662503">
        <w:rPr>
          <w:rFonts w:ascii="Arial" w:hAnsi="Arial" w:cs="Arial"/>
          <w:sz w:val="22"/>
          <w:szCs w:val="22"/>
        </w:rPr>
        <w:t xml:space="preserve">Coach House located to the </w:t>
      </w:r>
      <w:r w:rsidR="00411A70">
        <w:rPr>
          <w:rFonts w:ascii="Arial" w:hAnsi="Arial" w:cs="Arial"/>
          <w:sz w:val="22"/>
          <w:szCs w:val="22"/>
        </w:rPr>
        <w:t>northeast</w:t>
      </w:r>
      <w:r w:rsidR="00662503">
        <w:rPr>
          <w:rFonts w:ascii="Arial" w:hAnsi="Arial" w:cs="Arial"/>
          <w:sz w:val="22"/>
          <w:szCs w:val="22"/>
        </w:rPr>
        <w:t xml:space="preserve"> of the application site</w:t>
      </w:r>
      <w:r w:rsidR="00411A70">
        <w:rPr>
          <w:rFonts w:ascii="Arial" w:hAnsi="Arial" w:cs="Arial"/>
          <w:sz w:val="22"/>
          <w:szCs w:val="22"/>
        </w:rPr>
        <w:t>, therefore due consideration must be given to whether any development would impact on the setting of these listed buildings.</w:t>
      </w:r>
    </w:p>
    <w:p w14:paraId="3833E884" w14:textId="77777777" w:rsidR="00411A70" w:rsidRDefault="00411A70" w:rsidP="007B7AE0">
      <w:pPr>
        <w:spacing w:after="0" w:line="276" w:lineRule="auto"/>
        <w:jc w:val="both"/>
        <w:rPr>
          <w:rFonts w:ascii="Arial" w:hAnsi="Arial" w:cs="Arial"/>
          <w:sz w:val="22"/>
          <w:szCs w:val="22"/>
        </w:rPr>
      </w:pPr>
    </w:p>
    <w:p w14:paraId="131D5702" w14:textId="2FEC6481" w:rsidR="007B7AE0" w:rsidRDefault="007B7AE0" w:rsidP="007B7AE0">
      <w:pPr>
        <w:spacing w:after="0" w:line="276" w:lineRule="auto"/>
        <w:jc w:val="both"/>
        <w:rPr>
          <w:rFonts w:ascii="Arial" w:hAnsi="Arial" w:cs="Arial"/>
          <w:sz w:val="22"/>
          <w:szCs w:val="22"/>
        </w:rPr>
      </w:pPr>
      <w:r w:rsidRPr="00974920">
        <w:rPr>
          <w:rFonts w:ascii="Arial" w:hAnsi="Arial" w:cs="Arial"/>
          <w:sz w:val="22"/>
          <w:szCs w:val="22"/>
        </w:rPr>
        <w:t xml:space="preserve">The proposal relates to </w:t>
      </w:r>
      <w:r w:rsidR="00662503">
        <w:rPr>
          <w:rFonts w:ascii="Arial" w:hAnsi="Arial" w:cs="Arial"/>
          <w:sz w:val="22"/>
          <w:szCs w:val="22"/>
        </w:rPr>
        <w:t xml:space="preserve">part </w:t>
      </w:r>
      <w:r w:rsidRPr="00974920">
        <w:rPr>
          <w:rFonts w:ascii="Arial" w:hAnsi="Arial" w:cs="Arial"/>
          <w:sz w:val="22"/>
          <w:szCs w:val="22"/>
        </w:rPr>
        <w:t xml:space="preserve">retrospective permission for limited development to the </w:t>
      </w:r>
      <w:r w:rsidR="00662503">
        <w:rPr>
          <w:rFonts w:ascii="Arial" w:hAnsi="Arial" w:cs="Arial"/>
          <w:sz w:val="22"/>
          <w:szCs w:val="22"/>
        </w:rPr>
        <w:t>eastern boundary of the host dwelling, Rood Ashton Manor</w:t>
      </w:r>
      <w:r w:rsidR="00411A70">
        <w:rPr>
          <w:rFonts w:ascii="Arial" w:hAnsi="Arial" w:cs="Arial"/>
          <w:sz w:val="22"/>
          <w:szCs w:val="22"/>
        </w:rPr>
        <w:t xml:space="preserve">, erecting a row of fence panels to the rear of an existing yew hedge. The </w:t>
      </w:r>
      <w:r w:rsidR="0098600D">
        <w:rPr>
          <w:rFonts w:ascii="Arial" w:hAnsi="Arial" w:cs="Arial"/>
          <w:sz w:val="22"/>
          <w:szCs w:val="22"/>
        </w:rPr>
        <w:t>fencing</w:t>
      </w:r>
      <w:r w:rsidR="00411A70">
        <w:rPr>
          <w:rFonts w:ascii="Arial" w:hAnsi="Arial" w:cs="Arial"/>
          <w:sz w:val="22"/>
          <w:szCs w:val="22"/>
        </w:rPr>
        <w:t xml:space="preserve"> </w:t>
      </w:r>
      <w:r w:rsidR="0098600D">
        <w:rPr>
          <w:rFonts w:ascii="Arial" w:hAnsi="Arial" w:cs="Arial"/>
          <w:sz w:val="22"/>
          <w:szCs w:val="22"/>
        </w:rPr>
        <w:t xml:space="preserve">would consist of untreated timber section panels (23 in total) stretching </w:t>
      </w:r>
      <w:r w:rsidR="0014592D">
        <w:rPr>
          <w:rFonts w:ascii="Arial" w:hAnsi="Arial" w:cs="Arial"/>
          <w:sz w:val="22"/>
          <w:szCs w:val="22"/>
        </w:rPr>
        <w:t xml:space="preserve">a distance of 40m </w:t>
      </w:r>
      <w:r w:rsidR="0098600D">
        <w:rPr>
          <w:rFonts w:ascii="Arial" w:hAnsi="Arial" w:cs="Arial"/>
          <w:sz w:val="22"/>
          <w:szCs w:val="22"/>
        </w:rPr>
        <w:t xml:space="preserve">along the </w:t>
      </w:r>
      <w:r w:rsidR="0096107D">
        <w:rPr>
          <w:rFonts w:ascii="Arial" w:hAnsi="Arial" w:cs="Arial"/>
          <w:sz w:val="22"/>
          <w:szCs w:val="22"/>
        </w:rPr>
        <w:t>boundary line, as illustrated by the blue line in the site plan below.</w:t>
      </w:r>
    </w:p>
    <w:p w14:paraId="6C993270" w14:textId="77777777" w:rsidR="0096107D" w:rsidRDefault="0096107D" w:rsidP="007B7AE0">
      <w:pPr>
        <w:spacing w:after="0" w:line="276" w:lineRule="auto"/>
        <w:jc w:val="both"/>
        <w:rPr>
          <w:rFonts w:ascii="Arial" w:hAnsi="Arial" w:cs="Arial"/>
          <w:sz w:val="22"/>
          <w:szCs w:val="22"/>
        </w:rPr>
      </w:pPr>
    </w:p>
    <w:p w14:paraId="0D0E04B7" w14:textId="77777777" w:rsidR="0096107D" w:rsidRDefault="0096107D" w:rsidP="007B7AE0">
      <w:pPr>
        <w:spacing w:after="0" w:line="276" w:lineRule="auto"/>
        <w:jc w:val="both"/>
        <w:rPr>
          <w:rFonts w:ascii="Arial" w:hAnsi="Arial" w:cs="Arial"/>
          <w:sz w:val="22"/>
          <w:szCs w:val="22"/>
        </w:rPr>
      </w:pPr>
    </w:p>
    <w:p w14:paraId="65C4BDA0" w14:textId="6020179D" w:rsidR="00B91A21" w:rsidRPr="00974920" w:rsidRDefault="00B91A21" w:rsidP="00B91A21">
      <w:pPr>
        <w:spacing w:after="0" w:line="276" w:lineRule="auto"/>
        <w:jc w:val="center"/>
        <w:rPr>
          <w:rFonts w:ascii="Arial" w:hAnsi="Arial" w:cs="Arial"/>
          <w:sz w:val="22"/>
          <w:szCs w:val="22"/>
        </w:rPr>
      </w:pPr>
      <w:r w:rsidRPr="00B91A21">
        <w:rPr>
          <w:rFonts w:ascii="Arial" w:hAnsi="Arial" w:cs="Arial"/>
          <w:noProof/>
          <w:sz w:val="22"/>
          <w:szCs w:val="22"/>
        </w:rPr>
        <w:drawing>
          <wp:inline distT="0" distB="0" distL="0" distR="0" wp14:anchorId="4A36C936" wp14:editId="627F26D3">
            <wp:extent cx="3236180" cy="2484624"/>
            <wp:effectExtent l="0" t="0" r="2540" b="0"/>
            <wp:docPr id="1062112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112461" name=""/>
                    <pic:cNvPicPr/>
                  </pic:nvPicPr>
                  <pic:blipFill>
                    <a:blip r:embed="rId8"/>
                    <a:stretch>
                      <a:fillRect/>
                    </a:stretch>
                  </pic:blipFill>
                  <pic:spPr>
                    <a:xfrm>
                      <a:off x="0" y="0"/>
                      <a:ext cx="3246800" cy="2492778"/>
                    </a:xfrm>
                    <a:prstGeom prst="rect">
                      <a:avLst/>
                    </a:prstGeom>
                  </pic:spPr>
                </pic:pic>
              </a:graphicData>
            </a:graphic>
          </wp:inline>
        </w:drawing>
      </w:r>
    </w:p>
    <w:p w14:paraId="5408A927" w14:textId="77777777" w:rsidR="00657683" w:rsidRDefault="0096107D" w:rsidP="007B7AE0">
      <w:pPr>
        <w:spacing w:after="0" w:line="276" w:lineRule="auto"/>
        <w:jc w:val="both"/>
        <w:rPr>
          <w:rFonts w:ascii="Arial" w:hAnsi="Arial" w:cs="Arial"/>
          <w:sz w:val="22"/>
          <w:szCs w:val="22"/>
        </w:rPr>
      </w:pPr>
      <w:r w:rsidRPr="00971142">
        <w:rPr>
          <w:rFonts w:ascii="Arial" w:hAnsi="Arial" w:cs="Arial"/>
          <w:sz w:val="22"/>
          <w:szCs w:val="22"/>
        </w:rPr>
        <w:lastRenderedPageBreak/>
        <w:t xml:space="preserve">The panels have been erected to provide </w:t>
      </w:r>
      <w:r w:rsidR="009506EC" w:rsidRPr="00971142">
        <w:rPr>
          <w:rFonts w:ascii="Arial" w:hAnsi="Arial" w:cs="Arial"/>
          <w:sz w:val="22"/>
          <w:szCs w:val="22"/>
        </w:rPr>
        <w:t xml:space="preserve">privacy screening for the applicants and their family members following the removal of any existing hedgerow from the </w:t>
      </w:r>
      <w:r w:rsidR="00971142" w:rsidRPr="00971142">
        <w:rPr>
          <w:rFonts w:ascii="Arial" w:hAnsi="Arial" w:cs="Arial"/>
          <w:sz w:val="22"/>
          <w:szCs w:val="22"/>
        </w:rPr>
        <w:t xml:space="preserve">boundary of the neighbouring property, which has resulted in open areas of </w:t>
      </w:r>
      <w:r w:rsidR="00C11780">
        <w:rPr>
          <w:rFonts w:ascii="Arial" w:hAnsi="Arial" w:cs="Arial"/>
          <w:sz w:val="22"/>
          <w:szCs w:val="22"/>
        </w:rPr>
        <w:t>the applicants existing yew hedging.</w:t>
      </w:r>
      <w:r w:rsidR="00013CC4">
        <w:rPr>
          <w:rFonts w:ascii="Arial" w:hAnsi="Arial" w:cs="Arial"/>
          <w:sz w:val="22"/>
          <w:szCs w:val="22"/>
        </w:rPr>
        <w:t xml:space="preserve"> </w:t>
      </w:r>
    </w:p>
    <w:p w14:paraId="30F77551" w14:textId="77777777" w:rsidR="00657683" w:rsidRDefault="00657683" w:rsidP="007B7AE0">
      <w:pPr>
        <w:spacing w:after="0" w:line="276" w:lineRule="auto"/>
        <w:jc w:val="both"/>
        <w:rPr>
          <w:rFonts w:ascii="Arial" w:hAnsi="Arial" w:cs="Arial"/>
          <w:sz w:val="22"/>
          <w:szCs w:val="22"/>
        </w:rPr>
      </w:pPr>
    </w:p>
    <w:p w14:paraId="2744E31F" w14:textId="6B4E2BE9" w:rsidR="0014592D" w:rsidRDefault="00C11780" w:rsidP="007B7AE0">
      <w:pPr>
        <w:spacing w:after="0" w:line="276" w:lineRule="auto"/>
        <w:jc w:val="both"/>
        <w:rPr>
          <w:rFonts w:ascii="Arial" w:hAnsi="Arial" w:cs="Arial"/>
          <w:sz w:val="22"/>
          <w:szCs w:val="22"/>
        </w:rPr>
      </w:pPr>
      <w:r>
        <w:rPr>
          <w:rFonts w:ascii="Arial" w:hAnsi="Arial" w:cs="Arial"/>
          <w:sz w:val="22"/>
          <w:szCs w:val="22"/>
        </w:rPr>
        <w:t>The panels would sit behind the existing yew hedge to provide screening until the yew hedge matures</w:t>
      </w:r>
      <w:r w:rsidR="00520EA5">
        <w:rPr>
          <w:rFonts w:ascii="Arial" w:hAnsi="Arial" w:cs="Arial"/>
          <w:sz w:val="22"/>
          <w:szCs w:val="22"/>
        </w:rPr>
        <w:t xml:space="preserve">. </w:t>
      </w:r>
      <w:r w:rsidR="00B9256E">
        <w:rPr>
          <w:rFonts w:ascii="Arial" w:hAnsi="Arial" w:cs="Arial"/>
          <w:sz w:val="22"/>
          <w:szCs w:val="22"/>
        </w:rPr>
        <w:t>The panels would be left untreated to allow them to weather down over time to integrate into the natural setting of the landscaping within the boundary line.</w:t>
      </w:r>
    </w:p>
    <w:p w14:paraId="59A6454A" w14:textId="77777777" w:rsidR="00741B57" w:rsidRDefault="00741B57" w:rsidP="007B7AE0">
      <w:pPr>
        <w:spacing w:after="0" w:line="276" w:lineRule="auto"/>
        <w:jc w:val="both"/>
        <w:rPr>
          <w:rFonts w:ascii="Arial" w:hAnsi="Arial" w:cs="Arial"/>
          <w:sz w:val="22"/>
          <w:szCs w:val="22"/>
        </w:rPr>
      </w:pPr>
    </w:p>
    <w:p w14:paraId="5E2BD784" w14:textId="231B090E" w:rsidR="007A47F8" w:rsidRDefault="007A47F8" w:rsidP="007B7AE0">
      <w:pPr>
        <w:spacing w:after="0" w:line="276" w:lineRule="auto"/>
        <w:jc w:val="both"/>
        <w:rPr>
          <w:rFonts w:ascii="Arial" w:hAnsi="Arial" w:cs="Arial"/>
          <w:sz w:val="22"/>
          <w:szCs w:val="22"/>
        </w:rPr>
      </w:pPr>
      <w:r w:rsidRPr="007A47F8">
        <w:rPr>
          <w:rFonts w:ascii="Arial" w:hAnsi="Arial" w:cs="Arial"/>
          <w:noProof/>
          <w:sz w:val="22"/>
          <w:szCs w:val="22"/>
        </w:rPr>
        <w:drawing>
          <wp:inline distT="0" distB="0" distL="0" distR="0" wp14:anchorId="602BF5C2" wp14:editId="18253DAB">
            <wp:extent cx="2830664" cy="1698398"/>
            <wp:effectExtent l="0" t="0" r="8255" b="0"/>
            <wp:docPr id="1082473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473673" name=""/>
                    <pic:cNvPicPr/>
                  </pic:nvPicPr>
                  <pic:blipFill>
                    <a:blip r:embed="rId9"/>
                    <a:stretch>
                      <a:fillRect/>
                    </a:stretch>
                  </pic:blipFill>
                  <pic:spPr>
                    <a:xfrm>
                      <a:off x="0" y="0"/>
                      <a:ext cx="2836807" cy="1702084"/>
                    </a:xfrm>
                    <a:prstGeom prst="rect">
                      <a:avLst/>
                    </a:prstGeom>
                  </pic:spPr>
                </pic:pic>
              </a:graphicData>
            </a:graphic>
          </wp:inline>
        </w:drawing>
      </w:r>
      <w:r w:rsidR="00741B57">
        <w:rPr>
          <w:rFonts w:ascii="Arial" w:hAnsi="Arial" w:cs="Arial"/>
          <w:sz w:val="22"/>
          <w:szCs w:val="22"/>
        </w:rPr>
        <w:t xml:space="preserve"> </w:t>
      </w:r>
      <w:r w:rsidR="00741B57" w:rsidRPr="00741B57">
        <w:rPr>
          <w:rFonts w:ascii="Arial" w:hAnsi="Arial" w:cs="Arial"/>
          <w:noProof/>
          <w:sz w:val="22"/>
          <w:szCs w:val="22"/>
        </w:rPr>
        <w:drawing>
          <wp:inline distT="0" distB="0" distL="0" distR="0" wp14:anchorId="5F372019" wp14:editId="4BA6CFC7">
            <wp:extent cx="2775005" cy="1694660"/>
            <wp:effectExtent l="0" t="0" r="6350" b="1270"/>
            <wp:docPr id="627997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997723" name=""/>
                    <pic:cNvPicPr/>
                  </pic:nvPicPr>
                  <pic:blipFill>
                    <a:blip r:embed="rId10"/>
                    <a:stretch>
                      <a:fillRect/>
                    </a:stretch>
                  </pic:blipFill>
                  <pic:spPr>
                    <a:xfrm>
                      <a:off x="0" y="0"/>
                      <a:ext cx="2780525" cy="1698031"/>
                    </a:xfrm>
                    <a:prstGeom prst="rect">
                      <a:avLst/>
                    </a:prstGeom>
                  </pic:spPr>
                </pic:pic>
              </a:graphicData>
            </a:graphic>
          </wp:inline>
        </w:drawing>
      </w:r>
    </w:p>
    <w:p w14:paraId="56078194" w14:textId="244970B4" w:rsidR="00F937AC" w:rsidRPr="00106EDA" w:rsidRDefault="00F937AC" w:rsidP="00106EDA">
      <w:pPr>
        <w:spacing w:after="0" w:line="276" w:lineRule="auto"/>
        <w:jc w:val="center"/>
        <w:rPr>
          <w:rFonts w:ascii="Arial" w:hAnsi="Arial" w:cs="Arial"/>
          <w:i/>
          <w:iCs/>
          <w:sz w:val="22"/>
          <w:szCs w:val="22"/>
        </w:rPr>
      </w:pPr>
      <w:r w:rsidRPr="00106EDA">
        <w:rPr>
          <w:rFonts w:ascii="Arial" w:hAnsi="Arial" w:cs="Arial"/>
          <w:i/>
          <w:iCs/>
          <w:sz w:val="22"/>
          <w:szCs w:val="22"/>
        </w:rPr>
        <w:t>Site visit</w:t>
      </w:r>
      <w:r w:rsidR="00106EDA" w:rsidRPr="00106EDA">
        <w:rPr>
          <w:rFonts w:ascii="Arial" w:hAnsi="Arial" w:cs="Arial"/>
          <w:i/>
          <w:iCs/>
          <w:sz w:val="22"/>
          <w:szCs w:val="22"/>
        </w:rPr>
        <w:t xml:space="preserve"> photos illustrating some of the fencing in situ</w:t>
      </w:r>
    </w:p>
    <w:p w14:paraId="2BF8AF9A" w14:textId="77777777" w:rsidR="00E1419E" w:rsidRDefault="00E1419E" w:rsidP="007B7AE0">
      <w:pPr>
        <w:spacing w:after="0" w:line="276" w:lineRule="auto"/>
        <w:jc w:val="both"/>
        <w:rPr>
          <w:rFonts w:ascii="Arial" w:hAnsi="Arial" w:cs="Arial"/>
          <w:sz w:val="22"/>
          <w:szCs w:val="22"/>
        </w:rPr>
      </w:pPr>
    </w:p>
    <w:p w14:paraId="58775A40" w14:textId="77777777" w:rsidR="00106EDA" w:rsidRDefault="00106EDA" w:rsidP="00106EDA">
      <w:pPr>
        <w:spacing w:after="0" w:line="276" w:lineRule="auto"/>
        <w:jc w:val="both"/>
        <w:rPr>
          <w:rFonts w:ascii="Arial" w:hAnsi="Arial" w:cs="Arial"/>
          <w:sz w:val="22"/>
          <w:szCs w:val="22"/>
        </w:rPr>
      </w:pPr>
      <w:r>
        <w:rPr>
          <w:rFonts w:ascii="Arial" w:hAnsi="Arial" w:cs="Arial"/>
          <w:sz w:val="22"/>
          <w:szCs w:val="22"/>
        </w:rPr>
        <w:t>A neighbouring occupier has objected to the scheme on the grounds that the panels would be of a poor quality and would not be in keeping with existing boundary fencing within other areas of the application site, and this is duly noted.</w:t>
      </w:r>
    </w:p>
    <w:p w14:paraId="31D1204F" w14:textId="77777777" w:rsidR="0014592D" w:rsidRDefault="0014592D" w:rsidP="007B7AE0">
      <w:pPr>
        <w:spacing w:after="0" w:line="276" w:lineRule="auto"/>
        <w:jc w:val="both"/>
        <w:rPr>
          <w:rFonts w:ascii="Arial" w:hAnsi="Arial" w:cs="Arial"/>
          <w:sz w:val="22"/>
          <w:szCs w:val="22"/>
        </w:rPr>
      </w:pPr>
    </w:p>
    <w:p w14:paraId="00770B65" w14:textId="4FE225CE" w:rsidR="00077A27" w:rsidRDefault="00E1419E" w:rsidP="007B7AE0">
      <w:pPr>
        <w:spacing w:after="0" w:line="276" w:lineRule="auto"/>
        <w:jc w:val="both"/>
        <w:rPr>
          <w:rFonts w:ascii="Arial" w:hAnsi="Arial" w:cs="Arial"/>
          <w:sz w:val="22"/>
          <w:szCs w:val="22"/>
        </w:rPr>
      </w:pPr>
      <w:r>
        <w:rPr>
          <w:rFonts w:ascii="Arial" w:hAnsi="Arial" w:cs="Arial"/>
          <w:sz w:val="22"/>
          <w:szCs w:val="22"/>
        </w:rPr>
        <w:t>However</w:t>
      </w:r>
      <w:r w:rsidR="00FC1B49">
        <w:rPr>
          <w:rFonts w:ascii="Arial" w:hAnsi="Arial" w:cs="Arial"/>
          <w:sz w:val="22"/>
          <w:szCs w:val="22"/>
        </w:rPr>
        <w:t>, the panels would not be readily visible from either the residential curtilage of the host dwelling,</w:t>
      </w:r>
      <w:r w:rsidR="00B9256E">
        <w:rPr>
          <w:rFonts w:ascii="Arial" w:hAnsi="Arial" w:cs="Arial"/>
          <w:sz w:val="22"/>
          <w:szCs w:val="22"/>
        </w:rPr>
        <w:t xml:space="preserve"> once the existing yew hedge has established, or </w:t>
      </w:r>
      <w:r w:rsidR="00E55C30">
        <w:rPr>
          <w:rFonts w:ascii="Arial" w:hAnsi="Arial" w:cs="Arial"/>
          <w:sz w:val="22"/>
          <w:szCs w:val="22"/>
        </w:rPr>
        <w:t xml:space="preserve">the rear elevation of the neighbouring property given the </w:t>
      </w:r>
      <w:r w:rsidR="00196447">
        <w:rPr>
          <w:rFonts w:ascii="Arial" w:hAnsi="Arial" w:cs="Arial"/>
          <w:sz w:val="22"/>
          <w:szCs w:val="22"/>
        </w:rPr>
        <w:t xml:space="preserve">existing mature trees and soft landscaping within the adjacent </w:t>
      </w:r>
      <w:r w:rsidR="00E55C30">
        <w:rPr>
          <w:rFonts w:ascii="Arial" w:hAnsi="Arial" w:cs="Arial"/>
          <w:sz w:val="22"/>
          <w:szCs w:val="22"/>
        </w:rPr>
        <w:t>residential curtilage</w:t>
      </w:r>
      <w:r w:rsidR="00196447">
        <w:rPr>
          <w:rFonts w:ascii="Arial" w:hAnsi="Arial" w:cs="Arial"/>
          <w:sz w:val="22"/>
          <w:szCs w:val="22"/>
        </w:rPr>
        <w:t xml:space="preserve">. </w:t>
      </w:r>
      <w:r w:rsidR="00186D78">
        <w:rPr>
          <w:rFonts w:ascii="Arial" w:hAnsi="Arial" w:cs="Arial"/>
          <w:sz w:val="22"/>
          <w:szCs w:val="22"/>
        </w:rPr>
        <w:t>Similarly,</w:t>
      </w:r>
      <w:r w:rsidR="00196447">
        <w:rPr>
          <w:rFonts w:ascii="Arial" w:hAnsi="Arial" w:cs="Arial"/>
          <w:sz w:val="22"/>
          <w:szCs w:val="22"/>
        </w:rPr>
        <w:t xml:space="preserve"> the panels would not be visible from the </w:t>
      </w:r>
      <w:r w:rsidR="000C4A57">
        <w:rPr>
          <w:rFonts w:ascii="Arial" w:hAnsi="Arial" w:cs="Arial"/>
          <w:sz w:val="22"/>
          <w:szCs w:val="22"/>
        </w:rPr>
        <w:t xml:space="preserve">public footpath to the </w:t>
      </w:r>
      <w:r w:rsidR="00186D78">
        <w:rPr>
          <w:rFonts w:ascii="Arial" w:hAnsi="Arial" w:cs="Arial"/>
          <w:sz w:val="22"/>
          <w:szCs w:val="22"/>
        </w:rPr>
        <w:t>south and east of the host dwelling as the path is located some 200m away.</w:t>
      </w:r>
      <w:r w:rsidR="00B9256E">
        <w:rPr>
          <w:rFonts w:ascii="Arial" w:hAnsi="Arial" w:cs="Arial"/>
          <w:sz w:val="22"/>
          <w:szCs w:val="22"/>
        </w:rPr>
        <w:t xml:space="preserve"> </w:t>
      </w:r>
    </w:p>
    <w:p w14:paraId="240A2486" w14:textId="77777777" w:rsidR="00186D78" w:rsidRDefault="00186D78" w:rsidP="007B7AE0">
      <w:pPr>
        <w:spacing w:after="0" w:line="276" w:lineRule="auto"/>
        <w:jc w:val="both"/>
        <w:rPr>
          <w:rFonts w:ascii="Arial" w:hAnsi="Arial" w:cs="Arial"/>
          <w:sz w:val="22"/>
          <w:szCs w:val="22"/>
        </w:rPr>
      </w:pPr>
    </w:p>
    <w:p w14:paraId="79439412" w14:textId="67F68B3D" w:rsidR="00186D78" w:rsidRDefault="00186D78" w:rsidP="007B7AE0">
      <w:pPr>
        <w:spacing w:after="0" w:line="276" w:lineRule="auto"/>
        <w:jc w:val="both"/>
        <w:rPr>
          <w:rFonts w:ascii="Arial" w:hAnsi="Arial" w:cs="Arial"/>
          <w:sz w:val="22"/>
          <w:szCs w:val="22"/>
        </w:rPr>
      </w:pPr>
      <w:r>
        <w:rPr>
          <w:rFonts w:ascii="Arial" w:hAnsi="Arial" w:cs="Arial"/>
          <w:sz w:val="22"/>
          <w:szCs w:val="22"/>
        </w:rPr>
        <w:t xml:space="preserve">The neighbour has also queried whether the fence panels could be erected without any </w:t>
      </w:r>
      <w:r w:rsidR="00DA6F2E">
        <w:rPr>
          <w:rFonts w:ascii="Arial" w:hAnsi="Arial" w:cs="Arial"/>
          <w:sz w:val="22"/>
          <w:szCs w:val="22"/>
        </w:rPr>
        <w:t xml:space="preserve">adverse impacts on the existing mature tress that line the eastern boundary of the host dwelling. </w:t>
      </w:r>
      <w:r w:rsidR="00D70D49">
        <w:rPr>
          <w:rFonts w:ascii="Arial" w:hAnsi="Arial" w:cs="Arial"/>
          <w:sz w:val="22"/>
          <w:szCs w:val="22"/>
        </w:rPr>
        <w:t>However,</w:t>
      </w:r>
      <w:r w:rsidR="0084306F">
        <w:rPr>
          <w:rFonts w:ascii="Arial" w:hAnsi="Arial" w:cs="Arial"/>
          <w:sz w:val="22"/>
          <w:szCs w:val="22"/>
        </w:rPr>
        <w:t xml:space="preserve"> officers have observed</w:t>
      </w:r>
      <w:r w:rsidR="00D70D49">
        <w:rPr>
          <w:rFonts w:ascii="Arial" w:hAnsi="Arial" w:cs="Arial"/>
          <w:sz w:val="22"/>
          <w:szCs w:val="22"/>
        </w:rPr>
        <w:t xml:space="preserve"> on site</w:t>
      </w:r>
      <w:r w:rsidR="0084306F">
        <w:rPr>
          <w:rFonts w:ascii="Arial" w:hAnsi="Arial" w:cs="Arial"/>
          <w:sz w:val="22"/>
          <w:szCs w:val="22"/>
        </w:rPr>
        <w:t xml:space="preserve"> </w:t>
      </w:r>
      <w:r w:rsidR="00DA6F2E">
        <w:rPr>
          <w:rFonts w:ascii="Arial" w:hAnsi="Arial" w:cs="Arial"/>
          <w:sz w:val="22"/>
          <w:szCs w:val="22"/>
        </w:rPr>
        <w:t xml:space="preserve">that due to the </w:t>
      </w:r>
      <w:r w:rsidR="00425F8E">
        <w:rPr>
          <w:rFonts w:ascii="Arial" w:hAnsi="Arial" w:cs="Arial"/>
          <w:sz w:val="22"/>
          <w:szCs w:val="22"/>
        </w:rPr>
        <w:t>lightweight</w:t>
      </w:r>
      <w:r w:rsidR="00881728">
        <w:rPr>
          <w:rFonts w:ascii="Arial" w:hAnsi="Arial" w:cs="Arial"/>
          <w:sz w:val="22"/>
          <w:szCs w:val="22"/>
        </w:rPr>
        <w:t xml:space="preserve"> nature of the panels, that only limited ground works would be required to </w:t>
      </w:r>
      <w:r w:rsidR="0084306F">
        <w:rPr>
          <w:rFonts w:ascii="Arial" w:hAnsi="Arial" w:cs="Arial"/>
          <w:sz w:val="22"/>
          <w:szCs w:val="22"/>
        </w:rPr>
        <w:t>erect the fence posts</w:t>
      </w:r>
      <w:r w:rsidR="00746EC2">
        <w:rPr>
          <w:rFonts w:ascii="Arial" w:hAnsi="Arial" w:cs="Arial"/>
          <w:sz w:val="22"/>
          <w:szCs w:val="22"/>
        </w:rPr>
        <w:t xml:space="preserve"> at set points along the boundary, </w:t>
      </w:r>
      <w:r w:rsidR="0084306F">
        <w:rPr>
          <w:rFonts w:ascii="Arial" w:hAnsi="Arial" w:cs="Arial"/>
          <w:sz w:val="22"/>
          <w:szCs w:val="22"/>
        </w:rPr>
        <w:t xml:space="preserve">which </w:t>
      </w:r>
      <w:r w:rsidR="008E19A9">
        <w:rPr>
          <w:rFonts w:ascii="Arial" w:hAnsi="Arial" w:cs="Arial"/>
          <w:sz w:val="22"/>
          <w:szCs w:val="22"/>
        </w:rPr>
        <w:t>would be set back from the root system of the existing mature trees</w:t>
      </w:r>
      <w:r w:rsidR="00077A27">
        <w:rPr>
          <w:rFonts w:ascii="Arial" w:hAnsi="Arial" w:cs="Arial"/>
          <w:sz w:val="22"/>
          <w:szCs w:val="22"/>
        </w:rPr>
        <w:t>.</w:t>
      </w:r>
      <w:r w:rsidR="00D70D49">
        <w:rPr>
          <w:rFonts w:ascii="Arial" w:hAnsi="Arial" w:cs="Arial"/>
          <w:sz w:val="22"/>
          <w:szCs w:val="22"/>
        </w:rPr>
        <w:t xml:space="preserve"> </w:t>
      </w:r>
    </w:p>
    <w:p w14:paraId="114C250A" w14:textId="77777777" w:rsidR="00D70D49" w:rsidRDefault="00D70D49" w:rsidP="007B7AE0">
      <w:pPr>
        <w:spacing w:after="0" w:line="276" w:lineRule="auto"/>
        <w:jc w:val="both"/>
        <w:rPr>
          <w:rFonts w:ascii="Arial" w:hAnsi="Arial" w:cs="Arial"/>
          <w:sz w:val="22"/>
          <w:szCs w:val="22"/>
        </w:rPr>
      </w:pPr>
    </w:p>
    <w:p w14:paraId="7BC45933" w14:textId="75760FE6" w:rsidR="007B7AE0" w:rsidRDefault="00B9256E" w:rsidP="007B7AE0">
      <w:pPr>
        <w:spacing w:after="0" w:line="276" w:lineRule="auto"/>
        <w:jc w:val="both"/>
        <w:rPr>
          <w:rFonts w:ascii="Arial" w:hAnsi="Arial" w:cs="Arial"/>
          <w:sz w:val="22"/>
          <w:szCs w:val="22"/>
        </w:rPr>
      </w:pPr>
      <w:r>
        <w:rPr>
          <w:rFonts w:ascii="Arial" w:hAnsi="Arial" w:cs="Arial"/>
          <w:sz w:val="22"/>
          <w:szCs w:val="22"/>
        </w:rPr>
        <w:t>Given the limited scale of the works,</w:t>
      </w:r>
      <w:r w:rsidR="00FD138B">
        <w:rPr>
          <w:rFonts w:ascii="Arial" w:hAnsi="Arial" w:cs="Arial"/>
          <w:sz w:val="22"/>
          <w:szCs w:val="22"/>
        </w:rPr>
        <w:t xml:space="preserve"> </w:t>
      </w:r>
      <w:r w:rsidR="00A41502">
        <w:rPr>
          <w:rFonts w:ascii="Arial" w:hAnsi="Arial" w:cs="Arial"/>
          <w:sz w:val="22"/>
          <w:szCs w:val="22"/>
        </w:rPr>
        <w:t>set within the built envelope of the application site</w:t>
      </w:r>
      <w:r w:rsidR="00FD138B">
        <w:rPr>
          <w:rFonts w:ascii="Arial" w:hAnsi="Arial" w:cs="Arial"/>
          <w:sz w:val="22"/>
          <w:szCs w:val="22"/>
        </w:rPr>
        <w:t>, screened from view by existing mature soft landscaping, and</w:t>
      </w:r>
      <w:r>
        <w:rPr>
          <w:rFonts w:ascii="Arial" w:hAnsi="Arial" w:cs="Arial"/>
          <w:sz w:val="22"/>
          <w:szCs w:val="22"/>
        </w:rPr>
        <w:t xml:space="preserve"> </w:t>
      </w:r>
      <w:r w:rsidR="00A41502">
        <w:rPr>
          <w:rFonts w:ascii="Arial" w:hAnsi="Arial" w:cs="Arial"/>
          <w:sz w:val="22"/>
          <w:szCs w:val="22"/>
        </w:rPr>
        <w:t>separation distances to the listed buildings</w:t>
      </w:r>
      <w:r w:rsidR="00FD138B">
        <w:rPr>
          <w:rFonts w:ascii="Arial" w:hAnsi="Arial" w:cs="Arial"/>
          <w:sz w:val="22"/>
          <w:szCs w:val="22"/>
        </w:rPr>
        <w:t>,</w:t>
      </w:r>
      <w:r w:rsidR="00A41502">
        <w:rPr>
          <w:rFonts w:ascii="Arial" w:hAnsi="Arial" w:cs="Arial"/>
          <w:sz w:val="22"/>
          <w:szCs w:val="22"/>
        </w:rPr>
        <w:t xml:space="preserve"> o</w:t>
      </w:r>
      <w:r w:rsidR="007B7AE0" w:rsidRPr="00642193">
        <w:rPr>
          <w:rFonts w:ascii="Arial" w:hAnsi="Arial" w:cs="Arial"/>
          <w:sz w:val="22"/>
          <w:szCs w:val="22"/>
        </w:rPr>
        <w:t>fficers are of the opinion that the proposal would not result in harm to the significance of any heritage assets</w:t>
      </w:r>
      <w:r w:rsidR="00321B81">
        <w:rPr>
          <w:rFonts w:ascii="Arial" w:hAnsi="Arial" w:cs="Arial"/>
          <w:sz w:val="22"/>
          <w:szCs w:val="22"/>
        </w:rPr>
        <w:t>.</w:t>
      </w:r>
    </w:p>
    <w:p w14:paraId="1093208E" w14:textId="77777777" w:rsidR="00321B81" w:rsidRDefault="00321B81" w:rsidP="007B7AE0">
      <w:pPr>
        <w:spacing w:after="0" w:line="276" w:lineRule="auto"/>
        <w:jc w:val="both"/>
        <w:rPr>
          <w:rFonts w:ascii="Arial" w:hAnsi="Arial" w:cs="Arial"/>
          <w:sz w:val="22"/>
          <w:szCs w:val="22"/>
        </w:rPr>
      </w:pPr>
    </w:p>
    <w:p w14:paraId="369EFD7A" w14:textId="77777777" w:rsidR="007B7AE0" w:rsidRPr="00642193" w:rsidRDefault="007B7AE0" w:rsidP="007B7AE0">
      <w:pPr>
        <w:spacing w:after="0" w:line="276" w:lineRule="auto"/>
        <w:jc w:val="both"/>
        <w:rPr>
          <w:rFonts w:ascii="Arial" w:hAnsi="Arial" w:cs="Arial"/>
          <w:sz w:val="22"/>
          <w:szCs w:val="22"/>
        </w:rPr>
      </w:pPr>
      <w:r w:rsidRPr="00642193">
        <w:rPr>
          <w:rFonts w:ascii="Arial" w:hAnsi="Arial" w:cs="Arial"/>
          <w:sz w:val="22"/>
          <w:szCs w:val="22"/>
        </w:rPr>
        <w:t>The development is therefore considered to comply with Core Policy 57 and 58 of the Wiltshire Core Strategy and Sections 66 and 72 of the Planning (Listed Buildings and Conservation Areas) Act 1990, as well as the relevant provisions of the NPPF and the Wiltshire Design Guide.</w:t>
      </w:r>
    </w:p>
    <w:p w14:paraId="2E12F524" w14:textId="77777777" w:rsidR="00A050F1" w:rsidRDefault="00A050F1" w:rsidP="00A050F1">
      <w:pPr>
        <w:spacing w:after="0" w:line="276" w:lineRule="auto"/>
        <w:jc w:val="both"/>
        <w:rPr>
          <w:rFonts w:ascii="Arial" w:hAnsi="Arial" w:cs="Arial"/>
          <w:b/>
          <w:bCs/>
          <w:i/>
          <w:iCs/>
          <w:color w:val="FF0000"/>
          <w:sz w:val="22"/>
          <w:szCs w:val="22"/>
        </w:rPr>
      </w:pPr>
    </w:p>
    <w:p w14:paraId="3F476DEC" w14:textId="77777777" w:rsidR="00CC25E4"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15F2BB78" w14:textId="57B1138A" w:rsidR="00450181" w:rsidRPr="00CC25E4" w:rsidRDefault="00450181" w:rsidP="00A050F1">
      <w:pPr>
        <w:spacing w:after="0" w:line="276" w:lineRule="auto"/>
        <w:jc w:val="both"/>
        <w:rPr>
          <w:rFonts w:ascii="Arial" w:hAnsi="Arial" w:cs="Arial"/>
          <w:color w:val="000000" w:themeColor="text1"/>
          <w:sz w:val="22"/>
          <w:szCs w:val="22"/>
          <w:u w:val="single"/>
        </w:rPr>
      </w:pPr>
      <w:r>
        <w:rPr>
          <w:rFonts w:ascii="Arial" w:eastAsia="Times New Roman" w:hAnsi="Arial" w:cs="Arial"/>
          <w:kern w:val="0"/>
          <w:sz w:val="22"/>
          <w:szCs w:val="22"/>
          <w:lang w:eastAsia="en-GB"/>
          <w14:ligatures w14:val="none"/>
        </w:rPr>
        <w:lastRenderedPageBreak/>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C0EB048" w14:textId="77777777" w:rsidR="00393433" w:rsidRDefault="00393433" w:rsidP="00A050F1">
      <w:pPr>
        <w:spacing w:after="0" w:line="276" w:lineRule="auto"/>
        <w:jc w:val="both"/>
        <w:rPr>
          <w:rFonts w:ascii="Arial" w:hAnsi="Arial" w:cs="Arial"/>
          <w:color w:val="000000" w:themeColor="text1"/>
          <w:sz w:val="22"/>
          <w:szCs w:val="22"/>
        </w:rPr>
      </w:pPr>
    </w:p>
    <w:p w14:paraId="7A8D6AC8"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E467671" w14:textId="77777777" w:rsidR="00400FB2" w:rsidRDefault="00400FB2" w:rsidP="00A050F1">
      <w:pPr>
        <w:spacing w:after="0" w:line="276" w:lineRule="auto"/>
        <w:jc w:val="both"/>
        <w:rPr>
          <w:rFonts w:ascii="Arial" w:hAnsi="Arial" w:cs="Arial"/>
          <w:color w:val="000000" w:themeColor="text1"/>
          <w:sz w:val="22"/>
          <w:szCs w:val="22"/>
        </w:rPr>
      </w:pPr>
    </w:p>
    <w:p w14:paraId="103A833A"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2FC9080F" w14:textId="77777777" w:rsidR="00DB13C3" w:rsidRDefault="00DB13C3" w:rsidP="00DB13C3">
      <w:pPr>
        <w:spacing w:after="0" w:line="276" w:lineRule="auto"/>
        <w:jc w:val="both"/>
        <w:rPr>
          <w:rFonts w:ascii="Arial" w:hAnsi="Arial" w:cs="Arial"/>
          <w:i/>
          <w:iCs/>
          <w:color w:val="000000" w:themeColor="text1"/>
          <w:sz w:val="22"/>
          <w:szCs w:val="22"/>
        </w:rPr>
      </w:pPr>
    </w:p>
    <w:p w14:paraId="11412596" w14:textId="77777777" w:rsidR="004E5E9B" w:rsidRDefault="00B44AEA" w:rsidP="00DB13C3">
      <w:pPr>
        <w:spacing w:after="0" w:line="276" w:lineRule="auto"/>
        <w:jc w:val="both"/>
        <w:rPr>
          <w:rFonts w:ascii="Arial" w:hAnsi="Arial" w:cs="Arial"/>
          <w:color w:val="000000" w:themeColor="text1"/>
          <w:sz w:val="22"/>
          <w:szCs w:val="22"/>
        </w:rPr>
      </w:pPr>
      <w:r w:rsidRPr="004E5E9B">
        <w:rPr>
          <w:rFonts w:ascii="Arial" w:hAnsi="Arial" w:cs="Arial"/>
          <w:color w:val="000000" w:themeColor="text1"/>
          <w:sz w:val="22"/>
          <w:szCs w:val="22"/>
        </w:rPr>
        <w:t xml:space="preserve">The fence panels would sit at a maximum </w:t>
      </w:r>
      <w:r w:rsidR="00D13283" w:rsidRPr="004E5E9B">
        <w:rPr>
          <w:rFonts w:ascii="Arial" w:hAnsi="Arial" w:cs="Arial"/>
          <w:color w:val="000000" w:themeColor="text1"/>
          <w:sz w:val="22"/>
          <w:szCs w:val="22"/>
        </w:rPr>
        <w:t xml:space="preserve">of 1.5m and would be set behind the existing </w:t>
      </w:r>
      <w:r w:rsidR="005112D9" w:rsidRPr="004E5E9B">
        <w:rPr>
          <w:rFonts w:ascii="Arial" w:hAnsi="Arial" w:cs="Arial"/>
          <w:color w:val="000000" w:themeColor="text1"/>
          <w:sz w:val="22"/>
          <w:szCs w:val="22"/>
        </w:rPr>
        <w:t xml:space="preserve">yew </w:t>
      </w:r>
      <w:r w:rsidR="004E5E9B" w:rsidRPr="004E5E9B">
        <w:rPr>
          <w:rFonts w:ascii="Arial" w:hAnsi="Arial" w:cs="Arial"/>
          <w:color w:val="000000" w:themeColor="text1"/>
          <w:sz w:val="22"/>
          <w:szCs w:val="22"/>
        </w:rPr>
        <w:t>hedging</w:t>
      </w:r>
      <w:r w:rsidR="005112D9" w:rsidRPr="004E5E9B">
        <w:rPr>
          <w:rFonts w:ascii="Arial" w:hAnsi="Arial" w:cs="Arial"/>
          <w:color w:val="000000" w:themeColor="text1"/>
          <w:sz w:val="22"/>
          <w:szCs w:val="22"/>
        </w:rPr>
        <w:t xml:space="preserve"> to the east of the host dwelling. Due to the nature of the works and separation distances to any neighbouring dwellings no </w:t>
      </w:r>
      <w:r w:rsidR="004E5E9B" w:rsidRPr="004E5E9B">
        <w:rPr>
          <w:rFonts w:ascii="Arial" w:hAnsi="Arial" w:cs="Arial"/>
          <w:color w:val="000000" w:themeColor="text1"/>
          <w:sz w:val="22"/>
          <w:szCs w:val="22"/>
        </w:rPr>
        <w:t xml:space="preserve">concerns are raised in regard to any overshadowing, overbearing impacts or loss of light to neighbouring properties. </w:t>
      </w:r>
    </w:p>
    <w:p w14:paraId="71184B00" w14:textId="77777777" w:rsidR="004E5E9B" w:rsidRDefault="004E5E9B" w:rsidP="00DB13C3">
      <w:pPr>
        <w:spacing w:after="0" w:line="276" w:lineRule="auto"/>
        <w:jc w:val="both"/>
        <w:rPr>
          <w:rFonts w:ascii="Arial" w:hAnsi="Arial" w:cs="Arial"/>
          <w:color w:val="000000" w:themeColor="text1"/>
          <w:sz w:val="22"/>
          <w:szCs w:val="22"/>
        </w:rPr>
      </w:pPr>
    </w:p>
    <w:p w14:paraId="62E87259" w14:textId="0B4BAC29"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A3B588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1C15345" w14:textId="7046CE98" w:rsidR="006705B5" w:rsidRPr="00DA4EB2" w:rsidRDefault="006705B5" w:rsidP="00DA4EB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A4EB2">
        <w:rPr>
          <w:rFonts w:ascii="Arial" w:eastAsia="Times New Roman" w:hAnsi="Arial" w:cs="Arial"/>
          <w:color w:val="000000" w:themeColor="text1"/>
          <w:kern w:val="0"/>
          <w:sz w:val="22"/>
          <w:szCs w:val="22"/>
          <w:u w:val="single"/>
          <w:lang w:eastAsia="en-GB"/>
          <w14:ligatures w14:val="none"/>
        </w:rPr>
        <w:t>Ecology Impact</w:t>
      </w:r>
      <w:r w:rsidR="00247CD5" w:rsidRPr="00DA4EB2">
        <w:rPr>
          <w:rFonts w:ascii="Arial" w:eastAsia="Times New Roman" w:hAnsi="Arial" w:cs="Arial"/>
          <w:color w:val="ED0000"/>
          <w:kern w:val="0"/>
          <w:sz w:val="22"/>
          <w:szCs w:val="22"/>
          <w:lang w:eastAsia="en-GB"/>
          <w14:ligatures w14:val="none"/>
        </w:rPr>
        <w:t xml:space="preserve"> </w:t>
      </w:r>
    </w:p>
    <w:p w14:paraId="60A4586E" w14:textId="77777777" w:rsidR="006705B5" w:rsidRPr="00DA4EB2" w:rsidRDefault="006705B5" w:rsidP="00DA4EB2">
      <w:pPr>
        <w:spacing w:after="0" w:line="276" w:lineRule="auto"/>
        <w:jc w:val="both"/>
        <w:rPr>
          <w:rFonts w:ascii="Arial" w:eastAsia="Times New Roman" w:hAnsi="Arial" w:cs="Arial"/>
          <w:color w:val="000000" w:themeColor="text1"/>
          <w:kern w:val="0"/>
          <w:sz w:val="22"/>
          <w:szCs w:val="22"/>
          <w:lang w:eastAsia="en-GB"/>
          <w14:ligatures w14:val="none"/>
        </w:rPr>
      </w:pPr>
      <w:r w:rsidRPr="00DA4EB2">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1BE1500D" w14:textId="77777777" w:rsidR="00F272A5" w:rsidRPr="00DA4EB2" w:rsidRDefault="00F272A5" w:rsidP="00DA4EB2">
      <w:pPr>
        <w:spacing w:after="0" w:line="276" w:lineRule="auto"/>
        <w:jc w:val="both"/>
        <w:rPr>
          <w:rFonts w:ascii="Arial" w:eastAsia="Times New Roman" w:hAnsi="Arial" w:cs="Arial"/>
          <w:color w:val="000000" w:themeColor="text1"/>
          <w:kern w:val="0"/>
          <w:sz w:val="22"/>
          <w:szCs w:val="22"/>
          <w:lang w:eastAsia="en-GB"/>
          <w14:ligatures w14:val="none"/>
        </w:rPr>
      </w:pPr>
    </w:p>
    <w:p w14:paraId="2DC8BF44" w14:textId="77777777" w:rsidR="006705B5" w:rsidRPr="00DA4EB2" w:rsidRDefault="006705B5" w:rsidP="00DA4EB2">
      <w:pPr>
        <w:spacing w:after="0" w:line="276" w:lineRule="auto"/>
        <w:jc w:val="both"/>
        <w:rPr>
          <w:rFonts w:ascii="Arial" w:eastAsia="Times New Roman" w:hAnsi="Arial" w:cs="Arial"/>
          <w:color w:val="000000" w:themeColor="text1"/>
          <w:kern w:val="0"/>
          <w:sz w:val="22"/>
          <w:szCs w:val="22"/>
          <w:lang w:eastAsia="en-GB"/>
          <w14:ligatures w14:val="none"/>
        </w:rPr>
      </w:pPr>
      <w:r w:rsidRPr="00DA4EB2">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DA4EB2">
        <w:rPr>
          <w:rFonts w:ascii="Arial" w:eastAsia="Times New Roman" w:hAnsi="Arial" w:cs="Arial"/>
          <w:color w:val="000000" w:themeColor="text1"/>
          <w:kern w:val="0"/>
          <w:sz w:val="22"/>
          <w:szCs w:val="22"/>
          <w:lang w:eastAsia="en-GB"/>
          <w14:ligatures w14:val="none"/>
        </w:rPr>
        <w:t>93</w:t>
      </w:r>
      <w:r w:rsidRPr="00DA4EB2">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095E648E" w14:textId="77777777" w:rsidR="00DD76CB" w:rsidRPr="00DA4EB2" w:rsidRDefault="00DD76CB" w:rsidP="00DA4EB2">
      <w:pPr>
        <w:spacing w:after="0" w:line="276" w:lineRule="auto"/>
        <w:jc w:val="both"/>
        <w:rPr>
          <w:rFonts w:ascii="Arial" w:eastAsia="Times New Roman" w:hAnsi="Arial" w:cs="Arial"/>
          <w:i/>
          <w:iCs/>
          <w:color w:val="ED0000"/>
          <w:kern w:val="0"/>
          <w:sz w:val="22"/>
          <w:szCs w:val="22"/>
          <w:lang w:eastAsia="en-GB"/>
          <w14:ligatures w14:val="none"/>
        </w:rPr>
      </w:pPr>
    </w:p>
    <w:p w14:paraId="5B42989F" w14:textId="07BC54F8" w:rsidR="003D47A4" w:rsidRPr="00DA4EB2" w:rsidRDefault="003D47A4" w:rsidP="00DA4EB2">
      <w:pPr>
        <w:pStyle w:val="NormalWeb"/>
        <w:shd w:val="clear" w:color="auto" w:fill="FFFFFF"/>
        <w:spacing w:after="0" w:line="276" w:lineRule="auto"/>
        <w:jc w:val="both"/>
        <w:rPr>
          <w:rFonts w:ascii="Arial" w:hAnsi="Arial" w:cs="Arial"/>
          <w:color w:val="181818"/>
          <w:sz w:val="22"/>
          <w:szCs w:val="22"/>
        </w:rPr>
      </w:pPr>
      <w:r w:rsidRPr="00DA4EB2">
        <w:rPr>
          <w:rFonts w:ascii="Arial" w:hAnsi="Arial" w:cs="Arial"/>
          <w:color w:val="181818"/>
          <w:sz w:val="22"/>
          <w:szCs w:val="22"/>
        </w:rPr>
        <w:t xml:space="preserve">This proposal falls within the recreational impact zone of the Salisbury Plain Special Protection Area for birds. Therefore, potential disturbance to nesting birds through the creation of additional visitor numbers to the Salisbury Plain has to be assessed. However, given that this proposal relates to </w:t>
      </w:r>
      <w:r w:rsidR="003F391E">
        <w:rPr>
          <w:rFonts w:ascii="Arial" w:hAnsi="Arial" w:cs="Arial"/>
          <w:color w:val="181818"/>
          <w:sz w:val="22"/>
          <w:szCs w:val="22"/>
        </w:rPr>
        <w:t xml:space="preserve">the erection of </w:t>
      </w:r>
      <w:r w:rsidR="00910F0C">
        <w:rPr>
          <w:rFonts w:ascii="Arial" w:hAnsi="Arial" w:cs="Arial"/>
          <w:color w:val="181818"/>
          <w:sz w:val="22"/>
          <w:szCs w:val="22"/>
        </w:rPr>
        <w:t xml:space="preserve">fencing panels, </w:t>
      </w:r>
      <w:r w:rsidRPr="00DA4EB2">
        <w:rPr>
          <w:rFonts w:ascii="Arial" w:hAnsi="Arial" w:cs="Arial"/>
          <w:color w:val="181818"/>
          <w:sz w:val="22"/>
          <w:szCs w:val="22"/>
        </w:rPr>
        <w:t>without the creation of separate independent living accommodation, it is considered that there would not be any adverse impacts on the Special Protection Area.</w:t>
      </w:r>
    </w:p>
    <w:p w14:paraId="478D570B" w14:textId="77777777" w:rsidR="00037EF9" w:rsidRPr="00DA4EB2" w:rsidRDefault="00037EF9" w:rsidP="00DA4EB2">
      <w:pPr>
        <w:pStyle w:val="NormalWeb"/>
        <w:shd w:val="clear" w:color="auto" w:fill="FFFFFF"/>
        <w:spacing w:after="0" w:line="276" w:lineRule="auto"/>
        <w:jc w:val="both"/>
        <w:rPr>
          <w:rFonts w:ascii="Arial" w:hAnsi="Arial" w:cs="Arial"/>
          <w:color w:val="181818"/>
          <w:sz w:val="22"/>
          <w:szCs w:val="22"/>
        </w:rPr>
      </w:pPr>
    </w:p>
    <w:p w14:paraId="3C4A62E3" w14:textId="62B9FE7B" w:rsidR="00037EF9" w:rsidRPr="00DA4EB2" w:rsidRDefault="00037EF9" w:rsidP="00DA4EB2">
      <w:pPr>
        <w:shd w:val="clear" w:color="auto" w:fill="FFFFFF"/>
        <w:spacing w:after="0" w:line="240" w:lineRule="auto"/>
        <w:jc w:val="both"/>
        <w:rPr>
          <w:rFonts w:ascii="Arial" w:eastAsia="Times New Roman" w:hAnsi="Arial" w:cs="Arial"/>
          <w:color w:val="181818"/>
          <w:sz w:val="22"/>
          <w:szCs w:val="22"/>
          <w:lang w:eastAsia="en-GB"/>
        </w:rPr>
      </w:pPr>
      <w:r w:rsidRPr="00DA4EB2">
        <w:rPr>
          <w:rFonts w:ascii="Arial" w:eastAsia="Times New Roman" w:hAnsi="Arial" w:cs="Arial"/>
          <w:color w:val="181818"/>
          <w:sz w:val="22"/>
          <w:szCs w:val="22"/>
          <w:lang w:eastAsia="en-GB"/>
        </w:rPr>
        <w:t xml:space="preserve">The application site sits within the Bath and Bradford on Avon Special Area of Conservation for bats </w:t>
      </w:r>
      <w:r w:rsidR="00565E80" w:rsidRPr="00DA4EB2">
        <w:rPr>
          <w:rFonts w:ascii="Arial" w:hAnsi="Arial" w:cs="Arial"/>
          <w:sz w:val="22"/>
          <w:szCs w:val="22"/>
        </w:rPr>
        <w:t>as well as the grey, hatched zone of the Trowbridge</w:t>
      </w:r>
      <w:r w:rsidR="00910F0C">
        <w:rPr>
          <w:rFonts w:ascii="Arial" w:hAnsi="Arial" w:cs="Arial"/>
          <w:sz w:val="22"/>
          <w:szCs w:val="22"/>
        </w:rPr>
        <w:t>, t</w:t>
      </w:r>
      <w:r w:rsidR="00565E80" w:rsidRPr="00DA4EB2">
        <w:rPr>
          <w:rFonts w:ascii="Arial" w:hAnsi="Arial" w:cs="Arial"/>
          <w:sz w:val="22"/>
          <w:szCs w:val="22"/>
        </w:rPr>
        <w:t>herefore</w:t>
      </w:r>
      <w:r w:rsidRPr="00DA4EB2">
        <w:rPr>
          <w:rFonts w:ascii="Arial" w:eastAsia="Times New Roman" w:hAnsi="Arial" w:cs="Arial"/>
          <w:color w:val="181818"/>
          <w:sz w:val="22"/>
          <w:szCs w:val="22"/>
          <w:lang w:eastAsia="en-GB"/>
        </w:rPr>
        <w:t xml:space="preserve"> due consideration has to be given to the potential disturbance of any bats because of the proposed development.</w:t>
      </w:r>
    </w:p>
    <w:p w14:paraId="0CC06DE4" w14:textId="77777777" w:rsidR="00037EF9" w:rsidRPr="00DA4EB2" w:rsidRDefault="00037EF9" w:rsidP="00DA4EB2">
      <w:pPr>
        <w:shd w:val="clear" w:color="auto" w:fill="FFFFFF"/>
        <w:spacing w:after="0" w:line="240" w:lineRule="auto"/>
        <w:jc w:val="both"/>
        <w:rPr>
          <w:rFonts w:ascii="Arial" w:eastAsia="Times New Roman" w:hAnsi="Arial" w:cs="Arial"/>
          <w:color w:val="181818"/>
          <w:sz w:val="22"/>
          <w:szCs w:val="22"/>
          <w:lang w:eastAsia="en-GB"/>
        </w:rPr>
      </w:pPr>
    </w:p>
    <w:p w14:paraId="4D448BFC" w14:textId="5F03BE7E" w:rsidR="00037EF9" w:rsidRPr="00DA4EB2" w:rsidRDefault="00037EF9" w:rsidP="00DA4EB2">
      <w:pPr>
        <w:pStyle w:val="NoSpacing"/>
        <w:jc w:val="both"/>
        <w:rPr>
          <w:rFonts w:ascii="Arial" w:hAnsi="Arial" w:cs="Arial"/>
        </w:rPr>
      </w:pPr>
      <w:r w:rsidRPr="00DA4EB2">
        <w:rPr>
          <w:rFonts w:ascii="Arial" w:hAnsi="Arial" w:cs="Arial"/>
        </w:rPr>
        <w:t xml:space="preserve">The proposed development comprises </w:t>
      </w:r>
      <w:r w:rsidR="00623E18" w:rsidRPr="00DA4EB2">
        <w:rPr>
          <w:rFonts w:ascii="Arial" w:hAnsi="Arial" w:cs="Arial"/>
        </w:rPr>
        <w:t xml:space="preserve">part retrospective development consisting of the erection of </w:t>
      </w:r>
      <w:r w:rsidR="00A11B51" w:rsidRPr="00DA4EB2">
        <w:rPr>
          <w:rFonts w:ascii="Arial" w:hAnsi="Arial" w:cs="Arial"/>
        </w:rPr>
        <w:t>a boundary</w:t>
      </w:r>
      <w:r w:rsidR="00623E18" w:rsidRPr="00DA4EB2">
        <w:rPr>
          <w:rFonts w:ascii="Arial" w:hAnsi="Arial" w:cs="Arial"/>
        </w:rPr>
        <w:t xml:space="preserve"> fence</w:t>
      </w:r>
      <w:r w:rsidR="00D6091D">
        <w:rPr>
          <w:rFonts w:ascii="Arial" w:hAnsi="Arial" w:cs="Arial"/>
        </w:rPr>
        <w:t>, g</w:t>
      </w:r>
      <w:r w:rsidR="00A11B51" w:rsidRPr="00DA4EB2">
        <w:rPr>
          <w:rFonts w:ascii="Arial" w:hAnsi="Arial" w:cs="Arial"/>
        </w:rPr>
        <w:t xml:space="preserve">iven the small-scale nature of the works </w:t>
      </w:r>
      <w:r w:rsidRPr="00DA4EB2">
        <w:rPr>
          <w:rFonts w:ascii="Arial" w:hAnsi="Arial" w:cs="Arial"/>
        </w:rPr>
        <w:t xml:space="preserve">it is considered highly unlikely that any bats would be affected and significant effects relating to the disturbance to bats can be ruled out. </w:t>
      </w:r>
    </w:p>
    <w:p w14:paraId="59BB1950" w14:textId="77777777" w:rsidR="00037EF9" w:rsidRDefault="00037EF9" w:rsidP="00037EF9">
      <w:pPr>
        <w:pStyle w:val="NoSpacing"/>
        <w:rPr>
          <w:rFonts w:ascii="Arial" w:hAnsi="Arial" w:cs="Arial"/>
        </w:rPr>
      </w:pPr>
    </w:p>
    <w:p w14:paraId="31C415E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4A8998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4215386" w14:textId="77777777" w:rsidR="00D6091D" w:rsidRDefault="00200044" w:rsidP="00E95D3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F72862B" w14:textId="07207B28" w:rsidR="00E95D34" w:rsidRPr="00D6091D" w:rsidRDefault="00200044" w:rsidP="00E95D3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5EC3">
        <w:rPr>
          <w:rFonts w:ascii="Arial" w:eastAsia="Times New Roman" w:hAnsi="Arial" w:cs="Arial"/>
          <w:color w:val="000000" w:themeColor="text1"/>
          <w:kern w:val="0"/>
          <w:sz w:val="22"/>
          <w:szCs w:val="22"/>
          <w:lang w:eastAsia="en-GB"/>
          <w14:ligatures w14:val="none"/>
        </w:rPr>
        <w:lastRenderedPageBreak/>
        <w:t xml:space="preserve">Householder planning applications are exempt from the requirement to deliver Biodiversity </w:t>
      </w:r>
      <w:r w:rsidRPr="00E95D34">
        <w:rPr>
          <w:rFonts w:ascii="Arial" w:eastAsia="Times New Roman" w:hAnsi="Arial" w:cs="Arial"/>
          <w:kern w:val="0"/>
          <w:sz w:val="22"/>
          <w:szCs w:val="22"/>
          <w:lang w:eastAsia="en-GB"/>
          <w14:ligatures w14:val="none"/>
        </w:rPr>
        <w:t>Net Gain under Schedule 7A, Section 4(2)(a) of the Town and Country Planning Act 1990, as inserted by the Environment Act 2021.</w:t>
      </w:r>
      <w:r w:rsidR="00E95D34" w:rsidRPr="00E95D34">
        <w:rPr>
          <w:rFonts w:ascii="Arial" w:eastAsia="Times New Roman" w:hAnsi="Arial" w:cs="Arial"/>
          <w:kern w:val="0"/>
          <w:sz w:val="22"/>
          <w:szCs w:val="22"/>
          <w:lang w:eastAsia="en-GB"/>
          <w14:ligatures w14:val="none"/>
        </w:rPr>
        <w:t xml:space="preserve"> Applications for retrospective development are also not subject to the requirement to deliver Biodiversity Net Gain at present.</w:t>
      </w:r>
    </w:p>
    <w:p w14:paraId="3514C082" w14:textId="77777777" w:rsidR="00F83DDF" w:rsidRDefault="00F83DDF" w:rsidP="00E95D34">
      <w:pPr>
        <w:spacing w:after="0" w:line="276" w:lineRule="auto"/>
        <w:jc w:val="both"/>
        <w:rPr>
          <w:rFonts w:ascii="Arial" w:eastAsia="Times New Roman" w:hAnsi="Arial" w:cs="Arial"/>
          <w:kern w:val="0"/>
          <w:sz w:val="22"/>
          <w:szCs w:val="22"/>
          <w:lang w:eastAsia="en-GB"/>
          <w14:ligatures w14:val="none"/>
        </w:rPr>
      </w:pPr>
    </w:p>
    <w:p w14:paraId="00630B44" w14:textId="54E8C211" w:rsidR="00F83DDF" w:rsidRPr="00D6091D" w:rsidRDefault="00F83DDF" w:rsidP="00E95D34">
      <w:pPr>
        <w:spacing w:after="0" w:line="276" w:lineRule="auto"/>
        <w:jc w:val="both"/>
        <w:rPr>
          <w:rFonts w:ascii="Arial" w:eastAsia="Times New Roman" w:hAnsi="Arial" w:cs="Arial"/>
          <w:kern w:val="0"/>
          <w:sz w:val="22"/>
          <w:szCs w:val="22"/>
          <w:u w:val="single"/>
          <w:lang w:eastAsia="en-GB"/>
          <w14:ligatures w14:val="none"/>
        </w:rPr>
      </w:pPr>
      <w:r w:rsidRPr="00D6091D">
        <w:rPr>
          <w:rFonts w:ascii="Arial" w:eastAsia="Times New Roman" w:hAnsi="Arial" w:cs="Arial"/>
          <w:kern w:val="0"/>
          <w:sz w:val="22"/>
          <w:szCs w:val="22"/>
          <w:u w:val="single"/>
          <w:lang w:eastAsia="en-GB"/>
          <w14:ligatures w14:val="none"/>
        </w:rPr>
        <w:t>Other Matters</w:t>
      </w:r>
    </w:p>
    <w:p w14:paraId="79BDDFDF" w14:textId="65498A0B" w:rsidR="00F83DDF" w:rsidRPr="001D793C" w:rsidRDefault="00F83DDF" w:rsidP="00E95D34">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kern w:val="0"/>
          <w:sz w:val="22"/>
          <w:szCs w:val="22"/>
          <w:lang w:eastAsia="en-GB"/>
          <w14:ligatures w14:val="none"/>
        </w:rPr>
        <w:t>The neighbouring occupier</w:t>
      </w:r>
      <w:r w:rsidR="00D6091D">
        <w:rPr>
          <w:rFonts w:ascii="Arial" w:eastAsia="Times New Roman" w:hAnsi="Arial" w:cs="Arial"/>
          <w:kern w:val="0"/>
          <w:sz w:val="22"/>
          <w:szCs w:val="22"/>
          <w:lang w:eastAsia="en-GB"/>
          <w14:ligatures w14:val="none"/>
        </w:rPr>
        <w:t xml:space="preserve"> to the east</w:t>
      </w:r>
      <w:r>
        <w:rPr>
          <w:rFonts w:ascii="Arial" w:eastAsia="Times New Roman" w:hAnsi="Arial" w:cs="Arial"/>
          <w:kern w:val="0"/>
          <w:sz w:val="22"/>
          <w:szCs w:val="22"/>
          <w:lang w:eastAsia="en-GB"/>
          <w14:ligatures w14:val="none"/>
        </w:rPr>
        <w:t xml:space="preserve"> </w:t>
      </w:r>
      <w:r w:rsidR="00902398">
        <w:rPr>
          <w:rFonts w:ascii="Arial" w:eastAsia="Times New Roman" w:hAnsi="Arial" w:cs="Arial"/>
          <w:kern w:val="0"/>
          <w:sz w:val="22"/>
          <w:szCs w:val="22"/>
          <w:lang w:eastAsia="en-GB"/>
          <w14:ligatures w14:val="none"/>
        </w:rPr>
        <w:t>ha</w:t>
      </w:r>
      <w:r>
        <w:rPr>
          <w:rFonts w:ascii="Arial" w:eastAsia="Times New Roman" w:hAnsi="Arial" w:cs="Arial"/>
          <w:kern w:val="0"/>
          <w:sz w:val="22"/>
          <w:szCs w:val="22"/>
          <w:lang w:eastAsia="en-GB"/>
          <w14:ligatures w14:val="none"/>
        </w:rPr>
        <w:t xml:space="preserve">s queried whether the </w:t>
      </w:r>
      <w:r w:rsidR="00FA04EC">
        <w:rPr>
          <w:rFonts w:ascii="Arial" w:eastAsia="Times New Roman" w:hAnsi="Arial" w:cs="Arial"/>
          <w:kern w:val="0"/>
          <w:sz w:val="22"/>
          <w:szCs w:val="22"/>
          <w:lang w:eastAsia="en-GB"/>
          <w14:ligatures w14:val="none"/>
        </w:rPr>
        <w:t>fencing</w:t>
      </w:r>
      <w:r>
        <w:rPr>
          <w:rFonts w:ascii="Arial" w:eastAsia="Times New Roman" w:hAnsi="Arial" w:cs="Arial"/>
          <w:kern w:val="0"/>
          <w:sz w:val="22"/>
          <w:szCs w:val="22"/>
          <w:lang w:eastAsia="en-GB"/>
          <w14:ligatures w14:val="none"/>
        </w:rPr>
        <w:t xml:space="preserve"> has been erected on the applicant’s property and </w:t>
      </w:r>
      <w:r w:rsidR="001D367D">
        <w:rPr>
          <w:rFonts w:ascii="Arial" w:eastAsia="Times New Roman" w:hAnsi="Arial" w:cs="Arial"/>
          <w:kern w:val="0"/>
          <w:sz w:val="22"/>
          <w:szCs w:val="22"/>
          <w:lang w:eastAsia="en-GB"/>
          <w14:ligatures w14:val="none"/>
        </w:rPr>
        <w:t xml:space="preserve">not within the boundary of the </w:t>
      </w:r>
      <w:r w:rsidR="00F336D8">
        <w:rPr>
          <w:rFonts w:ascii="Arial" w:eastAsia="Times New Roman" w:hAnsi="Arial" w:cs="Arial"/>
          <w:kern w:val="0"/>
          <w:sz w:val="22"/>
          <w:szCs w:val="22"/>
          <w:lang w:eastAsia="en-GB"/>
          <w14:ligatures w14:val="none"/>
        </w:rPr>
        <w:t>neighbour’s</w:t>
      </w:r>
      <w:r w:rsidR="001D367D">
        <w:rPr>
          <w:rFonts w:ascii="Arial" w:eastAsia="Times New Roman" w:hAnsi="Arial" w:cs="Arial"/>
          <w:kern w:val="0"/>
          <w:sz w:val="22"/>
          <w:szCs w:val="22"/>
          <w:lang w:eastAsia="en-GB"/>
          <w14:ligatures w14:val="none"/>
        </w:rPr>
        <w:t xml:space="preserve"> private residential curtilage</w:t>
      </w:r>
      <w:r w:rsidR="00902398">
        <w:rPr>
          <w:rFonts w:ascii="Arial" w:eastAsia="Times New Roman" w:hAnsi="Arial" w:cs="Arial"/>
          <w:kern w:val="0"/>
          <w:sz w:val="22"/>
          <w:szCs w:val="22"/>
          <w:lang w:eastAsia="en-GB"/>
          <w14:ligatures w14:val="none"/>
        </w:rPr>
        <w:t xml:space="preserve">. </w:t>
      </w:r>
      <w:r w:rsidR="00F336D8">
        <w:rPr>
          <w:rFonts w:ascii="Arial" w:eastAsia="Times New Roman" w:hAnsi="Arial" w:cs="Arial"/>
          <w:kern w:val="0"/>
          <w:sz w:val="22"/>
          <w:szCs w:val="22"/>
          <w:lang w:eastAsia="en-GB"/>
          <w14:ligatures w14:val="none"/>
        </w:rPr>
        <w:t>T</w:t>
      </w:r>
      <w:r w:rsidR="00902398">
        <w:rPr>
          <w:rFonts w:ascii="Arial" w:eastAsia="Times New Roman" w:hAnsi="Arial" w:cs="Arial"/>
          <w:kern w:val="0"/>
          <w:sz w:val="22"/>
          <w:szCs w:val="22"/>
          <w:lang w:eastAsia="en-GB"/>
          <w14:ligatures w14:val="none"/>
        </w:rPr>
        <w:t xml:space="preserve">he application form has stated that the works would be carried out on the applicant’s land only </w:t>
      </w:r>
      <w:r w:rsidR="00F336D8">
        <w:rPr>
          <w:rFonts w:ascii="Arial" w:eastAsia="Times New Roman" w:hAnsi="Arial" w:cs="Arial"/>
          <w:kern w:val="0"/>
          <w:sz w:val="22"/>
          <w:szCs w:val="22"/>
          <w:lang w:eastAsia="en-GB"/>
          <w14:ligatures w14:val="none"/>
        </w:rPr>
        <w:t xml:space="preserve">and </w:t>
      </w:r>
      <w:r w:rsidR="00902398">
        <w:rPr>
          <w:rFonts w:ascii="Arial" w:eastAsia="Times New Roman" w:hAnsi="Arial" w:cs="Arial"/>
          <w:kern w:val="0"/>
          <w:sz w:val="22"/>
          <w:szCs w:val="22"/>
          <w:lang w:eastAsia="en-GB"/>
          <w14:ligatures w14:val="none"/>
        </w:rPr>
        <w:t xml:space="preserve">officers have no reason to dispute the applicants claim. </w:t>
      </w:r>
      <w:r w:rsidR="00F336D8">
        <w:rPr>
          <w:rFonts w:ascii="Arial" w:eastAsia="Times New Roman" w:hAnsi="Arial" w:cs="Arial"/>
          <w:kern w:val="0"/>
          <w:sz w:val="22"/>
          <w:szCs w:val="22"/>
          <w:lang w:eastAsia="en-GB"/>
          <w14:ligatures w14:val="none"/>
        </w:rPr>
        <w:t>However,</w:t>
      </w:r>
      <w:r w:rsidR="007A0F1C">
        <w:rPr>
          <w:rFonts w:ascii="Arial" w:eastAsia="Times New Roman" w:hAnsi="Arial" w:cs="Arial"/>
          <w:kern w:val="0"/>
          <w:sz w:val="22"/>
          <w:szCs w:val="22"/>
          <w:lang w:eastAsia="en-GB"/>
          <w14:ligatures w14:val="none"/>
        </w:rPr>
        <w:t xml:space="preserve"> t</w:t>
      </w:r>
      <w:r w:rsidR="00902398">
        <w:rPr>
          <w:rFonts w:ascii="Arial" w:eastAsia="Times New Roman" w:hAnsi="Arial" w:cs="Arial"/>
          <w:kern w:val="0"/>
          <w:sz w:val="22"/>
          <w:szCs w:val="22"/>
          <w:lang w:eastAsia="en-GB"/>
          <w14:ligatures w14:val="none"/>
        </w:rPr>
        <w:t xml:space="preserve">he issue of any boundary disputes </w:t>
      </w:r>
      <w:r w:rsidR="007A0F1C">
        <w:rPr>
          <w:rFonts w:ascii="Arial" w:eastAsia="Times New Roman" w:hAnsi="Arial" w:cs="Arial"/>
          <w:kern w:val="0"/>
          <w:sz w:val="22"/>
          <w:szCs w:val="22"/>
          <w:lang w:eastAsia="en-GB"/>
          <w14:ligatures w14:val="none"/>
        </w:rPr>
        <w:t>is not a planning matter and a civil matter instead</w:t>
      </w:r>
      <w:r w:rsidR="00F336D8">
        <w:rPr>
          <w:rFonts w:ascii="Arial" w:eastAsia="Times New Roman" w:hAnsi="Arial" w:cs="Arial"/>
          <w:kern w:val="0"/>
          <w:sz w:val="22"/>
          <w:szCs w:val="22"/>
          <w:lang w:eastAsia="en-GB"/>
          <w14:ligatures w14:val="none"/>
        </w:rPr>
        <w:t xml:space="preserve">, </w:t>
      </w:r>
      <w:r w:rsidR="007A0F1C">
        <w:rPr>
          <w:rFonts w:ascii="Arial" w:eastAsia="Times New Roman" w:hAnsi="Arial" w:cs="Arial"/>
          <w:kern w:val="0"/>
          <w:sz w:val="22"/>
          <w:szCs w:val="22"/>
          <w:lang w:eastAsia="en-GB"/>
          <w14:ligatures w14:val="none"/>
        </w:rPr>
        <w:t xml:space="preserve">dealt with under separate </w:t>
      </w:r>
      <w:r w:rsidR="00965A12">
        <w:rPr>
          <w:rFonts w:ascii="Arial" w:eastAsia="Times New Roman" w:hAnsi="Arial" w:cs="Arial"/>
          <w:kern w:val="0"/>
          <w:sz w:val="22"/>
          <w:szCs w:val="22"/>
          <w:lang w:eastAsia="en-GB"/>
          <w14:ligatures w14:val="none"/>
        </w:rPr>
        <w:t>law.</w:t>
      </w:r>
    </w:p>
    <w:bookmarkEnd w:id="2"/>
    <w:p w14:paraId="6875E4DD"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65A09FE4"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C4C2380" w14:textId="564DD4E0"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development is considered to be acceptable in terms of its design, scale, and relationship with the surrounding area. It would not result in any unacceptable harm to the character of the locality, the amenities of neighbouring occupiers, or the interests of heritage or ecology.</w:t>
      </w:r>
    </w:p>
    <w:p w14:paraId="0FFACEB4"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3D883C4"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4443CEC5"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86029DD" w14:textId="77777777" w:rsidR="00F7609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F578D05" w14:textId="77777777" w:rsidR="00981487" w:rsidRDefault="00981487" w:rsidP="009C1702">
      <w:pPr>
        <w:spacing w:after="0" w:line="276" w:lineRule="auto"/>
        <w:jc w:val="both"/>
        <w:rPr>
          <w:rFonts w:ascii="Arial" w:eastAsia="Times New Roman" w:hAnsi="Arial" w:cs="Arial"/>
          <w:b/>
          <w:bCs/>
          <w:kern w:val="0"/>
          <w:sz w:val="22"/>
          <w:szCs w:val="22"/>
          <w:lang w:eastAsia="en-GB"/>
          <w14:ligatures w14:val="none"/>
        </w:rPr>
      </w:pPr>
    </w:p>
    <w:p w14:paraId="03F9DBD9" w14:textId="23258278" w:rsidR="00981487" w:rsidRPr="00C602B2" w:rsidRDefault="00981487" w:rsidP="00C602B2">
      <w:pPr>
        <w:spacing w:after="0" w:line="276" w:lineRule="auto"/>
        <w:jc w:val="both"/>
        <w:rPr>
          <w:rFonts w:ascii="Arial" w:eastAsia="Times New Roman" w:hAnsi="Arial" w:cs="Arial"/>
          <w:b/>
          <w:bCs/>
          <w:kern w:val="0"/>
          <w:sz w:val="22"/>
          <w:szCs w:val="22"/>
          <w:lang w:eastAsia="en-GB"/>
          <w14:ligatures w14:val="none"/>
        </w:rPr>
      </w:pPr>
      <w:r w:rsidRPr="00C602B2">
        <w:rPr>
          <w:rFonts w:ascii="Arial" w:eastAsia="Times New Roman" w:hAnsi="Arial" w:cs="Arial"/>
          <w:b/>
          <w:bCs/>
          <w:kern w:val="0"/>
          <w:sz w:val="22"/>
          <w:szCs w:val="22"/>
          <w:lang w:eastAsia="en-GB"/>
          <w14:ligatures w14:val="none"/>
        </w:rPr>
        <w:t>Conditions</w:t>
      </w:r>
    </w:p>
    <w:p w14:paraId="7F47A25D" w14:textId="6D4937E7" w:rsidR="00981487" w:rsidRPr="00C602B2" w:rsidRDefault="007F740F" w:rsidP="00C602B2">
      <w:pPr>
        <w:pStyle w:val="ListParagraph"/>
        <w:numPr>
          <w:ilvl w:val="0"/>
          <w:numId w:val="13"/>
        </w:numPr>
        <w:spacing w:after="0" w:line="276" w:lineRule="auto"/>
        <w:rPr>
          <w:rFonts w:ascii="Arial" w:eastAsia="Times New Roman" w:hAnsi="Arial" w:cs="Arial"/>
          <w:kern w:val="0"/>
          <w:sz w:val="22"/>
          <w:szCs w:val="22"/>
          <w:lang w:eastAsia="en-GB"/>
          <w14:ligatures w14:val="none"/>
        </w:rPr>
      </w:pPr>
      <w:r w:rsidRPr="00C602B2">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r w:rsidRPr="00C602B2">
        <w:rPr>
          <w:rFonts w:ascii="Arial" w:eastAsia="Times New Roman" w:hAnsi="Arial" w:cs="Arial"/>
          <w:kern w:val="0"/>
          <w:sz w:val="22"/>
          <w:szCs w:val="22"/>
          <w:lang w:eastAsia="en-GB"/>
          <w14:ligatures w14:val="none"/>
        </w:rPr>
        <w:br/>
      </w:r>
      <w:r w:rsidRPr="00C602B2">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258B8207" w14:textId="77777777" w:rsidR="00C602B2" w:rsidRPr="00C602B2" w:rsidRDefault="00C602B2" w:rsidP="00C602B2">
      <w:pPr>
        <w:pStyle w:val="ListParagraph"/>
        <w:spacing w:after="0" w:line="276" w:lineRule="auto"/>
        <w:jc w:val="both"/>
        <w:rPr>
          <w:rFonts w:ascii="Arial" w:eastAsia="Times New Roman" w:hAnsi="Arial" w:cs="Arial"/>
          <w:b/>
          <w:bCs/>
          <w:kern w:val="0"/>
          <w:sz w:val="22"/>
          <w:szCs w:val="22"/>
          <w:lang w:eastAsia="en-GB"/>
          <w14:ligatures w14:val="none"/>
        </w:rPr>
      </w:pPr>
    </w:p>
    <w:p w14:paraId="51D1DA86" w14:textId="77777777" w:rsidR="00C602B2" w:rsidRPr="00C602B2" w:rsidRDefault="00C602B2" w:rsidP="00C602B2">
      <w:pPr>
        <w:pStyle w:val="ListParagraph"/>
        <w:numPr>
          <w:ilvl w:val="0"/>
          <w:numId w:val="13"/>
        </w:numPr>
        <w:spacing w:after="0" w:line="240" w:lineRule="auto"/>
        <w:jc w:val="both"/>
        <w:rPr>
          <w:rFonts w:ascii="Arial" w:eastAsia="Times New Roman" w:hAnsi="Arial" w:cs="Arial"/>
          <w:kern w:val="0"/>
          <w:sz w:val="22"/>
          <w:szCs w:val="22"/>
          <w:lang w:eastAsia="en-GB"/>
          <w14:ligatures w14:val="none"/>
        </w:rPr>
      </w:pPr>
      <w:r w:rsidRPr="00C602B2">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7AB92C94" w14:textId="77777777" w:rsidR="00C602B2" w:rsidRPr="00C602B2" w:rsidRDefault="00C602B2" w:rsidP="00C602B2">
      <w:pPr>
        <w:pStyle w:val="ListParagraph"/>
        <w:spacing w:after="0" w:line="240" w:lineRule="auto"/>
        <w:jc w:val="both"/>
        <w:rPr>
          <w:rFonts w:ascii="Arial" w:eastAsia="Times New Roman" w:hAnsi="Arial" w:cs="Arial"/>
          <w:kern w:val="0"/>
          <w:sz w:val="22"/>
          <w:szCs w:val="22"/>
          <w:lang w:eastAsia="en-GB"/>
          <w14:ligatures w14:val="none"/>
        </w:rPr>
      </w:pPr>
      <w:r w:rsidRPr="00C602B2">
        <w:rPr>
          <w:rFonts w:ascii="Arial" w:eastAsia="Times New Roman" w:hAnsi="Arial" w:cs="Arial"/>
          <w:kern w:val="0"/>
          <w:sz w:val="22"/>
          <w:szCs w:val="22"/>
          <w:lang w:eastAsia="en-GB"/>
          <w14:ligatures w14:val="none"/>
        </w:rPr>
        <w:t>Location Plan - Received 28.04.2026</w:t>
      </w:r>
    </w:p>
    <w:p w14:paraId="2CF02B2B" w14:textId="77777777" w:rsidR="00C602B2" w:rsidRPr="00C602B2" w:rsidRDefault="00C602B2" w:rsidP="00C602B2">
      <w:pPr>
        <w:pStyle w:val="ListParagraph"/>
        <w:spacing w:after="0" w:line="240" w:lineRule="auto"/>
        <w:jc w:val="both"/>
        <w:rPr>
          <w:rFonts w:ascii="Arial" w:eastAsia="Times New Roman" w:hAnsi="Arial" w:cs="Arial"/>
          <w:kern w:val="0"/>
          <w:sz w:val="22"/>
          <w:szCs w:val="22"/>
          <w:lang w:eastAsia="en-GB"/>
          <w14:ligatures w14:val="none"/>
        </w:rPr>
      </w:pPr>
      <w:r w:rsidRPr="00C602B2">
        <w:rPr>
          <w:rFonts w:ascii="Arial" w:eastAsia="Times New Roman" w:hAnsi="Arial" w:cs="Arial"/>
          <w:kern w:val="0"/>
          <w:sz w:val="22"/>
          <w:szCs w:val="22"/>
          <w:lang w:eastAsia="en-GB"/>
          <w14:ligatures w14:val="none"/>
        </w:rPr>
        <w:t>Fence Elevation - </w:t>
      </w:r>
      <w:r w:rsidRPr="00C602B2">
        <w:rPr>
          <w:rFonts w:ascii="Arial" w:eastAsia="Times New Roman" w:hAnsi="Arial" w:cs="Arial"/>
          <w:kern w:val="0"/>
          <w:sz w:val="22"/>
          <w:szCs w:val="22"/>
          <w:shd w:val="clear" w:color="auto" w:fill="FFFFFF"/>
          <w:lang w:eastAsia="en-GB"/>
          <w14:ligatures w14:val="none"/>
        </w:rPr>
        <w:t>Received 24.04.2026</w:t>
      </w:r>
    </w:p>
    <w:p w14:paraId="14B4DEC6" w14:textId="77777777" w:rsidR="00C602B2" w:rsidRDefault="00C602B2" w:rsidP="00C602B2">
      <w:pPr>
        <w:pStyle w:val="ListParagraph"/>
        <w:spacing w:after="0" w:line="240" w:lineRule="auto"/>
        <w:jc w:val="both"/>
        <w:rPr>
          <w:rFonts w:ascii="Arial" w:eastAsia="Times New Roman" w:hAnsi="Arial" w:cs="Arial"/>
          <w:kern w:val="0"/>
          <w:sz w:val="22"/>
          <w:szCs w:val="22"/>
          <w:shd w:val="clear" w:color="auto" w:fill="FFFFFF"/>
          <w:lang w:eastAsia="en-GB"/>
          <w14:ligatures w14:val="none"/>
        </w:rPr>
      </w:pPr>
      <w:r w:rsidRPr="00C602B2">
        <w:rPr>
          <w:rFonts w:ascii="Arial" w:eastAsia="Times New Roman" w:hAnsi="Arial" w:cs="Arial"/>
          <w:kern w:val="0"/>
          <w:sz w:val="22"/>
          <w:szCs w:val="22"/>
          <w:lang w:eastAsia="en-GB"/>
          <w14:ligatures w14:val="none"/>
        </w:rPr>
        <w:t>Proposed Site Pan - </w:t>
      </w:r>
      <w:r w:rsidRPr="00C602B2">
        <w:rPr>
          <w:rFonts w:ascii="Arial" w:eastAsia="Times New Roman" w:hAnsi="Arial" w:cs="Arial"/>
          <w:kern w:val="0"/>
          <w:sz w:val="22"/>
          <w:szCs w:val="22"/>
          <w:shd w:val="clear" w:color="auto" w:fill="FFFFFF"/>
          <w:lang w:eastAsia="en-GB"/>
          <w14:ligatures w14:val="none"/>
        </w:rPr>
        <w:t>Received 21.04.2026</w:t>
      </w:r>
    </w:p>
    <w:p w14:paraId="3525FDD8" w14:textId="77777777" w:rsidR="001C6596" w:rsidRDefault="001C6596" w:rsidP="00C602B2">
      <w:pPr>
        <w:pStyle w:val="ListParagraph"/>
        <w:spacing w:after="0" w:line="240" w:lineRule="auto"/>
        <w:jc w:val="both"/>
        <w:rPr>
          <w:rFonts w:ascii="Arial" w:eastAsia="Times New Roman" w:hAnsi="Arial" w:cs="Arial"/>
          <w:kern w:val="0"/>
          <w:sz w:val="22"/>
          <w:szCs w:val="22"/>
          <w:shd w:val="clear" w:color="auto" w:fill="FFFFFF"/>
          <w:lang w:eastAsia="en-GB"/>
          <w14:ligatures w14:val="none"/>
        </w:rPr>
      </w:pPr>
    </w:p>
    <w:p w14:paraId="21FCCDCE" w14:textId="0D880583" w:rsidR="001C6596" w:rsidRPr="00C602B2" w:rsidRDefault="001C6596" w:rsidP="00C602B2">
      <w:pPr>
        <w:pStyle w:val="ListParagraph"/>
        <w:spacing w:after="0" w:line="240" w:lineRule="auto"/>
        <w:jc w:val="both"/>
        <w:rPr>
          <w:rFonts w:ascii="Arial" w:eastAsia="Times New Roman" w:hAnsi="Arial" w:cs="Arial"/>
          <w:kern w:val="0"/>
          <w:sz w:val="22"/>
          <w:szCs w:val="22"/>
          <w:lang w:eastAsia="en-GB"/>
          <w14:ligatures w14:val="none"/>
        </w:rPr>
      </w:pPr>
      <w:r w:rsidRPr="001C6596">
        <w:rPr>
          <w:rFonts w:ascii="Arial" w:eastAsia="Times New Roman" w:hAnsi="Arial" w:cs="Arial"/>
          <w:kern w:val="0"/>
          <w:sz w:val="22"/>
          <w:szCs w:val="22"/>
          <w:lang w:eastAsia="en-GB"/>
          <w14:ligatures w14:val="none"/>
        </w:rPr>
        <w:t>REASON: For the avoidance of doubt and in the interests of proper plannin</w:t>
      </w:r>
      <w:r>
        <w:rPr>
          <w:rFonts w:ascii="Arial" w:eastAsia="Times New Roman" w:hAnsi="Arial" w:cs="Arial"/>
          <w:kern w:val="0"/>
          <w:sz w:val="22"/>
          <w:szCs w:val="22"/>
          <w:lang w:eastAsia="en-GB"/>
          <w14:ligatures w14:val="none"/>
        </w:rPr>
        <w:t>g</w:t>
      </w:r>
    </w:p>
    <w:p w14:paraId="2F626854" w14:textId="77777777" w:rsidR="00C602B2" w:rsidRPr="00C602B2" w:rsidRDefault="00C602B2" w:rsidP="00C602B2">
      <w:pPr>
        <w:pStyle w:val="ListParagraph"/>
        <w:spacing w:after="0" w:line="276" w:lineRule="auto"/>
        <w:jc w:val="both"/>
        <w:rPr>
          <w:rFonts w:ascii="Arial" w:eastAsia="Times New Roman" w:hAnsi="Arial" w:cs="Arial"/>
          <w:b/>
          <w:bCs/>
          <w:kern w:val="0"/>
          <w:sz w:val="22"/>
          <w:szCs w:val="22"/>
          <w:lang w:eastAsia="en-GB"/>
          <w14:ligatures w14:val="none"/>
        </w:rPr>
      </w:pPr>
    </w:p>
    <w:p w14:paraId="1C32FC5F"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sectPr w:rsidR="007D57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Calibri">
    <w:panose1 w:val="020F0502020204030204"/>
    <w:charset w:val="00"/>
    <w:family w:val="swiss"/>
    <w:pitch w:val="variable"/>
    <w:sig w:usb0="E5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A613A4"/>
    <w:multiLevelType w:val="hybridMultilevel"/>
    <w:tmpl w:val="E5BE2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7"/>
  </w:num>
  <w:num w:numId="13" w16cid:durableId="17692293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3CC4"/>
    <w:rsid w:val="000143A5"/>
    <w:rsid w:val="000148E7"/>
    <w:rsid w:val="00015ADB"/>
    <w:rsid w:val="000221CB"/>
    <w:rsid w:val="00033847"/>
    <w:rsid w:val="00036B7E"/>
    <w:rsid w:val="00037EF9"/>
    <w:rsid w:val="00043B9C"/>
    <w:rsid w:val="000610AC"/>
    <w:rsid w:val="00063A02"/>
    <w:rsid w:val="00063D1C"/>
    <w:rsid w:val="0006701C"/>
    <w:rsid w:val="00071E19"/>
    <w:rsid w:val="0007377C"/>
    <w:rsid w:val="0007735A"/>
    <w:rsid w:val="00077A27"/>
    <w:rsid w:val="000815DE"/>
    <w:rsid w:val="0008454F"/>
    <w:rsid w:val="00085C56"/>
    <w:rsid w:val="00091944"/>
    <w:rsid w:val="00093398"/>
    <w:rsid w:val="00097010"/>
    <w:rsid w:val="000B4864"/>
    <w:rsid w:val="000B66D7"/>
    <w:rsid w:val="000B6B01"/>
    <w:rsid w:val="000C4A57"/>
    <w:rsid w:val="000C7F98"/>
    <w:rsid w:val="000D0858"/>
    <w:rsid w:val="000D5836"/>
    <w:rsid w:val="000E063D"/>
    <w:rsid w:val="000E18EB"/>
    <w:rsid w:val="000E6021"/>
    <w:rsid w:val="000E7462"/>
    <w:rsid w:val="000F3916"/>
    <w:rsid w:val="001044B1"/>
    <w:rsid w:val="00106EDA"/>
    <w:rsid w:val="00111D21"/>
    <w:rsid w:val="0011659B"/>
    <w:rsid w:val="00134D23"/>
    <w:rsid w:val="00141929"/>
    <w:rsid w:val="0014198B"/>
    <w:rsid w:val="0014592D"/>
    <w:rsid w:val="00152901"/>
    <w:rsid w:val="0016162B"/>
    <w:rsid w:val="00162405"/>
    <w:rsid w:val="0018298F"/>
    <w:rsid w:val="00186D78"/>
    <w:rsid w:val="00196447"/>
    <w:rsid w:val="001A4142"/>
    <w:rsid w:val="001A6E40"/>
    <w:rsid w:val="001B34A3"/>
    <w:rsid w:val="001C0267"/>
    <w:rsid w:val="001C30C8"/>
    <w:rsid w:val="001C6596"/>
    <w:rsid w:val="001C73A5"/>
    <w:rsid w:val="001D279F"/>
    <w:rsid w:val="001D2B00"/>
    <w:rsid w:val="001D367D"/>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560AE"/>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21B81"/>
    <w:rsid w:val="00331E7A"/>
    <w:rsid w:val="00332D09"/>
    <w:rsid w:val="003342BE"/>
    <w:rsid w:val="00335B14"/>
    <w:rsid w:val="003415BB"/>
    <w:rsid w:val="00362D8F"/>
    <w:rsid w:val="00364013"/>
    <w:rsid w:val="00371103"/>
    <w:rsid w:val="00371C0F"/>
    <w:rsid w:val="003727C5"/>
    <w:rsid w:val="00372E76"/>
    <w:rsid w:val="00373D71"/>
    <w:rsid w:val="0037425B"/>
    <w:rsid w:val="003774FF"/>
    <w:rsid w:val="0038668B"/>
    <w:rsid w:val="00393433"/>
    <w:rsid w:val="00394AB3"/>
    <w:rsid w:val="003A1DCC"/>
    <w:rsid w:val="003A202C"/>
    <w:rsid w:val="003A2DD3"/>
    <w:rsid w:val="003A7995"/>
    <w:rsid w:val="003C7574"/>
    <w:rsid w:val="003D47A4"/>
    <w:rsid w:val="003E08E2"/>
    <w:rsid w:val="003E2BA9"/>
    <w:rsid w:val="003F076A"/>
    <w:rsid w:val="003F391E"/>
    <w:rsid w:val="003F5922"/>
    <w:rsid w:val="003F6846"/>
    <w:rsid w:val="00400FB2"/>
    <w:rsid w:val="00407250"/>
    <w:rsid w:val="0041091D"/>
    <w:rsid w:val="00411A70"/>
    <w:rsid w:val="004130CC"/>
    <w:rsid w:val="004158E9"/>
    <w:rsid w:val="004212F8"/>
    <w:rsid w:val="00422C35"/>
    <w:rsid w:val="00425F8E"/>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5E9B"/>
    <w:rsid w:val="004E7970"/>
    <w:rsid w:val="004F635C"/>
    <w:rsid w:val="004F65E7"/>
    <w:rsid w:val="005112D9"/>
    <w:rsid w:val="00515980"/>
    <w:rsid w:val="0051645C"/>
    <w:rsid w:val="0052069C"/>
    <w:rsid w:val="00520E30"/>
    <w:rsid w:val="00520EA5"/>
    <w:rsid w:val="00530670"/>
    <w:rsid w:val="0054068B"/>
    <w:rsid w:val="00540D13"/>
    <w:rsid w:val="00550749"/>
    <w:rsid w:val="00561A9C"/>
    <w:rsid w:val="00565E80"/>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1EE2"/>
    <w:rsid w:val="00615302"/>
    <w:rsid w:val="006164A3"/>
    <w:rsid w:val="00616DC2"/>
    <w:rsid w:val="0062234B"/>
    <w:rsid w:val="00623E18"/>
    <w:rsid w:val="006242FB"/>
    <w:rsid w:val="00631B2E"/>
    <w:rsid w:val="0063206F"/>
    <w:rsid w:val="006407C9"/>
    <w:rsid w:val="00640FEC"/>
    <w:rsid w:val="00643C57"/>
    <w:rsid w:val="00647E0D"/>
    <w:rsid w:val="00653CA6"/>
    <w:rsid w:val="00657683"/>
    <w:rsid w:val="00662503"/>
    <w:rsid w:val="00662C0A"/>
    <w:rsid w:val="00663D3A"/>
    <w:rsid w:val="00664B60"/>
    <w:rsid w:val="006656F8"/>
    <w:rsid w:val="0066737B"/>
    <w:rsid w:val="006705B5"/>
    <w:rsid w:val="00673B87"/>
    <w:rsid w:val="00680DA9"/>
    <w:rsid w:val="00683456"/>
    <w:rsid w:val="00683C17"/>
    <w:rsid w:val="0068695E"/>
    <w:rsid w:val="00686DA0"/>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3039D"/>
    <w:rsid w:val="00741B57"/>
    <w:rsid w:val="00742C35"/>
    <w:rsid w:val="00744E80"/>
    <w:rsid w:val="00746EC2"/>
    <w:rsid w:val="00750FD1"/>
    <w:rsid w:val="00755B0D"/>
    <w:rsid w:val="007638C3"/>
    <w:rsid w:val="00771C95"/>
    <w:rsid w:val="00790038"/>
    <w:rsid w:val="00793652"/>
    <w:rsid w:val="007A0F1C"/>
    <w:rsid w:val="007A47F8"/>
    <w:rsid w:val="007B70B8"/>
    <w:rsid w:val="007B7AE0"/>
    <w:rsid w:val="007C1403"/>
    <w:rsid w:val="007C28D5"/>
    <w:rsid w:val="007C6DE3"/>
    <w:rsid w:val="007D187B"/>
    <w:rsid w:val="007D390B"/>
    <w:rsid w:val="007D4B14"/>
    <w:rsid w:val="007D5706"/>
    <w:rsid w:val="007D5BE7"/>
    <w:rsid w:val="007D6521"/>
    <w:rsid w:val="007E229B"/>
    <w:rsid w:val="007E4274"/>
    <w:rsid w:val="007E4322"/>
    <w:rsid w:val="007F3ABA"/>
    <w:rsid w:val="007F520B"/>
    <w:rsid w:val="007F740F"/>
    <w:rsid w:val="00802C50"/>
    <w:rsid w:val="00810B9F"/>
    <w:rsid w:val="008176BD"/>
    <w:rsid w:val="0083213E"/>
    <w:rsid w:val="008376A8"/>
    <w:rsid w:val="0084306F"/>
    <w:rsid w:val="0084670A"/>
    <w:rsid w:val="00852CAC"/>
    <w:rsid w:val="00855117"/>
    <w:rsid w:val="0085527B"/>
    <w:rsid w:val="00862AEC"/>
    <w:rsid w:val="0086379F"/>
    <w:rsid w:val="00867EFD"/>
    <w:rsid w:val="0087005A"/>
    <w:rsid w:val="0087744B"/>
    <w:rsid w:val="00881728"/>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19A9"/>
    <w:rsid w:val="008E3EA2"/>
    <w:rsid w:val="008E684D"/>
    <w:rsid w:val="008F0D3D"/>
    <w:rsid w:val="008F1CF8"/>
    <w:rsid w:val="008F5A9F"/>
    <w:rsid w:val="008F6030"/>
    <w:rsid w:val="00902398"/>
    <w:rsid w:val="00910F0C"/>
    <w:rsid w:val="00921A38"/>
    <w:rsid w:val="0092325F"/>
    <w:rsid w:val="00924221"/>
    <w:rsid w:val="0092586B"/>
    <w:rsid w:val="00932A4E"/>
    <w:rsid w:val="009350D4"/>
    <w:rsid w:val="009506EC"/>
    <w:rsid w:val="00953630"/>
    <w:rsid w:val="0096107D"/>
    <w:rsid w:val="00961C4E"/>
    <w:rsid w:val="00965A06"/>
    <w:rsid w:val="00965A12"/>
    <w:rsid w:val="00967DCB"/>
    <w:rsid w:val="00970A8A"/>
    <w:rsid w:val="00971142"/>
    <w:rsid w:val="00972DD7"/>
    <w:rsid w:val="00974EA2"/>
    <w:rsid w:val="00981487"/>
    <w:rsid w:val="009858F4"/>
    <w:rsid w:val="0098600D"/>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11B51"/>
    <w:rsid w:val="00A23603"/>
    <w:rsid w:val="00A241C0"/>
    <w:rsid w:val="00A24AEC"/>
    <w:rsid w:val="00A2789B"/>
    <w:rsid w:val="00A3010D"/>
    <w:rsid w:val="00A34EB7"/>
    <w:rsid w:val="00A4064A"/>
    <w:rsid w:val="00A41502"/>
    <w:rsid w:val="00A4593E"/>
    <w:rsid w:val="00A46019"/>
    <w:rsid w:val="00A55952"/>
    <w:rsid w:val="00A6662C"/>
    <w:rsid w:val="00A71295"/>
    <w:rsid w:val="00A772D3"/>
    <w:rsid w:val="00A81CF7"/>
    <w:rsid w:val="00A85226"/>
    <w:rsid w:val="00AB52C2"/>
    <w:rsid w:val="00AC01A4"/>
    <w:rsid w:val="00AD2BC0"/>
    <w:rsid w:val="00AD39FA"/>
    <w:rsid w:val="00AE028B"/>
    <w:rsid w:val="00AE04FE"/>
    <w:rsid w:val="00AF193A"/>
    <w:rsid w:val="00AF2650"/>
    <w:rsid w:val="00AF2AF9"/>
    <w:rsid w:val="00B01936"/>
    <w:rsid w:val="00B111D2"/>
    <w:rsid w:val="00B16D71"/>
    <w:rsid w:val="00B1710B"/>
    <w:rsid w:val="00B241FA"/>
    <w:rsid w:val="00B3075F"/>
    <w:rsid w:val="00B44AEA"/>
    <w:rsid w:val="00B44C99"/>
    <w:rsid w:val="00B44EC9"/>
    <w:rsid w:val="00B52C0E"/>
    <w:rsid w:val="00B54DA2"/>
    <w:rsid w:val="00B633AB"/>
    <w:rsid w:val="00B704D4"/>
    <w:rsid w:val="00B71530"/>
    <w:rsid w:val="00B71D0E"/>
    <w:rsid w:val="00B7214D"/>
    <w:rsid w:val="00B82691"/>
    <w:rsid w:val="00B915D4"/>
    <w:rsid w:val="00B91A21"/>
    <w:rsid w:val="00B9256E"/>
    <w:rsid w:val="00BA2753"/>
    <w:rsid w:val="00BB5ECE"/>
    <w:rsid w:val="00BB7690"/>
    <w:rsid w:val="00BD6B4D"/>
    <w:rsid w:val="00BE579C"/>
    <w:rsid w:val="00BE5F7B"/>
    <w:rsid w:val="00BF1DB2"/>
    <w:rsid w:val="00BF7456"/>
    <w:rsid w:val="00C03688"/>
    <w:rsid w:val="00C11780"/>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02B2"/>
    <w:rsid w:val="00C66E1F"/>
    <w:rsid w:val="00C73630"/>
    <w:rsid w:val="00C760C4"/>
    <w:rsid w:val="00C777DF"/>
    <w:rsid w:val="00C81A53"/>
    <w:rsid w:val="00C8654A"/>
    <w:rsid w:val="00C86A61"/>
    <w:rsid w:val="00CA3A97"/>
    <w:rsid w:val="00CB6B3B"/>
    <w:rsid w:val="00CC25E4"/>
    <w:rsid w:val="00CC51B9"/>
    <w:rsid w:val="00CC552A"/>
    <w:rsid w:val="00CC57A0"/>
    <w:rsid w:val="00CD745F"/>
    <w:rsid w:val="00CE7093"/>
    <w:rsid w:val="00CF4F6C"/>
    <w:rsid w:val="00CF7529"/>
    <w:rsid w:val="00D01565"/>
    <w:rsid w:val="00D06D32"/>
    <w:rsid w:val="00D13283"/>
    <w:rsid w:val="00D14841"/>
    <w:rsid w:val="00D15F32"/>
    <w:rsid w:val="00D20665"/>
    <w:rsid w:val="00D22F8E"/>
    <w:rsid w:val="00D30109"/>
    <w:rsid w:val="00D3717E"/>
    <w:rsid w:val="00D44370"/>
    <w:rsid w:val="00D5047C"/>
    <w:rsid w:val="00D50CF6"/>
    <w:rsid w:val="00D6091D"/>
    <w:rsid w:val="00D70D49"/>
    <w:rsid w:val="00D7435B"/>
    <w:rsid w:val="00D75F49"/>
    <w:rsid w:val="00D831EE"/>
    <w:rsid w:val="00D859CC"/>
    <w:rsid w:val="00D902FA"/>
    <w:rsid w:val="00D907C3"/>
    <w:rsid w:val="00DA41A3"/>
    <w:rsid w:val="00DA4EB2"/>
    <w:rsid w:val="00DA6F2E"/>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419E"/>
    <w:rsid w:val="00E162CA"/>
    <w:rsid w:val="00E16B1D"/>
    <w:rsid w:val="00E37C6D"/>
    <w:rsid w:val="00E51166"/>
    <w:rsid w:val="00E55C30"/>
    <w:rsid w:val="00E57D1F"/>
    <w:rsid w:val="00E61170"/>
    <w:rsid w:val="00E61ADC"/>
    <w:rsid w:val="00E70135"/>
    <w:rsid w:val="00E70D98"/>
    <w:rsid w:val="00E90A3F"/>
    <w:rsid w:val="00E95266"/>
    <w:rsid w:val="00E95D34"/>
    <w:rsid w:val="00E977C4"/>
    <w:rsid w:val="00EA018B"/>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6D8"/>
    <w:rsid w:val="00F33A0F"/>
    <w:rsid w:val="00F400B5"/>
    <w:rsid w:val="00F40F2D"/>
    <w:rsid w:val="00F50F61"/>
    <w:rsid w:val="00F7017C"/>
    <w:rsid w:val="00F7609E"/>
    <w:rsid w:val="00F77540"/>
    <w:rsid w:val="00F83D5B"/>
    <w:rsid w:val="00F83DDF"/>
    <w:rsid w:val="00F85D5A"/>
    <w:rsid w:val="00F86303"/>
    <w:rsid w:val="00F9178A"/>
    <w:rsid w:val="00F932D6"/>
    <w:rsid w:val="00F937AC"/>
    <w:rsid w:val="00FA04EC"/>
    <w:rsid w:val="00FA3D27"/>
    <w:rsid w:val="00FA3DF1"/>
    <w:rsid w:val="00FA5EC3"/>
    <w:rsid w:val="00FB193A"/>
    <w:rsid w:val="00FC07FD"/>
    <w:rsid w:val="00FC1B49"/>
    <w:rsid w:val="00FD0031"/>
    <w:rsid w:val="00FD138B"/>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38CB4"/>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B241FA"/>
    <w:rPr>
      <w:rFonts w:ascii="StoneSansStd-Medium" w:hAnsi="StoneSansStd-Medium" w:hint="default"/>
      <w:b w:val="0"/>
      <w:bCs w:val="0"/>
      <w:i w:val="0"/>
      <w:iCs w:val="0"/>
      <w:color w:val="231F20"/>
      <w:sz w:val="20"/>
      <w:szCs w:val="20"/>
    </w:rPr>
  </w:style>
  <w:style w:type="paragraph" w:styleId="NoSpacing">
    <w:name w:val="No Spacing"/>
    <w:uiPriority w:val="1"/>
    <w:qFormat/>
    <w:rsid w:val="00037EF9"/>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6</Pages>
  <Words>1999</Words>
  <Characters>11397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salesforceId:9ef6ff1a-3c98-4953-be81-29c6fc532d7b</dc:subject>
  <dc:creator>O'Donoghue, Ruaridh</dc:creator>
  <cp:keywords/>
  <dc:description/>
  <cp:lastModifiedBy>Parker-Miles, Selina</cp:lastModifiedBy>
  <cp:revision>86</cp:revision>
  <dcterms:created xsi:type="dcterms:W3CDTF">2026-06-19T09:26:00Z</dcterms:created>
  <dcterms:modified xsi:type="dcterms:W3CDTF">2026-06-19T12:57:00Z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069Q300000QhahEIAR</vt:lpwstr>
  </property>
</Properties>
</file>