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D2954"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3F76A30"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5B171C7"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14227B93" w14:textId="77777777" w:rsidTr="47A0F66D">
        <w:tc>
          <w:tcPr>
            <w:tcW w:w="3681" w:type="dxa"/>
          </w:tcPr>
          <w:p w14:paraId="6366BDE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79116B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PL/2026/01499</w:t>
            </w:r>
          </w:p>
        </w:tc>
      </w:tr>
      <w:tr w:rsidR="00477CC4" w14:paraId="525D7562" w14:textId="77777777" w:rsidTr="47A0F66D">
        <w:tc>
          <w:tcPr>
            <w:tcW w:w="3681" w:type="dxa"/>
          </w:tcPr>
          <w:p w14:paraId="09EB765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2926D8F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784B98C5" w14:textId="77777777" w:rsidTr="47A0F66D">
        <w:tc>
          <w:tcPr>
            <w:tcW w:w="3681" w:type="dxa"/>
          </w:tcPr>
          <w:p w14:paraId="666D16A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20AEDA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Barn at Piccadilly House, Folly Lane West, Lacock, Chippenham, SN15 2LP</w:t>
            </w:r>
          </w:p>
        </w:tc>
      </w:tr>
      <w:tr w:rsidR="00477CC4" w14:paraId="2A56ADAB" w14:textId="77777777" w:rsidTr="47A0F66D">
        <w:tc>
          <w:tcPr>
            <w:tcW w:w="3681" w:type="dxa"/>
          </w:tcPr>
          <w:p w14:paraId="0730C8DD"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75968419"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Creation of 1No dwelling</w:t>
            </w:r>
          </w:p>
        </w:tc>
      </w:tr>
      <w:tr w:rsidR="00477CC4" w14:paraId="1FBF44D2" w14:textId="77777777" w:rsidTr="47A0F66D">
        <w:tc>
          <w:tcPr>
            <w:tcW w:w="3681" w:type="dxa"/>
          </w:tcPr>
          <w:p w14:paraId="5A5132E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81A3063"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7BFF3B3" w14:textId="77777777" w:rsidR="00F7609E" w:rsidRPr="00F7609E" w:rsidRDefault="00F7609E" w:rsidP="00F7609E">
      <w:pPr>
        <w:spacing w:line="276" w:lineRule="auto"/>
        <w:jc w:val="both"/>
        <w:rPr>
          <w:rFonts w:ascii="Arial" w:hAnsi="Arial" w:cs="Arial"/>
          <w:sz w:val="22"/>
          <w:szCs w:val="22"/>
        </w:rPr>
      </w:pPr>
    </w:p>
    <w:p w14:paraId="69F4D179"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7014F8AE" w14:textId="77777777" w:rsidR="00683C17" w:rsidRPr="008C1C18" w:rsidRDefault="00683C17" w:rsidP="00683C17">
      <w:pPr>
        <w:spacing w:line="276" w:lineRule="auto"/>
        <w:jc w:val="both"/>
        <w:rPr>
          <w:rFonts w:ascii="Arial" w:hAnsi="Arial" w:cs="Arial"/>
          <w:color w:val="000000" w:themeColor="text1"/>
          <w:sz w:val="22"/>
          <w:szCs w:val="22"/>
        </w:rPr>
      </w:pPr>
    </w:p>
    <w:p w14:paraId="0568ED73" w14:textId="3CB2C270"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The application site comprises a former agricultural storage building located at Piccadilly House, Folly Lane, Lacock, to the south of the village of Lacock within a predominantly rural setting. The site forms part of a wider parcel of land that has historically accommodated a mix of agricultural, storage and caravan park-related uses.</w:t>
      </w:r>
    </w:p>
    <w:p w14:paraId="3804EE9C" w14:textId="77777777" w:rsidR="00D861D1" w:rsidRPr="008C1C18" w:rsidRDefault="00D861D1" w:rsidP="00D861D1">
      <w:pPr>
        <w:spacing w:line="276" w:lineRule="auto"/>
        <w:jc w:val="both"/>
        <w:rPr>
          <w:rFonts w:ascii="Arial" w:hAnsi="Arial" w:cs="Arial"/>
          <w:color w:val="000000" w:themeColor="text1"/>
          <w:sz w:val="22"/>
          <w:szCs w:val="22"/>
        </w:rPr>
      </w:pPr>
    </w:p>
    <w:p w14:paraId="256A0CFA" w14:textId="5491F879"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 xml:space="preserve">The building itself is positioned between differing land uses. Immediately to the east lies the residential curtilage of </w:t>
      </w:r>
      <w:proofErr w:type="spellStart"/>
      <w:r w:rsidRPr="008C1C18">
        <w:rPr>
          <w:rFonts w:ascii="Arial" w:hAnsi="Arial" w:cs="Arial"/>
          <w:color w:val="000000" w:themeColor="text1"/>
          <w:sz w:val="22"/>
          <w:szCs w:val="22"/>
        </w:rPr>
        <w:t>Beechfield</w:t>
      </w:r>
      <w:proofErr w:type="spellEnd"/>
      <w:r w:rsidRPr="008C1C18">
        <w:rPr>
          <w:rFonts w:ascii="Arial" w:hAnsi="Arial" w:cs="Arial"/>
          <w:color w:val="000000" w:themeColor="text1"/>
          <w:sz w:val="22"/>
          <w:szCs w:val="22"/>
        </w:rPr>
        <w:t>, a detached dwelling, from which the application building is separated by a boundary comprising mature hedgerow and intermittent trees. The building sits in very close proximity to this boundary (approximately 1–2 metres), with the host dwelling located approximately 15 metres to the north-east.</w:t>
      </w:r>
    </w:p>
    <w:p w14:paraId="08918DBE" w14:textId="77777777" w:rsidR="00D861D1" w:rsidRPr="008C1C18" w:rsidRDefault="00D861D1" w:rsidP="00D861D1">
      <w:pPr>
        <w:spacing w:line="276" w:lineRule="auto"/>
        <w:jc w:val="both"/>
        <w:rPr>
          <w:rFonts w:ascii="Arial" w:hAnsi="Arial" w:cs="Arial"/>
          <w:color w:val="000000" w:themeColor="text1"/>
          <w:sz w:val="22"/>
          <w:szCs w:val="22"/>
        </w:rPr>
      </w:pPr>
    </w:p>
    <w:p w14:paraId="70808F23" w14:textId="773F3EA6"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To the west, the site adjoins the Piccadilly Caravan Park, with associated touring and operational activities. The caravan park includes a facilities building located approximately 10–11 metres from the application building, and its access road runs between the caravan site and the application building.</w:t>
      </w:r>
    </w:p>
    <w:p w14:paraId="7634A5BB" w14:textId="77777777" w:rsidR="00D861D1" w:rsidRPr="008C1C18" w:rsidRDefault="00D861D1" w:rsidP="00D861D1">
      <w:pPr>
        <w:spacing w:line="276" w:lineRule="auto"/>
        <w:jc w:val="both"/>
        <w:rPr>
          <w:rFonts w:ascii="Arial" w:hAnsi="Arial" w:cs="Arial"/>
          <w:color w:val="000000" w:themeColor="text1"/>
          <w:sz w:val="22"/>
          <w:szCs w:val="22"/>
        </w:rPr>
      </w:pPr>
    </w:p>
    <w:p w14:paraId="0F001406" w14:textId="0F4DCC80"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To the south of the building are former glasshouse structures (some of which fall within the application red line) and additional land associated with the caravan park, reinforcing the mixed-use character of the immediate surroundings.</w:t>
      </w:r>
    </w:p>
    <w:p w14:paraId="58686702" w14:textId="77777777" w:rsidR="00D861D1" w:rsidRPr="008C1C18" w:rsidRDefault="00D861D1" w:rsidP="00D861D1">
      <w:pPr>
        <w:spacing w:line="276" w:lineRule="auto"/>
        <w:jc w:val="both"/>
        <w:rPr>
          <w:rFonts w:ascii="Arial" w:hAnsi="Arial" w:cs="Arial"/>
          <w:color w:val="000000" w:themeColor="text1"/>
          <w:sz w:val="22"/>
          <w:szCs w:val="22"/>
        </w:rPr>
      </w:pPr>
    </w:p>
    <w:p w14:paraId="110CE9A6" w14:textId="4D62564F"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 xml:space="preserve">Access to the site is taken from Folly Lane via an established vehicular access which also serves the adjoining caravan park, located approximately 25 metres west of the separate residential access serving </w:t>
      </w:r>
      <w:proofErr w:type="spellStart"/>
      <w:r w:rsidRPr="008C1C18">
        <w:rPr>
          <w:rFonts w:ascii="Arial" w:hAnsi="Arial" w:cs="Arial"/>
          <w:color w:val="000000" w:themeColor="text1"/>
          <w:sz w:val="22"/>
          <w:szCs w:val="22"/>
        </w:rPr>
        <w:t>Beechfield</w:t>
      </w:r>
      <w:proofErr w:type="spellEnd"/>
      <w:r w:rsidRPr="008C1C18">
        <w:rPr>
          <w:rFonts w:ascii="Arial" w:hAnsi="Arial" w:cs="Arial"/>
          <w:color w:val="000000" w:themeColor="text1"/>
          <w:sz w:val="22"/>
          <w:szCs w:val="22"/>
        </w:rPr>
        <w:t>.</w:t>
      </w:r>
    </w:p>
    <w:p w14:paraId="3CF8322A" w14:textId="77777777" w:rsidR="00D861D1" w:rsidRPr="008C1C18" w:rsidRDefault="00D861D1" w:rsidP="00D861D1">
      <w:pPr>
        <w:spacing w:line="276" w:lineRule="auto"/>
        <w:jc w:val="both"/>
        <w:rPr>
          <w:rFonts w:ascii="Arial" w:hAnsi="Arial" w:cs="Arial"/>
          <w:color w:val="000000" w:themeColor="text1"/>
          <w:sz w:val="22"/>
          <w:szCs w:val="22"/>
        </w:rPr>
      </w:pPr>
    </w:p>
    <w:p w14:paraId="376C3303" w14:textId="7487265B"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In terms of physical characteristics, the building measures approximately 22.0 metres by 9.5 metres and is of simple agricultural form, with timber-clad elevations and a corrugated roof. The site slopes from north to south, resulting in varying eaves heights of approximately 2.2 to 2.7 metres and a ridge height of approximately 4.1 to 4.6 metres.</w:t>
      </w:r>
    </w:p>
    <w:p w14:paraId="2F1348DF" w14:textId="77777777" w:rsidR="00D861D1" w:rsidRPr="008C1C18" w:rsidRDefault="00D861D1" w:rsidP="00D861D1">
      <w:pPr>
        <w:spacing w:line="276" w:lineRule="auto"/>
        <w:jc w:val="both"/>
        <w:rPr>
          <w:rFonts w:ascii="Arial" w:hAnsi="Arial" w:cs="Arial"/>
          <w:color w:val="000000" w:themeColor="text1"/>
          <w:sz w:val="22"/>
          <w:szCs w:val="22"/>
        </w:rPr>
      </w:pPr>
    </w:p>
    <w:p w14:paraId="4CEDCC49" w14:textId="70F2E905"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There are no specific statutory designations affecting the site, and it is located within Flood Zone 1, indicating a low probability of flooding.</w:t>
      </w:r>
    </w:p>
    <w:p w14:paraId="425464E5" w14:textId="77777777" w:rsidR="00D861D1" w:rsidRPr="008C1C18" w:rsidRDefault="00D861D1" w:rsidP="00D861D1">
      <w:pPr>
        <w:spacing w:line="276" w:lineRule="auto"/>
        <w:jc w:val="both"/>
        <w:rPr>
          <w:rFonts w:ascii="Arial" w:hAnsi="Arial" w:cs="Arial"/>
          <w:color w:val="000000" w:themeColor="text1"/>
          <w:sz w:val="22"/>
          <w:szCs w:val="22"/>
        </w:rPr>
      </w:pPr>
    </w:p>
    <w:p w14:paraId="742634FF" w14:textId="262620C8" w:rsidR="00D861D1" w:rsidRPr="008C1C18" w:rsidRDefault="00D861D1" w:rsidP="00D861D1">
      <w:pPr>
        <w:spacing w:line="276" w:lineRule="auto"/>
        <w:jc w:val="both"/>
        <w:rPr>
          <w:rFonts w:ascii="Arial" w:hAnsi="Arial" w:cs="Arial"/>
          <w:color w:val="000000" w:themeColor="text1"/>
          <w:sz w:val="22"/>
          <w:szCs w:val="22"/>
        </w:rPr>
      </w:pPr>
      <w:r w:rsidRPr="008C1C18">
        <w:rPr>
          <w:rFonts w:ascii="Arial" w:hAnsi="Arial" w:cs="Arial"/>
          <w:color w:val="000000" w:themeColor="text1"/>
          <w:sz w:val="22"/>
          <w:szCs w:val="22"/>
        </w:rPr>
        <w:t>Overall, the site is characterised by its rural edge-of-settlement context and immediate juxtaposition of residential and tourism-related uses, resulting in a constrained relationship with neighbouring land uses and built form.</w:t>
      </w:r>
    </w:p>
    <w:p w14:paraId="798988FF" w14:textId="77777777" w:rsidR="00D861D1" w:rsidRDefault="00D861D1" w:rsidP="00D861D1">
      <w:pPr>
        <w:spacing w:line="276" w:lineRule="auto"/>
        <w:jc w:val="both"/>
        <w:rPr>
          <w:rFonts w:ascii="Arial" w:hAnsi="Arial" w:cs="Arial"/>
          <w:color w:val="FF0000"/>
          <w:sz w:val="22"/>
          <w:szCs w:val="22"/>
        </w:rPr>
      </w:pPr>
    </w:p>
    <w:p w14:paraId="47850EFE" w14:textId="77777777" w:rsidR="00D861D1" w:rsidRDefault="00D861D1" w:rsidP="00683C17">
      <w:pPr>
        <w:spacing w:line="276" w:lineRule="auto"/>
        <w:jc w:val="both"/>
        <w:rPr>
          <w:rFonts w:ascii="Arial" w:hAnsi="Arial" w:cs="Arial"/>
          <w:color w:val="FF0000"/>
          <w:sz w:val="22"/>
          <w:szCs w:val="22"/>
        </w:rPr>
      </w:pPr>
    </w:p>
    <w:p w14:paraId="07D15264" w14:textId="77777777" w:rsidR="00F7609E" w:rsidRPr="00396481" w:rsidRDefault="00F7609E" w:rsidP="00683C17">
      <w:pPr>
        <w:spacing w:line="276" w:lineRule="auto"/>
        <w:jc w:val="both"/>
        <w:outlineLvl w:val="2"/>
        <w:rPr>
          <w:rFonts w:ascii="Arial" w:hAnsi="Arial" w:cs="Arial"/>
          <w:b/>
          <w:bCs/>
          <w:sz w:val="22"/>
          <w:szCs w:val="22"/>
        </w:rPr>
      </w:pPr>
      <w:r w:rsidRPr="00396481">
        <w:rPr>
          <w:rFonts w:ascii="Arial" w:hAnsi="Arial" w:cs="Arial"/>
          <w:b/>
          <w:bCs/>
          <w:sz w:val="22"/>
          <w:szCs w:val="22"/>
        </w:rPr>
        <w:t>PROPOSAL</w:t>
      </w:r>
    </w:p>
    <w:p w14:paraId="04527F21" w14:textId="77777777" w:rsidR="00683C17" w:rsidRPr="00396481" w:rsidRDefault="00683C17" w:rsidP="00683C17">
      <w:pPr>
        <w:spacing w:line="276" w:lineRule="auto"/>
        <w:jc w:val="both"/>
        <w:rPr>
          <w:rFonts w:ascii="Arial" w:hAnsi="Arial" w:cs="Arial"/>
          <w:color w:val="FF0000"/>
          <w:sz w:val="22"/>
          <w:szCs w:val="22"/>
        </w:rPr>
      </w:pPr>
    </w:p>
    <w:p w14:paraId="13A895BA" w14:textId="1555B85D" w:rsidR="006C075B" w:rsidRDefault="006C075B" w:rsidP="006C075B">
      <w:pPr>
        <w:spacing w:line="276" w:lineRule="auto"/>
        <w:jc w:val="both"/>
        <w:rPr>
          <w:rFonts w:ascii="Arial" w:hAnsi="Arial" w:cs="Arial"/>
          <w:color w:val="000000" w:themeColor="text1"/>
          <w:sz w:val="22"/>
          <w:szCs w:val="22"/>
        </w:rPr>
      </w:pPr>
      <w:r w:rsidRPr="00396481">
        <w:rPr>
          <w:rFonts w:ascii="Arial" w:hAnsi="Arial" w:cs="Arial"/>
          <w:color w:val="000000" w:themeColor="text1"/>
          <w:sz w:val="22"/>
          <w:szCs w:val="22"/>
        </w:rPr>
        <w:t>The application seeks full planning permission for the conversion of the existing agricultural building at Piccadilly House to form a single residential dwelling, as an alternative to the extant prior approval permission (ref. PL/2024/09383) for the conversion of the building into two separate dwellings.</w:t>
      </w:r>
    </w:p>
    <w:p w14:paraId="6B77BCBF" w14:textId="77777777" w:rsidR="00F34011" w:rsidRDefault="00F34011" w:rsidP="006C075B">
      <w:pPr>
        <w:spacing w:line="276" w:lineRule="auto"/>
        <w:jc w:val="both"/>
        <w:rPr>
          <w:rFonts w:ascii="Arial" w:hAnsi="Arial" w:cs="Arial"/>
          <w:color w:val="000000" w:themeColor="text1"/>
          <w:sz w:val="22"/>
          <w:szCs w:val="22"/>
        </w:rPr>
      </w:pPr>
    </w:p>
    <w:p w14:paraId="30E19AA8" w14:textId="4B738638" w:rsidR="00F34011" w:rsidRDefault="00F34011" w:rsidP="006C075B">
      <w:pPr>
        <w:spacing w:line="276" w:lineRule="auto"/>
        <w:jc w:val="both"/>
        <w:rPr>
          <w:rFonts w:ascii="Arial" w:hAnsi="Arial" w:cs="Arial"/>
          <w:color w:val="000000" w:themeColor="text1"/>
          <w:sz w:val="22"/>
          <w:szCs w:val="22"/>
        </w:rPr>
      </w:pPr>
      <w:r w:rsidRPr="00F34011">
        <w:rPr>
          <w:rFonts w:ascii="Arial" w:hAnsi="Arial" w:cs="Arial"/>
          <w:noProof/>
          <w:color w:val="000000" w:themeColor="text1"/>
          <w:sz w:val="22"/>
          <w:szCs w:val="22"/>
        </w:rPr>
        <w:drawing>
          <wp:inline distT="0" distB="0" distL="0" distR="0" wp14:anchorId="29F0DF86" wp14:editId="4A4BD533">
            <wp:extent cx="5731510" cy="1522095"/>
            <wp:effectExtent l="0" t="0" r="2540" b="1905"/>
            <wp:docPr id="174833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34518" name=""/>
                    <pic:cNvPicPr/>
                  </pic:nvPicPr>
                  <pic:blipFill>
                    <a:blip r:embed="rId8"/>
                    <a:stretch>
                      <a:fillRect/>
                    </a:stretch>
                  </pic:blipFill>
                  <pic:spPr>
                    <a:xfrm>
                      <a:off x="0" y="0"/>
                      <a:ext cx="5731510" cy="1522095"/>
                    </a:xfrm>
                    <a:prstGeom prst="rect">
                      <a:avLst/>
                    </a:prstGeom>
                  </pic:spPr>
                </pic:pic>
              </a:graphicData>
            </a:graphic>
          </wp:inline>
        </w:drawing>
      </w:r>
    </w:p>
    <w:p w14:paraId="380EF634" w14:textId="482C2459" w:rsidR="00F34011" w:rsidRPr="00F34011" w:rsidRDefault="00F34011" w:rsidP="006C075B">
      <w:pPr>
        <w:spacing w:line="276" w:lineRule="auto"/>
        <w:jc w:val="both"/>
        <w:rPr>
          <w:rFonts w:ascii="Arial" w:hAnsi="Arial" w:cs="Arial"/>
          <w:i/>
          <w:iCs/>
          <w:color w:val="000000" w:themeColor="text1"/>
          <w:sz w:val="22"/>
          <w:szCs w:val="22"/>
        </w:rPr>
      </w:pPr>
      <w:r w:rsidRPr="00F34011">
        <w:rPr>
          <w:rFonts w:ascii="Arial" w:hAnsi="Arial" w:cs="Arial"/>
          <w:i/>
          <w:iCs/>
          <w:color w:val="000000" w:themeColor="text1"/>
          <w:sz w:val="22"/>
          <w:szCs w:val="22"/>
        </w:rPr>
        <w:t>Front elevation</w:t>
      </w:r>
    </w:p>
    <w:p w14:paraId="043F0F74" w14:textId="77777777" w:rsidR="006C075B" w:rsidRPr="00396481" w:rsidRDefault="006C075B" w:rsidP="006C075B">
      <w:pPr>
        <w:spacing w:line="276" w:lineRule="auto"/>
        <w:jc w:val="both"/>
        <w:rPr>
          <w:rFonts w:ascii="Arial" w:hAnsi="Arial" w:cs="Arial"/>
          <w:color w:val="000000" w:themeColor="text1"/>
          <w:sz w:val="22"/>
          <w:szCs w:val="22"/>
        </w:rPr>
      </w:pPr>
    </w:p>
    <w:p w14:paraId="4584CE92" w14:textId="168DDE77" w:rsidR="006C075B" w:rsidRPr="00396481" w:rsidRDefault="006C075B" w:rsidP="006C075B">
      <w:pPr>
        <w:spacing w:line="276" w:lineRule="auto"/>
        <w:jc w:val="both"/>
        <w:rPr>
          <w:rFonts w:ascii="Arial" w:hAnsi="Arial" w:cs="Arial"/>
          <w:color w:val="000000" w:themeColor="text1"/>
          <w:sz w:val="22"/>
          <w:szCs w:val="22"/>
        </w:rPr>
      </w:pPr>
      <w:r w:rsidRPr="00396481">
        <w:rPr>
          <w:rFonts w:ascii="Arial" w:hAnsi="Arial" w:cs="Arial"/>
          <w:color w:val="000000" w:themeColor="text1"/>
          <w:sz w:val="22"/>
          <w:szCs w:val="22"/>
        </w:rPr>
        <w:t>The proposal involves the reconfiguration of the approved internal layout within the existing building envelope to create one larger family dwelling, achieved primarily through the removal of the previously approved smaller residential unit.</w:t>
      </w:r>
    </w:p>
    <w:p w14:paraId="025B34D7" w14:textId="77777777" w:rsidR="006C075B" w:rsidRPr="00396481" w:rsidRDefault="006C075B" w:rsidP="006C075B">
      <w:pPr>
        <w:spacing w:line="276" w:lineRule="auto"/>
        <w:jc w:val="both"/>
        <w:rPr>
          <w:rFonts w:ascii="Arial" w:hAnsi="Arial" w:cs="Arial"/>
          <w:color w:val="000000" w:themeColor="text1"/>
          <w:sz w:val="22"/>
          <w:szCs w:val="22"/>
        </w:rPr>
      </w:pPr>
    </w:p>
    <w:p w14:paraId="12F59441" w14:textId="4B862FF8" w:rsidR="006C075B" w:rsidRPr="00396481" w:rsidRDefault="006C075B" w:rsidP="006C075B">
      <w:pPr>
        <w:spacing w:line="276" w:lineRule="auto"/>
        <w:jc w:val="both"/>
        <w:rPr>
          <w:rFonts w:ascii="Arial" w:hAnsi="Arial" w:cs="Arial"/>
          <w:color w:val="000000" w:themeColor="text1"/>
          <w:sz w:val="22"/>
          <w:szCs w:val="22"/>
        </w:rPr>
      </w:pPr>
      <w:r w:rsidRPr="00396481">
        <w:rPr>
          <w:rFonts w:ascii="Arial" w:hAnsi="Arial" w:cs="Arial"/>
          <w:color w:val="000000" w:themeColor="text1"/>
          <w:sz w:val="22"/>
          <w:szCs w:val="22"/>
        </w:rPr>
        <w:t>Externally, the scheme retains the same building shell and overall form as previously approved, with only minor alterations to the internal arrangement and associated openings required to facilitate a single coherent dwelling.</w:t>
      </w:r>
    </w:p>
    <w:p w14:paraId="1F6D9A47" w14:textId="77777777" w:rsidR="006C075B" w:rsidRPr="00396481" w:rsidRDefault="006C075B" w:rsidP="006C075B">
      <w:pPr>
        <w:spacing w:line="276" w:lineRule="auto"/>
        <w:jc w:val="both"/>
        <w:rPr>
          <w:rFonts w:ascii="Arial" w:hAnsi="Arial" w:cs="Arial"/>
          <w:color w:val="000000" w:themeColor="text1"/>
          <w:sz w:val="22"/>
          <w:szCs w:val="22"/>
        </w:rPr>
      </w:pPr>
    </w:p>
    <w:p w14:paraId="72453396" w14:textId="290A9D64" w:rsidR="006C075B" w:rsidRDefault="006C075B" w:rsidP="006C075B">
      <w:pPr>
        <w:spacing w:line="276" w:lineRule="auto"/>
        <w:jc w:val="both"/>
        <w:rPr>
          <w:rFonts w:ascii="Arial" w:hAnsi="Arial" w:cs="Arial"/>
          <w:color w:val="000000" w:themeColor="text1"/>
          <w:sz w:val="22"/>
          <w:szCs w:val="22"/>
        </w:rPr>
      </w:pPr>
      <w:r w:rsidRPr="00396481">
        <w:rPr>
          <w:rFonts w:ascii="Arial" w:hAnsi="Arial" w:cs="Arial"/>
          <w:color w:val="000000" w:themeColor="text1"/>
          <w:sz w:val="22"/>
          <w:szCs w:val="22"/>
        </w:rPr>
        <w:t>In addition, the proposal includes the formation of a single, enlarged residential curtilage, replacing the two separate garden areas approved under the prior approval scheme, thereby creating a unified planning unit associated with the new dwelling.</w:t>
      </w:r>
      <w:r w:rsidR="00DE1F7D">
        <w:rPr>
          <w:rFonts w:ascii="Arial" w:hAnsi="Arial" w:cs="Arial"/>
          <w:color w:val="000000" w:themeColor="text1"/>
          <w:sz w:val="22"/>
          <w:szCs w:val="22"/>
        </w:rPr>
        <w:t xml:space="preserve"> </w:t>
      </w:r>
      <w:r w:rsidR="00BC251D">
        <w:rPr>
          <w:rFonts w:ascii="Arial" w:hAnsi="Arial" w:cs="Arial"/>
          <w:color w:val="000000" w:themeColor="text1"/>
          <w:sz w:val="22"/>
          <w:szCs w:val="22"/>
        </w:rPr>
        <w:t>Within the garden area the</w:t>
      </w:r>
      <w:r w:rsidR="00792776">
        <w:rPr>
          <w:rFonts w:ascii="Arial" w:hAnsi="Arial" w:cs="Arial"/>
          <w:color w:val="000000" w:themeColor="text1"/>
          <w:sz w:val="22"/>
          <w:szCs w:val="22"/>
        </w:rPr>
        <w:t>re</w:t>
      </w:r>
      <w:r w:rsidR="00BC251D">
        <w:rPr>
          <w:rFonts w:ascii="Arial" w:hAnsi="Arial" w:cs="Arial"/>
          <w:color w:val="000000" w:themeColor="text1"/>
          <w:sz w:val="22"/>
          <w:szCs w:val="22"/>
        </w:rPr>
        <w:t xml:space="preserve"> will be a new bin and bike store, finished in timber cladding.</w:t>
      </w:r>
    </w:p>
    <w:p w14:paraId="77CF8B55" w14:textId="2EC06EB9" w:rsidR="00AD41EB" w:rsidRDefault="00AD41EB" w:rsidP="006C075B">
      <w:pPr>
        <w:spacing w:line="276" w:lineRule="auto"/>
        <w:jc w:val="both"/>
        <w:rPr>
          <w:rFonts w:ascii="Arial" w:hAnsi="Arial" w:cs="Arial"/>
          <w:color w:val="000000" w:themeColor="text1"/>
          <w:sz w:val="22"/>
          <w:szCs w:val="22"/>
        </w:rPr>
      </w:pPr>
      <w:r w:rsidRPr="00AD41EB">
        <w:rPr>
          <w:rFonts w:ascii="Arial" w:hAnsi="Arial" w:cs="Arial"/>
          <w:noProof/>
          <w:color w:val="000000" w:themeColor="text1"/>
          <w:sz w:val="22"/>
          <w:szCs w:val="22"/>
        </w:rPr>
        <w:drawing>
          <wp:inline distT="0" distB="0" distL="0" distR="0" wp14:anchorId="27648B4C" wp14:editId="58377C4E">
            <wp:extent cx="5731510" cy="789305"/>
            <wp:effectExtent l="0" t="0" r="2540" b="0"/>
            <wp:docPr id="188212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29277" name=""/>
                    <pic:cNvPicPr/>
                  </pic:nvPicPr>
                  <pic:blipFill>
                    <a:blip r:embed="rId9"/>
                    <a:stretch>
                      <a:fillRect/>
                    </a:stretch>
                  </pic:blipFill>
                  <pic:spPr>
                    <a:xfrm>
                      <a:off x="0" y="0"/>
                      <a:ext cx="5731510" cy="789305"/>
                    </a:xfrm>
                    <a:prstGeom prst="rect">
                      <a:avLst/>
                    </a:prstGeom>
                  </pic:spPr>
                </pic:pic>
              </a:graphicData>
            </a:graphic>
          </wp:inline>
        </w:drawing>
      </w:r>
    </w:p>
    <w:p w14:paraId="59506315" w14:textId="43FFE23F" w:rsidR="00AD41EB" w:rsidRPr="009F7CA7" w:rsidRDefault="009F7CA7" w:rsidP="006C075B">
      <w:pPr>
        <w:spacing w:line="276" w:lineRule="auto"/>
        <w:jc w:val="both"/>
        <w:rPr>
          <w:rFonts w:ascii="Arial" w:hAnsi="Arial" w:cs="Arial"/>
          <w:i/>
          <w:iCs/>
          <w:color w:val="000000" w:themeColor="text1"/>
          <w:sz w:val="22"/>
          <w:szCs w:val="22"/>
        </w:rPr>
      </w:pPr>
      <w:r w:rsidRPr="009F7CA7">
        <w:rPr>
          <w:rFonts w:ascii="Arial" w:hAnsi="Arial" w:cs="Arial"/>
          <w:i/>
          <w:iCs/>
          <w:color w:val="000000" w:themeColor="text1"/>
          <w:sz w:val="22"/>
          <w:szCs w:val="22"/>
        </w:rPr>
        <w:t>Bin and bike store elevations</w:t>
      </w:r>
    </w:p>
    <w:p w14:paraId="68B1F48B" w14:textId="77777777" w:rsidR="006C075B" w:rsidRPr="00396481" w:rsidRDefault="006C075B" w:rsidP="006C075B">
      <w:pPr>
        <w:spacing w:line="276" w:lineRule="auto"/>
        <w:jc w:val="both"/>
        <w:rPr>
          <w:rFonts w:ascii="Arial" w:hAnsi="Arial" w:cs="Arial"/>
          <w:color w:val="000000" w:themeColor="text1"/>
          <w:sz w:val="22"/>
          <w:szCs w:val="22"/>
        </w:rPr>
      </w:pPr>
    </w:p>
    <w:p w14:paraId="63D9079D" w14:textId="140F74BC" w:rsidR="006C075B" w:rsidRPr="00396481" w:rsidRDefault="006C075B" w:rsidP="006C075B">
      <w:pPr>
        <w:spacing w:line="276" w:lineRule="auto"/>
        <w:jc w:val="both"/>
        <w:rPr>
          <w:rFonts w:ascii="Arial" w:hAnsi="Arial" w:cs="Arial"/>
          <w:color w:val="000000" w:themeColor="text1"/>
          <w:sz w:val="22"/>
          <w:szCs w:val="22"/>
        </w:rPr>
      </w:pPr>
      <w:r w:rsidRPr="00396481">
        <w:rPr>
          <w:rFonts w:ascii="Arial" w:hAnsi="Arial" w:cs="Arial"/>
          <w:color w:val="000000" w:themeColor="text1"/>
          <w:sz w:val="22"/>
          <w:szCs w:val="22"/>
        </w:rPr>
        <w:t>The development would utilise the existing vehicular access and associated parking arrangements, with no material changes to access provision or the established pattern of movement.</w:t>
      </w:r>
    </w:p>
    <w:p w14:paraId="1ABCA3DB" w14:textId="77777777" w:rsidR="00683C17" w:rsidRPr="00396481" w:rsidRDefault="00683C17" w:rsidP="00683C17">
      <w:pPr>
        <w:spacing w:line="276" w:lineRule="auto"/>
        <w:jc w:val="both"/>
        <w:outlineLvl w:val="2"/>
        <w:rPr>
          <w:rFonts w:ascii="Arial" w:hAnsi="Arial" w:cs="Arial"/>
          <w:b/>
          <w:bCs/>
          <w:sz w:val="22"/>
          <w:szCs w:val="22"/>
        </w:rPr>
      </w:pPr>
    </w:p>
    <w:p w14:paraId="51E6CB05" w14:textId="77777777" w:rsidR="00F7609E" w:rsidRPr="00396481" w:rsidRDefault="00F7609E" w:rsidP="00683C17">
      <w:pPr>
        <w:spacing w:line="276" w:lineRule="auto"/>
        <w:jc w:val="both"/>
        <w:outlineLvl w:val="2"/>
        <w:rPr>
          <w:rFonts w:ascii="Arial" w:hAnsi="Arial" w:cs="Arial"/>
          <w:b/>
          <w:bCs/>
          <w:sz w:val="22"/>
          <w:szCs w:val="22"/>
        </w:rPr>
      </w:pPr>
      <w:r w:rsidRPr="00396481">
        <w:rPr>
          <w:rFonts w:ascii="Arial" w:hAnsi="Arial" w:cs="Arial"/>
          <w:b/>
          <w:bCs/>
          <w:sz w:val="22"/>
          <w:szCs w:val="22"/>
        </w:rPr>
        <w:t>PLANNING HISTORY</w:t>
      </w:r>
    </w:p>
    <w:p w14:paraId="1E075D14" w14:textId="77777777" w:rsidR="0029187E" w:rsidRPr="00396481"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96481" w14:paraId="2D9F9855" w14:textId="77777777" w:rsidTr="003A649D">
        <w:trPr>
          <w:trHeight w:hRule="exact" w:val="20"/>
        </w:trPr>
        <w:tc>
          <w:tcPr>
            <w:tcW w:w="8921" w:type="dxa"/>
            <w:tcBorders>
              <w:bottom w:val="single" w:sz="6" w:space="0" w:color="auto"/>
            </w:tcBorders>
            <w:vAlign w:val="center"/>
            <w:hideMark/>
          </w:tcPr>
          <w:p w14:paraId="1B8A8F13" w14:textId="77777777" w:rsidR="00151532" w:rsidRPr="00396481" w:rsidRDefault="00151532" w:rsidP="003A649D">
            <w:pPr>
              <w:rPr>
                <w:rFonts w:ascii="Arial" w:hAnsi="Arial" w:cs="Arial"/>
                <w:sz w:val="22"/>
                <w:szCs w:val="22"/>
              </w:rPr>
            </w:pPr>
            <w:bookmarkStart w:id="0" w:name="_bc9eaa23_7b84_4e11_8860_67eb8bbe0c9e"/>
          </w:p>
        </w:tc>
      </w:tr>
      <w:tr w:rsidR="00151532" w:rsidRPr="00396481" w14:paraId="4910EAA0"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EA3B2D8" w14:textId="77777777" w:rsidR="00151532" w:rsidRPr="00396481" w:rsidRDefault="00151532" w:rsidP="003A649D">
            <w:pPr>
              <w:rPr>
                <w:rFonts w:ascii="Arial" w:hAnsi="Arial" w:cs="Arial"/>
                <w:b/>
                <w:bCs/>
                <w:sz w:val="22"/>
                <w:szCs w:val="22"/>
              </w:rPr>
            </w:pPr>
            <w:r w:rsidRPr="00396481">
              <w:rPr>
                <w:rFonts w:ascii="Arial" w:hAnsi="Arial" w:cs="Arial"/>
                <w:b/>
                <w:bCs/>
                <w:sz w:val="22"/>
                <w:szCs w:val="22"/>
              </w:rPr>
              <w:t>Proposal / Summary</w:t>
            </w:r>
          </w:p>
        </w:tc>
      </w:tr>
      <w:tr w:rsidR="00151532" w:rsidRPr="00396481" w14:paraId="20D31BF7" w14:textId="77777777" w:rsidTr="003A649D">
        <w:tc>
          <w:tcPr>
            <w:tcW w:w="8921" w:type="dxa"/>
            <w:tcBorders>
              <w:left w:val="single" w:sz="12" w:space="0" w:color="auto"/>
              <w:bottom w:val="single" w:sz="12" w:space="0" w:color="auto"/>
              <w:right w:val="single" w:sz="12" w:space="0" w:color="auto"/>
            </w:tcBorders>
            <w:vAlign w:val="center"/>
          </w:tcPr>
          <w:p w14:paraId="79B145E3" w14:textId="77777777" w:rsidR="00151532" w:rsidRPr="00396481" w:rsidRDefault="00151532" w:rsidP="003A649D">
            <w:pPr>
              <w:rPr>
                <w:rFonts w:ascii="Arial" w:hAnsi="Arial" w:cs="Arial"/>
                <w:sz w:val="22"/>
                <w:szCs w:val="22"/>
              </w:rPr>
            </w:pPr>
            <w:r w:rsidRPr="00396481">
              <w:rPr>
                <w:rFonts w:ascii="Arial" w:hAnsi="Arial" w:cs="Arial"/>
                <w:sz w:val="22"/>
                <w:szCs w:val="22"/>
              </w:rPr>
              <w:t>N/07/00899/FUL - Full planning permission Decision - Approve with Conditions Date: 14/6/2007 – Erection of General Purpose Agricultural Building</w:t>
            </w:r>
          </w:p>
        </w:tc>
      </w:tr>
      <w:tr w:rsidR="00151532" w:rsidRPr="005D6805" w14:paraId="23426DD3" w14:textId="77777777" w:rsidTr="003A649D">
        <w:tc>
          <w:tcPr>
            <w:tcW w:w="8921" w:type="dxa"/>
            <w:tcBorders>
              <w:left w:val="single" w:sz="12" w:space="0" w:color="auto"/>
              <w:bottom w:val="single" w:sz="12" w:space="0" w:color="auto"/>
              <w:right w:val="single" w:sz="12" w:space="0" w:color="auto"/>
            </w:tcBorders>
            <w:vAlign w:val="center"/>
          </w:tcPr>
          <w:p w14:paraId="5DE48801" w14:textId="77777777" w:rsidR="00151532" w:rsidRPr="005D6805" w:rsidRDefault="00151532" w:rsidP="003A649D">
            <w:pPr>
              <w:rPr>
                <w:rFonts w:ascii="Arial" w:hAnsi="Arial" w:cs="Arial"/>
                <w:sz w:val="22"/>
                <w:szCs w:val="22"/>
              </w:rPr>
            </w:pPr>
            <w:r w:rsidRPr="00396481">
              <w:rPr>
                <w:rFonts w:ascii="Arial" w:hAnsi="Arial" w:cs="Arial"/>
                <w:sz w:val="22"/>
                <w:szCs w:val="22"/>
              </w:rPr>
              <w:lastRenderedPageBreak/>
              <w:t>PL/2023/09735 - Prior approval Part 3 Class Q: Agricultural buildings to dwellinghouses Decision - Prior Approval Refused Date: 13/12/2023 – Prior Notification of proposed change of use of 1. No agricultural building to 1. No residential under Class Q</w:t>
            </w:r>
          </w:p>
        </w:tc>
      </w:tr>
      <w:tr w:rsidR="00151532" w:rsidRPr="005D6805" w14:paraId="1D53C781" w14:textId="77777777" w:rsidTr="003A649D">
        <w:tc>
          <w:tcPr>
            <w:tcW w:w="8921" w:type="dxa"/>
            <w:tcBorders>
              <w:left w:val="single" w:sz="12" w:space="0" w:color="auto"/>
              <w:bottom w:val="single" w:sz="12" w:space="0" w:color="auto"/>
              <w:right w:val="single" w:sz="12" w:space="0" w:color="auto"/>
            </w:tcBorders>
            <w:vAlign w:val="center"/>
          </w:tcPr>
          <w:p w14:paraId="467BFADD" w14:textId="77777777" w:rsidR="00151532" w:rsidRPr="005D6805" w:rsidRDefault="00151532" w:rsidP="003A649D">
            <w:pPr>
              <w:rPr>
                <w:rFonts w:ascii="Arial" w:hAnsi="Arial" w:cs="Arial"/>
                <w:sz w:val="22"/>
                <w:szCs w:val="22"/>
              </w:rPr>
            </w:pPr>
            <w:r w:rsidRPr="005D6805">
              <w:rPr>
                <w:rFonts w:ascii="Arial" w:hAnsi="Arial" w:cs="Arial"/>
                <w:sz w:val="22"/>
                <w:szCs w:val="22"/>
              </w:rPr>
              <w:t>PL/2024/09383 - Prior approval Part 3 Class Q: Agricultural buildings to dwellinghouses Decision - Prior Approval Granted Date: 14/1/2025 – Conversion of former agricultural storage building to provide 2 No dwellings pursuant to Part 3, Class Q of the Town and Country Planning (General Permitted Development) (England) Order 2015 (as amended)</w:t>
            </w:r>
          </w:p>
        </w:tc>
      </w:tr>
      <w:tr w:rsidR="00151532" w:rsidRPr="005D6805" w14:paraId="73D866BE" w14:textId="77777777" w:rsidTr="003A649D">
        <w:tc>
          <w:tcPr>
            <w:tcW w:w="8921" w:type="dxa"/>
            <w:tcBorders>
              <w:left w:val="single" w:sz="12" w:space="0" w:color="auto"/>
              <w:bottom w:val="single" w:sz="12" w:space="0" w:color="auto"/>
              <w:right w:val="single" w:sz="12" w:space="0" w:color="auto"/>
            </w:tcBorders>
            <w:vAlign w:val="center"/>
          </w:tcPr>
          <w:p w14:paraId="405E11A9" w14:textId="77777777" w:rsidR="00151532" w:rsidRPr="005D6805" w:rsidRDefault="00151532" w:rsidP="003A649D">
            <w:pPr>
              <w:rPr>
                <w:rFonts w:ascii="Arial" w:hAnsi="Arial" w:cs="Arial"/>
                <w:sz w:val="22"/>
                <w:szCs w:val="22"/>
              </w:rPr>
            </w:pPr>
            <w:r w:rsidRPr="005D6805">
              <w:rPr>
                <w:rFonts w:ascii="Arial" w:hAnsi="Arial" w:cs="Arial"/>
                <w:sz w:val="22"/>
                <w:szCs w:val="22"/>
              </w:rPr>
              <w:t>N/03/03177/COU - Full planning permission Decision - Approve with Conditions Date: 14/1/2004 – CHANGE OF USE OF FORMER NURSERY BUILDING TO B8 STORAGE WITH ASSOCIATED OFFICE SPACE</w:t>
            </w:r>
          </w:p>
        </w:tc>
      </w:tr>
      <w:tr w:rsidR="00151532" w:rsidRPr="005D6805" w14:paraId="06F70633" w14:textId="77777777" w:rsidTr="003A649D">
        <w:tc>
          <w:tcPr>
            <w:tcW w:w="8921" w:type="dxa"/>
            <w:tcBorders>
              <w:left w:val="single" w:sz="12" w:space="0" w:color="auto"/>
              <w:bottom w:val="single" w:sz="12" w:space="0" w:color="auto"/>
              <w:right w:val="single" w:sz="12" w:space="0" w:color="auto"/>
            </w:tcBorders>
            <w:vAlign w:val="center"/>
          </w:tcPr>
          <w:p w14:paraId="76251080" w14:textId="77777777" w:rsidR="00151532" w:rsidRPr="005D6805" w:rsidRDefault="00151532" w:rsidP="003A649D">
            <w:pPr>
              <w:rPr>
                <w:rFonts w:ascii="Arial" w:hAnsi="Arial" w:cs="Arial"/>
                <w:sz w:val="22"/>
                <w:szCs w:val="22"/>
              </w:rPr>
            </w:pPr>
            <w:r w:rsidRPr="005D6805">
              <w:rPr>
                <w:rFonts w:ascii="Arial" w:hAnsi="Arial" w:cs="Arial"/>
                <w:sz w:val="22"/>
                <w:szCs w:val="22"/>
              </w:rPr>
              <w:t>N/06/02581/OUT - Outline Planning Decision - Approve with Conditions Date: 29/11/2006 – Demolition Of Glass Houses And Change Of Use Of Land To Storage Of Caravans</w:t>
            </w:r>
          </w:p>
        </w:tc>
      </w:tr>
      <w:tr w:rsidR="00151532" w:rsidRPr="003E74F7" w14:paraId="28E97A2D" w14:textId="77777777" w:rsidTr="003A649D">
        <w:tc>
          <w:tcPr>
            <w:tcW w:w="8921" w:type="dxa"/>
            <w:tcBorders>
              <w:left w:val="single" w:sz="12" w:space="0" w:color="auto"/>
              <w:bottom w:val="single" w:sz="12" w:space="0" w:color="auto"/>
              <w:right w:val="single" w:sz="12" w:space="0" w:color="auto"/>
            </w:tcBorders>
            <w:vAlign w:val="center"/>
          </w:tcPr>
          <w:p w14:paraId="53FCEBA8" w14:textId="77777777" w:rsidR="00151532" w:rsidRPr="00D6500C" w:rsidRDefault="00151532" w:rsidP="003A649D">
            <w:pPr>
              <w:rPr>
                <w:rFonts w:ascii="Arial" w:hAnsi="Arial" w:cs="Arial"/>
                <w:sz w:val="22"/>
                <w:szCs w:val="22"/>
              </w:rPr>
            </w:pPr>
            <w:r w:rsidRPr="005D6805">
              <w:rPr>
                <w:rFonts w:ascii="Arial" w:hAnsi="Arial" w:cs="Arial"/>
                <w:sz w:val="22"/>
                <w:szCs w:val="22"/>
              </w:rPr>
              <w:t>PL/2024/06494 - Prior approval Part 3 Class Q: Agricultural buildings to dwellinghouses Decision - Prior Approval Refused Date: 16/9/2024 – Conversion of Former Agricultural Storage Building to Provide 2 No. Dwellings Pursuant to Part 3, Class Q of the Town and Country Planning (General Permitted Development) (England) Order 2015 (as amended)</w:t>
            </w:r>
          </w:p>
        </w:tc>
      </w:tr>
      <w:tr w:rsidR="00151532" w:rsidRPr="003E74F7" w14:paraId="06812FC2" w14:textId="77777777" w:rsidTr="003A649D">
        <w:tc>
          <w:tcPr>
            <w:tcW w:w="8921" w:type="dxa"/>
            <w:tcBorders>
              <w:top w:val="single" w:sz="12" w:space="0" w:color="auto"/>
            </w:tcBorders>
            <w:vAlign w:val="center"/>
            <w:hideMark/>
          </w:tcPr>
          <w:p w14:paraId="62E857E7" w14:textId="77777777" w:rsidR="00151532" w:rsidRPr="003E74F7" w:rsidRDefault="00151532" w:rsidP="003A649D">
            <w:pPr>
              <w:rPr>
                <w:rFonts w:cs="Arial"/>
                <w:szCs w:val="22"/>
              </w:rPr>
            </w:pPr>
          </w:p>
        </w:tc>
      </w:tr>
      <w:tr w:rsidR="00151532" w:rsidRPr="003E74F7" w14:paraId="393594E2" w14:textId="77777777" w:rsidTr="003A649D">
        <w:tc>
          <w:tcPr>
            <w:tcW w:w="8921" w:type="dxa"/>
            <w:vAlign w:val="center"/>
            <w:hideMark/>
          </w:tcPr>
          <w:p w14:paraId="2511DC1A" w14:textId="77777777" w:rsidR="00151532" w:rsidRPr="003E74F7" w:rsidRDefault="00151532" w:rsidP="003A649D">
            <w:pPr>
              <w:rPr>
                <w:rFonts w:cs="Arial"/>
                <w:szCs w:val="22"/>
              </w:rPr>
            </w:pPr>
          </w:p>
        </w:tc>
      </w:tr>
      <w:bookmarkEnd w:id="0"/>
    </w:tbl>
    <w:p w14:paraId="579D67DC" w14:textId="77777777" w:rsidR="006F5FC1" w:rsidRPr="00F7609E" w:rsidRDefault="006F5FC1" w:rsidP="00683C17">
      <w:pPr>
        <w:spacing w:line="276" w:lineRule="auto"/>
        <w:jc w:val="both"/>
        <w:outlineLvl w:val="2"/>
        <w:rPr>
          <w:rFonts w:ascii="Arial" w:hAnsi="Arial" w:cs="Arial"/>
          <w:b/>
          <w:bCs/>
          <w:sz w:val="22"/>
          <w:szCs w:val="22"/>
        </w:rPr>
      </w:pPr>
    </w:p>
    <w:p w14:paraId="2302FE90" w14:textId="0C9893FD" w:rsidR="00683C17" w:rsidRPr="00A118E7" w:rsidRDefault="00F7609E" w:rsidP="00683C17">
      <w:pPr>
        <w:spacing w:line="276" w:lineRule="auto"/>
        <w:jc w:val="both"/>
        <w:rPr>
          <w:rFonts w:ascii="Arial" w:hAnsi="Arial" w:cs="Arial"/>
          <w:color w:val="FF0000"/>
          <w:sz w:val="22"/>
          <w:szCs w:val="22"/>
        </w:rPr>
      </w:pPr>
      <w:r w:rsidRPr="00A118E7">
        <w:rPr>
          <w:rFonts w:ascii="Arial" w:hAnsi="Arial" w:cs="Arial"/>
          <w:b/>
          <w:bCs/>
          <w:sz w:val="22"/>
          <w:szCs w:val="22"/>
        </w:rPr>
        <w:t>RELEVANT LEGISLATION, POLICIES AND GUIDANCE</w:t>
      </w:r>
    </w:p>
    <w:p w14:paraId="44ECA431" w14:textId="77777777" w:rsidR="00E35059" w:rsidRPr="00B966AA" w:rsidRDefault="00E35059" w:rsidP="00237634">
      <w:pPr>
        <w:spacing w:line="276" w:lineRule="auto"/>
        <w:jc w:val="both"/>
        <w:rPr>
          <w:rFonts w:ascii="Arial" w:hAnsi="Arial" w:cs="Arial"/>
          <w:b/>
          <w:bCs/>
          <w:sz w:val="22"/>
          <w:szCs w:val="22"/>
          <w:highlight w:val="yellow"/>
        </w:rPr>
      </w:pPr>
    </w:p>
    <w:p w14:paraId="4563C963" w14:textId="77777777" w:rsidR="00237634" w:rsidRPr="00BD0FBB" w:rsidRDefault="00237634" w:rsidP="00237634">
      <w:pPr>
        <w:spacing w:line="276" w:lineRule="auto"/>
        <w:jc w:val="both"/>
        <w:rPr>
          <w:u w:val="single"/>
        </w:rPr>
      </w:pPr>
      <w:r w:rsidRPr="00BD0FBB">
        <w:rPr>
          <w:rFonts w:ascii="Arial" w:hAnsi="Arial" w:cs="Arial"/>
          <w:sz w:val="22"/>
          <w:szCs w:val="22"/>
          <w:u w:val="single"/>
        </w:rPr>
        <w:t xml:space="preserve">Statutory Legislation: </w:t>
      </w:r>
    </w:p>
    <w:p w14:paraId="2031AFC9" w14:textId="77777777" w:rsidR="00237634" w:rsidRPr="00BD0FBB" w:rsidRDefault="00237634" w:rsidP="00237634">
      <w:pPr>
        <w:spacing w:line="276" w:lineRule="auto"/>
        <w:jc w:val="both"/>
        <w:rPr>
          <w:rFonts w:ascii="Arial" w:hAnsi="Arial" w:cs="Arial"/>
          <w:b/>
          <w:bCs/>
          <w:sz w:val="22"/>
          <w:szCs w:val="22"/>
        </w:rPr>
      </w:pPr>
    </w:p>
    <w:p w14:paraId="2D317D2D" w14:textId="77777777" w:rsidR="00237634" w:rsidRPr="00BD0FBB" w:rsidRDefault="00237634" w:rsidP="00237634">
      <w:pPr>
        <w:spacing w:line="276" w:lineRule="auto"/>
        <w:jc w:val="both"/>
        <w:rPr>
          <w:rFonts w:ascii="Arial" w:hAnsi="Arial" w:cs="Arial"/>
          <w:sz w:val="22"/>
          <w:szCs w:val="22"/>
          <w:u w:val="single"/>
        </w:rPr>
      </w:pPr>
      <w:r w:rsidRPr="00BD0FBB">
        <w:rPr>
          <w:rFonts w:ascii="Arial" w:hAnsi="Arial" w:cs="Arial"/>
          <w:sz w:val="22"/>
          <w:szCs w:val="22"/>
          <w:u w:val="single"/>
        </w:rPr>
        <w:t xml:space="preserve">National Planning Policy: </w:t>
      </w:r>
    </w:p>
    <w:p w14:paraId="5E9BE1F1" w14:textId="77777777" w:rsidR="00237634" w:rsidRPr="00BD0FBB" w:rsidRDefault="00237634">
      <w:pPr>
        <w:pStyle w:val="ListParagraph"/>
        <w:numPr>
          <w:ilvl w:val="0"/>
          <w:numId w:val="4"/>
        </w:numPr>
        <w:spacing w:before="20" w:line="276" w:lineRule="auto"/>
        <w:rPr>
          <w:rFonts w:ascii="Arial" w:hAnsi="Arial" w:cs="Arial"/>
          <w:sz w:val="22"/>
          <w:szCs w:val="22"/>
        </w:rPr>
      </w:pPr>
      <w:r w:rsidRPr="00BD0FBB">
        <w:rPr>
          <w:rFonts w:ascii="Arial" w:hAnsi="Arial" w:cs="Arial"/>
          <w:sz w:val="22"/>
          <w:szCs w:val="22"/>
        </w:rPr>
        <w:t xml:space="preserve">National Planning Policy Framework (NPPF) </w:t>
      </w:r>
    </w:p>
    <w:p w14:paraId="1D37B60A" w14:textId="77777777" w:rsidR="00237634" w:rsidRPr="00BD0FBB" w:rsidRDefault="00237634">
      <w:pPr>
        <w:pStyle w:val="ListParagraph"/>
        <w:numPr>
          <w:ilvl w:val="0"/>
          <w:numId w:val="4"/>
        </w:numPr>
        <w:spacing w:before="20" w:after="240" w:line="276" w:lineRule="auto"/>
        <w:rPr>
          <w:rFonts w:ascii="Arial" w:hAnsi="Arial" w:cs="Arial"/>
          <w:sz w:val="22"/>
          <w:szCs w:val="22"/>
        </w:rPr>
      </w:pPr>
      <w:r w:rsidRPr="00BD0FBB">
        <w:rPr>
          <w:rFonts w:ascii="Arial" w:hAnsi="Arial" w:cs="Arial"/>
          <w:sz w:val="22"/>
          <w:szCs w:val="22"/>
        </w:rPr>
        <w:t>Planning Practice Guidance (PPG)</w:t>
      </w:r>
    </w:p>
    <w:p w14:paraId="7D4F6F27" w14:textId="77777777" w:rsidR="00237634" w:rsidRPr="00BD0FBB" w:rsidRDefault="00237634">
      <w:pPr>
        <w:pStyle w:val="ListParagraph"/>
        <w:numPr>
          <w:ilvl w:val="0"/>
          <w:numId w:val="4"/>
        </w:numPr>
        <w:spacing w:before="20" w:after="240" w:line="276" w:lineRule="auto"/>
        <w:rPr>
          <w:rFonts w:ascii="Arial" w:hAnsi="Arial" w:cs="Arial"/>
          <w:sz w:val="22"/>
          <w:szCs w:val="22"/>
        </w:rPr>
      </w:pPr>
      <w:r w:rsidRPr="00BD0FBB">
        <w:rPr>
          <w:rFonts w:ascii="Arial" w:hAnsi="Arial" w:cs="Arial"/>
          <w:sz w:val="22"/>
          <w:szCs w:val="22"/>
        </w:rPr>
        <w:t>National Design Guide</w:t>
      </w:r>
    </w:p>
    <w:p w14:paraId="6B681CFB" w14:textId="77777777" w:rsidR="00533E0C" w:rsidRPr="00BD0FBB" w:rsidRDefault="00533E0C" w:rsidP="00533E0C">
      <w:pPr>
        <w:spacing w:line="276" w:lineRule="auto"/>
        <w:jc w:val="both"/>
        <w:rPr>
          <w:rFonts w:ascii="Arial" w:hAnsi="Arial" w:cs="Arial"/>
          <w:sz w:val="22"/>
          <w:szCs w:val="22"/>
          <w:u w:val="single"/>
        </w:rPr>
      </w:pPr>
      <w:r w:rsidRPr="00BD0FBB">
        <w:rPr>
          <w:rFonts w:ascii="Arial" w:hAnsi="Arial" w:cs="Arial"/>
          <w:sz w:val="22"/>
          <w:szCs w:val="22"/>
          <w:u w:val="single"/>
        </w:rPr>
        <w:t>Development Plan:</w:t>
      </w:r>
    </w:p>
    <w:p w14:paraId="142CC618" w14:textId="77777777" w:rsidR="00533E0C" w:rsidRPr="00BD0FBB" w:rsidRDefault="00533E0C" w:rsidP="00533E0C">
      <w:pPr>
        <w:spacing w:line="276" w:lineRule="auto"/>
        <w:jc w:val="both"/>
        <w:rPr>
          <w:rFonts w:ascii="Arial" w:hAnsi="Arial" w:cs="Arial"/>
          <w:sz w:val="22"/>
          <w:szCs w:val="22"/>
        </w:rPr>
      </w:pPr>
      <w:r w:rsidRPr="00BD0FBB">
        <w:rPr>
          <w:rFonts w:ascii="Arial" w:hAnsi="Arial" w:cs="Arial"/>
          <w:sz w:val="22"/>
          <w:szCs w:val="22"/>
        </w:rPr>
        <w:t xml:space="preserve">The development plan for Wiltshire comprises the </w:t>
      </w:r>
      <w:r w:rsidRPr="00BD0FBB">
        <w:rPr>
          <w:rFonts w:ascii="Arial" w:hAnsi="Arial" w:cs="Arial"/>
          <w:i/>
          <w:iCs/>
          <w:sz w:val="22"/>
          <w:szCs w:val="22"/>
        </w:rPr>
        <w:t>Wiltshire Core Strategy (WCS) (adopted January 2015)</w:t>
      </w:r>
      <w:r w:rsidR="001A33F3" w:rsidRPr="00BD0FBB">
        <w:rPr>
          <w:rFonts w:ascii="Arial" w:hAnsi="Arial" w:cs="Arial"/>
          <w:b/>
          <w:bCs/>
          <w:sz w:val="22"/>
          <w:szCs w:val="22"/>
        </w:rPr>
        <w:t xml:space="preserve"> </w:t>
      </w:r>
      <w:r w:rsidR="001A33F3" w:rsidRPr="00BD0FBB">
        <w:rPr>
          <w:rFonts w:ascii="Arial" w:hAnsi="Arial" w:cs="Arial"/>
          <w:sz w:val="22"/>
          <w:szCs w:val="22"/>
        </w:rPr>
        <w:t>and any made neighbourhood plans</w:t>
      </w:r>
      <w:r w:rsidRPr="00BD0FBB">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4B83268" w14:textId="77777777" w:rsidR="00533E0C" w:rsidRPr="00BD0FBB" w:rsidRDefault="00533E0C" w:rsidP="00533E0C">
      <w:pPr>
        <w:spacing w:line="276" w:lineRule="auto"/>
        <w:jc w:val="both"/>
        <w:rPr>
          <w:rFonts w:ascii="Arial" w:hAnsi="Arial" w:cs="Arial"/>
          <w:sz w:val="22"/>
          <w:szCs w:val="22"/>
        </w:rPr>
      </w:pPr>
    </w:p>
    <w:p w14:paraId="79726F48" w14:textId="77777777" w:rsidR="00533E0C" w:rsidRPr="00BD0FBB" w:rsidRDefault="00533E0C" w:rsidP="00533E0C">
      <w:pPr>
        <w:spacing w:line="276" w:lineRule="auto"/>
        <w:jc w:val="both"/>
        <w:rPr>
          <w:rFonts w:ascii="Arial" w:hAnsi="Arial" w:cs="Arial"/>
          <w:sz w:val="22"/>
          <w:szCs w:val="22"/>
        </w:rPr>
      </w:pPr>
      <w:r w:rsidRPr="00BD0FBB">
        <w:rPr>
          <w:rFonts w:ascii="Arial" w:hAnsi="Arial" w:cs="Arial"/>
          <w:sz w:val="22"/>
          <w:szCs w:val="22"/>
        </w:rPr>
        <w:t>Though the development plan is considered as a whole, those parts deemed to be particularly relevant to this application are listed below:</w:t>
      </w:r>
    </w:p>
    <w:p w14:paraId="36242381" w14:textId="77777777" w:rsidR="00533E0C" w:rsidRPr="00AA3786" w:rsidRDefault="00533E0C" w:rsidP="00533E0C">
      <w:pPr>
        <w:spacing w:line="276" w:lineRule="auto"/>
        <w:jc w:val="both"/>
        <w:rPr>
          <w:rFonts w:ascii="Arial" w:hAnsi="Arial" w:cs="Arial"/>
          <w:b/>
          <w:bCs/>
          <w:sz w:val="22"/>
          <w:szCs w:val="22"/>
        </w:rPr>
      </w:pPr>
    </w:p>
    <w:p w14:paraId="2372D991" w14:textId="77777777" w:rsidR="00533E0C" w:rsidRPr="00AA3786" w:rsidRDefault="00533E0C" w:rsidP="00533E0C">
      <w:pPr>
        <w:spacing w:line="276" w:lineRule="auto"/>
        <w:jc w:val="both"/>
        <w:rPr>
          <w:rFonts w:ascii="Arial" w:hAnsi="Arial" w:cs="Arial"/>
          <w:sz w:val="22"/>
          <w:szCs w:val="22"/>
        </w:rPr>
      </w:pPr>
      <w:r w:rsidRPr="00AA3786">
        <w:rPr>
          <w:rFonts w:ascii="Arial" w:hAnsi="Arial" w:cs="Arial"/>
          <w:sz w:val="22"/>
          <w:szCs w:val="22"/>
        </w:rPr>
        <w:t>The adopted</w:t>
      </w:r>
      <w:r w:rsidRPr="00AA3786">
        <w:rPr>
          <w:rFonts w:ascii="Arial" w:hAnsi="Arial" w:cs="Arial"/>
          <w:b/>
          <w:bCs/>
          <w:sz w:val="22"/>
          <w:szCs w:val="22"/>
        </w:rPr>
        <w:t xml:space="preserve"> </w:t>
      </w:r>
      <w:r w:rsidRPr="00AA3786">
        <w:rPr>
          <w:rFonts w:ascii="Arial" w:hAnsi="Arial" w:cs="Arial"/>
          <w:i/>
          <w:iCs/>
          <w:sz w:val="22"/>
          <w:szCs w:val="22"/>
        </w:rPr>
        <w:t>Wiltshire Core Strategy (WCS),</w:t>
      </w:r>
      <w:r w:rsidRPr="00AA3786">
        <w:rPr>
          <w:rFonts w:ascii="Arial" w:hAnsi="Arial" w:cs="Arial"/>
          <w:b/>
          <w:bCs/>
          <w:sz w:val="22"/>
          <w:szCs w:val="22"/>
        </w:rPr>
        <w:t xml:space="preserve"> </w:t>
      </w:r>
      <w:r w:rsidRPr="00AA3786">
        <w:rPr>
          <w:rFonts w:ascii="Arial" w:hAnsi="Arial" w:cs="Arial"/>
          <w:sz w:val="22"/>
          <w:szCs w:val="22"/>
        </w:rPr>
        <w:t>with particular regard to:</w:t>
      </w:r>
    </w:p>
    <w:p w14:paraId="1B5DC8EB" w14:textId="77777777" w:rsidR="00533E0C" w:rsidRPr="00AA3786" w:rsidRDefault="00533E0C">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1 Settlement Strategy;</w:t>
      </w:r>
    </w:p>
    <w:p w14:paraId="77F19744"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2 Delivery Strategy;</w:t>
      </w:r>
    </w:p>
    <w:p w14:paraId="0A44F8E1"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3 Infrastructure Requirements;</w:t>
      </w:r>
    </w:p>
    <w:p w14:paraId="130C75E1" w14:textId="2EAC0AD2" w:rsidR="0029208D" w:rsidRPr="00AA3786" w:rsidRDefault="0029208D">
      <w:pPr>
        <w:pStyle w:val="ListParagraph"/>
        <w:numPr>
          <w:ilvl w:val="0"/>
          <w:numId w:val="2"/>
        </w:numPr>
        <w:spacing w:line="276" w:lineRule="auto"/>
        <w:jc w:val="both"/>
        <w:rPr>
          <w:rFonts w:ascii="Arial" w:hAnsi="Arial" w:cs="Arial"/>
          <w:color w:val="000000" w:themeColor="text1"/>
          <w:sz w:val="22"/>
          <w:szCs w:val="22"/>
        </w:rPr>
      </w:pPr>
      <w:r w:rsidRPr="00AA3786">
        <w:rPr>
          <w:rFonts w:ascii="Arial" w:hAnsi="Arial" w:cs="Arial"/>
          <w:color w:val="000000" w:themeColor="text1"/>
          <w:sz w:val="22"/>
          <w:szCs w:val="22"/>
        </w:rPr>
        <w:t xml:space="preserve">Core Policy </w:t>
      </w:r>
      <w:r w:rsidR="004D7CD3" w:rsidRPr="00AA3786">
        <w:rPr>
          <w:rFonts w:ascii="Arial" w:hAnsi="Arial" w:cs="Arial"/>
          <w:color w:val="000000" w:themeColor="text1"/>
          <w:sz w:val="22"/>
          <w:szCs w:val="22"/>
        </w:rPr>
        <w:t>11</w:t>
      </w:r>
      <w:r w:rsidRPr="00AA3786">
        <w:rPr>
          <w:rFonts w:ascii="Arial" w:hAnsi="Arial" w:cs="Arial"/>
          <w:color w:val="000000" w:themeColor="text1"/>
          <w:sz w:val="22"/>
          <w:szCs w:val="22"/>
        </w:rPr>
        <w:t xml:space="preserve"> Spatial Strategy</w:t>
      </w:r>
      <w:r w:rsidR="00AA3786" w:rsidRPr="00AA3786">
        <w:rPr>
          <w:rFonts w:ascii="Arial" w:hAnsi="Arial" w:cs="Arial"/>
          <w:color w:val="000000" w:themeColor="text1"/>
          <w:sz w:val="22"/>
          <w:szCs w:val="22"/>
        </w:rPr>
        <w:t xml:space="preserve"> Corsham Community Area</w:t>
      </w:r>
    </w:p>
    <w:p w14:paraId="6B33FF94"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41 Sustainable Construction and Low-Carbon Energy;</w:t>
      </w:r>
    </w:p>
    <w:p w14:paraId="7F954DA6"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45 Meeting Wiltshire’s Housing Needs;</w:t>
      </w:r>
    </w:p>
    <w:p w14:paraId="6E55177E"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48 Supporting Rural Life</w:t>
      </w:r>
    </w:p>
    <w:p w14:paraId="51733A34"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50 Biodiversity and Geodiversity;</w:t>
      </w:r>
    </w:p>
    <w:p w14:paraId="4C8CB96D"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51 Landscape</w:t>
      </w:r>
    </w:p>
    <w:p w14:paraId="4DB270F3"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 xml:space="preserve">Core Policy 52 Green Infrastructure </w:t>
      </w:r>
    </w:p>
    <w:p w14:paraId="1A8B2C8E"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56 Contaminated Land;</w:t>
      </w:r>
    </w:p>
    <w:p w14:paraId="683903A6"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lastRenderedPageBreak/>
        <w:t>Core Policy 57 Ensuring High Quality Design and Place Shaping;</w:t>
      </w:r>
    </w:p>
    <w:p w14:paraId="6E4DDCC1"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58 Ensuring the Conservation of the Historic Environment;</w:t>
      </w:r>
    </w:p>
    <w:p w14:paraId="3C1AD611"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60 Sustainable Transport;</w:t>
      </w:r>
    </w:p>
    <w:p w14:paraId="6C93310D"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 xml:space="preserve">Core Policy 61 Transport &amp; Development; </w:t>
      </w:r>
    </w:p>
    <w:p w14:paraId="065A92F7"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64 Demand Management</w:t>
      </w:r>
    </w:p>
    <w:p w14:paraId="5BC4B42B"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67 Flood Risk;</w:t>
      </w:r>
    </w:p>
    <w:p w14:paraId="2440B66E" w14:textId="77777777" w:rsidR="0029208D" w:rsidRPr="00AA3786" w:rsidRDefault="0029208D">
      <w:pPr>
        <w:pStyle w:val="ListParagraph"/>
        <w:numPr>
          <w:ilvl w:val="0"/>
          <w:numId w:val="2"/>
        </w:numPr>
        <w:spacing w:line="276" w:lineRule="auto"/>
        <w:jc w:val="both"/>
        <w:rPr>
          <w:rFonts w:ascii="Arial" w:hAnsi="Arial" w:cs="Arial"/>
          <w:sz w:val="22"/>
          <w:szCs w:val="22"/>
        </w:rPr>
      </w:pPr>
      <w:r w:rsidRPr="00AA3786">
        <w:rPr>
          <w:rFonts w:ascii="Arial" w:hAnsi="Arial" w:cs="Arial"/>
          <w:sz w:val="22"/>
          <w:szCs w:val="22"/>
        </w:rPr>
        <w:t>Core Policy 68 Water Resources;</w:t>
      </w:r>
    </w:p>
    <w:p w14:paraId="61A36783" w14:textId="77777777" w:rsidR="00533E0C" w:rsidRPr="00AA3786" w:rsidRDefault="00533E0C" w:rsidP="00533E0C">
      <w:pPr>
        <w:spacing w:line="276" w:lineRule="auto"/>
        <w:jc w:val="both"/>
        <w:rPr>
          <w:rFonts w:ascii="Arial" w:hAnsi="Arial" w:cs="Arial"/>
          <w:color w:val="FF0000"/>
          <w:sz w:val="22"/>
          <w:szCs w:val="22"/>
        </w:rPr>
      </w:pPr>
    </w:p>
    <w:p w14:paraId="54C6E65A" w14:textId="0FC3DD5F" w:rsidR="00CF2835" w:rsidRPr="00B3537D" w:rsidRDefault="00CF2835" w:rsidP="00CF2835">
      <w:pPr>
        <w:spacing w:line="276" w:lineRule="auto"/>
        <w:jc w:val="both"/>
        <w:rPr>
          <w:rFonts w:ascii="Arial" w:hAnsi="Arial" w:cs="Arial"/>
          <w:b/>
          <w:bCs/>
          <w:color w:val="000000" w:themeColor="text1"/>
          <w:sz w:val="22"/>
          <w:szCs w:val="22"/>
        </w:rPr>
      </w:pPr>
      <w:r w:rsidRPr="00B3537D">
        <w:rPr>
          <w:rFonts w:ascii="Arial" w:hAnsi="Arial" w:cs="Arial"/>
          <w:color w:val="000000" w:themeColor="text1"/>
          <w:sz w:val="22"/>
          <w:szCs w:val="22"/>
          <w:u w:val="single"/>
        </w:rPr>
        <w:t>Draft Wiltshire Local Plan Policies</w:t>
      </w:r>
    </w:p>
    <w:p w14:paraId="6D7FFBC2" w14:textId="77777777" w:rsidR="00157709" w:rsidRPr="00B3537D" w:rsidRDefault="00157709" w:rsidP="00CF2835">
      <w:pPr>
        <w:spacing w:line="276" w:lineRule="auto"/>
        <w:jc w:val="both"/>
        <w:rPr>
          <w:rFonts w:ascii="Arial" w:hAnsi="Arial" w:cs="Arial"/>
          <w:color w:val="000000" w:themeColor="text1"/>
          <w:sz w:val="22"/>
          <w:szCs w:val="22"/>
        </w:rPr>
      </w:pPr>
    </w:p>
    <w:p w14:paraId="216BD026" w14:textId="77777777" w:rsidR="004E04CE" w:rsidRPr="00C44D6C" w:rsidRDefault="004E04CE" w:rsidP="004E04CE">
      <w:pPr>
        <w:spacing w:line="276" w:lineRule="auto"/>
        <w:jc w:val="both"/>
        <w:rPr>
          <w:rFonts w:ascii="Arial" w:hAnsi="Arial" w:cs="Arial"/>
          <w:sz w:val="22"/>
          <w:szCs w:val="22"/>
        </w:rPr>
      </w:pPr>
      <w:r>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1C3B6795" w14:textId="77777777" w:rsidR="00B3537D" w:rsidRPr="00B3537D" w:rsidRDefault="00B3537D" w:rsidP="00CF2835">
      <w:pPr>
        <w:spacing w:line="276" w:lineRule="auto"/>
        <w:jc w:val="both"/>
        <w:rPr>
          <w:rFonts w:ascii="Arial" w:hAnsi="Arial" w:cs="Arial"/>
          <w:color w:val="000000" w:themeColor="text1"/>
          <w:sz w:val="22"/>
          <w:szCs w:val="22"/>
          <w:highlight w:val="yellow"/>
        </w:rPr>
      </w:pPr>
    </w:p>
    <w:p w14:paraId="3DE1B6BB" w14:textId="77777777" w:rsidR="00D101B5" w:rsidRPr="00E21FC2" w:rsidRDefault="00D101B5" w:rsidP="00D101B5">
      <w:pPr>
        <w:spacing w:line="276" w:lineRule="auto"/>
        <w:jc w:val="both"/>
        <w:rPr>
          <w:rFonts w:ascii="Arial" w:hAnsi="Arial" w:cs="Arial"/>
          <w:sz w:val="22"/>
          <w:szCs w:val="22"/>
          <w:u w:val="single"/>
        </w:rPr>
      </w:pPr>
      <w:r w:rsidRPr="00E21FC2">
        <w:rPr>
          <w:rFonts w:ascii="Arial" w:hAnsi="Arial" w:cs="Arial"/>
          <w:sz w:val="22"/>
          <w:szCs w:val="22"/>
          <w:u w:val="single"/>
        </w:rPr>
        <w:t>Neighbourhood Plan:</w:t>
      </w:r>
    </w:p>
    <w:p w14:paraId="0782D26D" w14:textId="14BEE1E4" w:rsidR="00E21FC2" w:rsidRPr="00E21FC2" w:rsidRDefault="00E21FC2" w:rsidP="001418E4">
      <w:pPr>
        <w:spacing w:line="276" w:lineRule="auto"/>
        <w:jc w:val="both"/>
        <w:rPr>
          <w:rFonts w:ascii="Arial" w:hAnsi="Arial" w:cs="Arial"/>
          <w:sz w:val="22"/>
          <w:szCs w:val="22"/>
        </w:rPr>
      </w:pPr>
      <w:r w:rsidRPr="00E21FC2">
        <w:rPr>
          <w:rFonts w:ascii="Arial" w:hAnsi="Arial" w:cs="Arial"/>
          <w:sz w:val="22"/>
          <w:szCs w:val="22"/>
        </w:rPr>
        <w:t>N/a</w:t>
      </w:r>
    </w:p>
    <w:p w14:paraId="6A7F6AEB" w14:textId="77777777" w:rsidR="00E21FC2" w:rsidRPr="00E21FC2" w:rsidRDefault="00E21FC2" w:rsidP="001418E4">
      <w:pPr>
        <w:spacing w:line="276" w:lineRule="auto"/>
        <w:jc w:val="both"/>
        <w:rPr>
          <w:rFonts w:ascii="Arial" w:hAnsi="Arial" w:cs="Arial"/>
          <w:sz w:val="22"/>
          <w:szCs w:val="22"/>
        </w:rPr>
      </w:pPr>
    </w:p>
    <w:p w14:paraId="5DB97E1D" w14:textId="4CD5D3E6" w:rsidR="00533E0C" w:rsidRPr="00E21FC2" w:rsidRDefault="00533E0C" w:rsidP="00533E0C">
      <w:pPr>
        <w:spacing w:line="276" w:lineRule="auto"/>
        <w:jc w:val="both"/>
        <w:rPr>
          <w:rFonts w:ascii="Arial" w:hAnsi="Arial" w:cs="Arial"/>
          <w:sz w:val="22"/>
          <w:szCs w:val="22"/>
          <w:u w:val="single"/>
        </w:rPr>
      </w:pPr>
      <w:r w:rsidRPr="00E21FC2">
        <w:rPr>
          <w:rFonts w:ascii="Arial" w:hAnsi="Arial" w:cs="Arial"/>
          <w:sz w:val="22"/>
          <w:szCs w:val="22"/>
          <w:u w:val="single"/>
        </w:rPr>
        <w:t>Supplementary Planning Documents</w:t>
      </w:r>
      <w:r w:rsidR="0004756B" w:rsidRPr="00E21FC2">
        <w:rPr>
          <w:rFonts w:ascii="Arial" w:hAnsi="Arial" w:cs="Arial"/>
          <w:sz w:val="22"/>
          <w:szCs w:val="22"/>
          <w:u w:val="single"/>
        </w:rPr>
        <w:t xml:space="preserve"> and other Guidance</w:t>
      </w:r>
      <w:r w:rsidRPr="00E21FC2">
        <w:rPr>
          <w:rFonts w:ascii="Arial" w:hAnsi="Arial" w:cs="Arial"/>
          <w:sz w:val="22"/>
          <w:szCs w:val="22"/>
          <w:u w:val="single"/>
        </w:rPr>
        <w:t>:</w:t>
      </w:r>
    </w:p>
    <w:p w14:paraId="30280FC1" w14:textId="77777777" w:rsidR="00533E0C" w:rsidRPr="00E21FC2" w:rsidRDefault="00533E0C">
      <w:pPr>
        <w:pStyle w:val="ListParagraph"/>
        <w:numPr>
          <w:ilvl w:val="0"/>
          <w:numId w:val="5"/>
        </w:numPr>
        <w:spacing w:before="20" w:line="276" w:lineRule="auto"/>
        <w:rPr>
          <w:rFonts w:ascii="Arial" w:hAnsi="Arial" w:cs="Arial"/>
          <w:sz w:val="22"/>
          <w:szCs w:val="22"/>
        </w:rPr>
      </w:pPr>
      <w:r w:rsidRPr="00E21FC2">
        <w:rPr>
          <w:rFonts w:ascii="Arial" w:hAnsi="Arial" w:cs="Arial"/>
          <w:sz w:val="22"/>
          <w:szCs w:val="22"/>
        </w:rPr>
        <w:t>Wiltshire Design Guide (adopted April 2024)</w:t>
      </w:r>
    </w:p>
    <w:p w14:paraId="0BF12433" w14:textId="77777777" w:rsidR="00A313CE" w:rsidRPr="00E21FC2" w:rsidRDefault="00A313CE">
      <w:pPr>
        <w:pStyle w:val="ListParagraph"/>
        <w:numPr>
          <w:ilvl w:val="0"/>
          <w:numId w:val="5"/>
        </w:numPr>
        <w:spacing w:before="20" w:line="276" w:lineRule="auto"/>
        <w:rPr>
          <w:rFonts w:ascii="Arial" w:hAnsi="Arial" w:cs="Arial"/>
          <w:sz w:val="22"/>
          <w:szCs w:val="22"/>
        </w:rPr>
      </w:pPr>
      <w:r w:rsidRPr="00E21FC2">
        <w:rPr>
          <w:rFonts w:ascii="Arial" w:hAnsi="Arial" w:cs="Arial"/>
          <w:sz w:val="22"/>
          <w:szCs w:val="22"/>
        </w:rPr>
        <w:t>Wiltshire Local Transport Plan 2011-2026, adopted 2015 - including the Car Parking Strategy and Cycling Strategy, adopted 2015</w:t>
      </w:r>
    </w:p>
    <w:p w14:paraId="3AA4F0B1" w14:textId="77777777" w:rsidR="00A313CE" w:rsidRPr="00E21FC2" w:rsidRDefault="00A313CE">
      <w:pPr>
        <w:pStyle w:val="ListParagraph"/>
        <w:numPr>
          <w:ilvl w:val="0"/>
          <w:numId w:val="5"/>
        </w:numPr>
        <w:spacing w:before="20" w:line="276" w:lineRule="auto"/>
        <w:rPr>
          <w:rFonts w:ascii="Arial" w:hAnsi="Arial" w:cs="Arial"/>
          <w:sz w:val="22"/>
          <w:szCs w:val="22"/>
        </w:rPr>
      </w:pPr>
      <w:r w:rsidRPr="00E21FC2">
        <w:rPr>
          <w:rFonts w:ascii="Arial" w:hAnsi="Arial" w:cs="Arial"/>
          <w:sz w:val="22"/>
          <w:szCs w:val="22"/>
        </w:rPr>
        <w:t>A Green &amp; Blue Infrastructure Strategy for Wiltshire: Wiltshire’s Natural Environment Plan 2022-2030</w:t>
      </w:r>
    </w:p>
    <w:p w14:paraId="1B1B1B0A" w14:textId="77777777" w:rsidR="00533E0C" w:rsidRPr="00E21FC2" w:rsidRDefault="00533E0C" w:rsidP="00533E0C">
      <w:pPr>
        <w:spacing w:line="276" w:lineRule="auto"/>
        <w:jc w:val="both"/>
        <w:rPr>
          <w:rFonts w:ascii="Arial" w:hAnsi="Arial" w:cs="Arial"/>
          <w:b/>
          <w:bCs/>
          <w:sz w:val="22"/>
          <w:szCs w:val="22"/>
        </w:rPr>
      </w:pPr>
    </w:p>
    <w:p w14:paraId="27541433" w14:textId="1347DA48" w:rsidR="00067BEE" w:rsidRPr="00EA7C50" w:rsidRDefault="00F7609E" w:rsidP="00067BEE">
      <w:pPr>
        <w:spacing w:line="276" w:lineRule="auto"/>
        <w:jc w:val="both"/>
        <w:rPr>
          <w:rFonts w:ascii="Arial" w:hAnsi="Arial" w:cs="Arial"/>
          <w:b/>
          <w:bCs/>
          <w:color w:val="FF0000"/>
          <w:sz w:val="22"/>
          <w:szCs w:val="22"/>
        </w:rPr>
      </w:pPr>
      <w:r w:rsidRPr="00EA7C50">
        <w:rPr>
          <w:rFonts w:ascii="Arial" w:hAnsi="Arial" w:cs="Arial"/>
          <w:b/>
          <w:bCs/>
          <w:sz w:val="22"/>
          <w:szCs w:val="22"/>
        </w:rPr>
        <w:t>ISSUES</w:t>
      </w:r>
    </w:p>
    <w:p w14:paraId="5F97AEE2" w14:textId="77777777" w:rsidR="00D902FA" w:rsidRPr="00EA7C50" w:rsidRDefault="00D902FA" w:rsidP="00D902FA">
      <w:pPr>
        <w:spacing w:line="276" w:lineRule="auto"/>
        <w:jc w:val="both"/>
        <w:rPr>
          <w:rFonts w:ascii="Arial" w:hAnsi="Arial" w:cs="Arial"/>
          <w:b/>
          <w:bCs/>
          <w:sz w:val="22"/>
          <w:szCs w:val="22"/>
        </w:rPr>
      </w:pPr>
    </w:p>
    <w:p w14:paraId="591D0372" w14:textId="77777777" w:rsidR="00067BEE" w:rsidRPr="00EA7C50" w:rsidRDefault="00067BEE" w:rsidP="00067BEE">
      <w:pPr>
        <w:spacing w:line="276" w:lineRule="auto"/>
        <w:jc w:val="both"/>
        <w:rPr>
          <w:rFonts w:ascii="Arial" w:hAnsi="Arial" w:cs="Arial"/>
          <w:sz w:val="22"/>
          <w:szCs w:val="22"/>
        </w:rPr>
      </w:pPr>
      <w:r w:rsidRPr="00EA7C50">
        <w:rPr>
          <w:rFonts w:ascii="Arial" w:hAnsi="Arial" w:cs="Arial"/>
          <w:sz w:val="22"/>
          <w:szCs w:val="22"/>
        </w:rPr>
        <w:t>The main issues that need to be addressed in this case include:</w:t>
      </w:r>
    </w:p>
    <w:p w14:paraId="05F602B8" w14:textId="77777777"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Whether the proposal constitutes EIA development</w:t>
      </w:r>
    </w:p>
    <w:p w14:paraId="49D31380" w14:textId="77777777"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Whether the development is acceptable in principle (CP 1 and 2)</w:t>
      </w:r>
    </w:p>
    <w:p w14:paraId="419FFA5B" w14:textId="5AC4BB02"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Whether the scheme constitutes high quality design (CP 57)</w:t>
      </w:r>
      <w:r w:rsidR="00F22872" w:rsidRPr="00EA7C50">
        <w:rPr>
          <w:rFonts w:ascii="Arial" w:hAnsi="Arial" w:cs="Arial"/>
          <w:sz w:val="22"/>
          <w:szCs w:val="22"/>
        </w:rPr>
        <w:t xml:space="preserve"> and would have an acceptable landscape impact (CP 51)</w:t>
      </w:r>
    </w:p>
    <w:p w14:paraId="31543B45" w14:textId="77777777" w:rsidR="00B0100C" w:rsidRPr="00EA7C50" w:rsidRDefault="00B0100C">
      <w:pPr>
        <w:numPr>
          <w:ilvl w:val="0"/>
          <w:numId w:val="6"/>
        </w:numPr>
        <w:spacing w:line="276" w:lineRule="auto"/>
        <w:jc w:val="both"/>
        <w:rPr>
          <w:rFonts w:ascii="Arial" w:hAnsi="Arial" w:cs="Arial"/>
          <w:sz w:val="22"/>
          <w:szCs w:val="22"/>
        </w:rPr>
      </w:pPr>
      <w:r w:rsidRPr="00EA7C50">
        <w:rPr>
          <w:rFonts w:ascii="Arial" w:hAnsi="Arial" w:cs="Arial"/>
          <w:sz w:val="22"/>
          <w:szCs w:val="22"/>
        </w:rPr>
        <w:t xml:space="preserve">Whether the </w:t>
      </w:r>
      <w:r w:rsidR="00977209" w:rsidRPr="00EA7C50">
        <w:rPr>
          <w:rFonts w:ascii="Arial" w:hAnsi="Arial" w:cs="Arial"/>
          <w:sz w:val="22"/>
          <w:szCs w:val="22"/>
        </w:rPr>
        <w:t xml:space="preserve">scheme would have an acceptable impact upon the </w:t>
      </w:r>
      <w:r w:rsidR="00A57783" w:rsidRPr="00EA7C50">
        <w:rPr>
          <w:rFonts w:ascii="Arial" w:hAnsi="Arial" w:cs="Arial"/>
          <w:sz w:val="22"/>
          <w:szCs w:val="22"/>
        </w:rPr>
        <w:t xml:space="preserve">reasonable living conditions of the </w:t>
      </w:r>
      <w:r w:rsidR="00977209" w:rsidRPr="00EA7C50">
        <w:rPr>
          <w:rFonts w:ascii="Arial" w:hAnsi="Arial" w:cs="Arial"/>
          <w:sz w:val="22"/>
          <w:szCs w:val="22"/>
        </w:rPr>
        <w:t>adjoining occupants (CP 57)</w:t>
      </w:r>
    </w:p>
    <w:p w14:paraId="690AD7CB" w14:textId="77777777"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Whether the proposal would have a negative effect upon highway safety, including if there is sufficient parking for the proposed development (CP 61 and 64)</w:t>
      </w:r>
    </w:p>
    <w:p w14:paraId="60056E72" w14:textId="77777777"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Whether the site can be adequately drained without increasing flood risk elsewhere (CP 67)</w:t>
      </w:r>
    </w:p>
    <w:p w14:paraId="4B6AF43D" w14:textId="77777777"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 xml:space="preserve">Whether there would be any harmful impacts upon protected species or </w:t>
      </w:r>
      <w:r w:rsidR="00F514A2" w:rsidRPr="00EA7C50">
        <w:rPr>
          <w:rFonts w:ascii="Arial" w:hAnsi="Arial" w:cs="Arial"/>
          <w:sz w:val="22"/>
          <w:szCs w:val="22"/>
        </w:rPr>
        <w:t xml:space="preserve">priority </w:t>
      </w:r>
      <w:r w:rsidRPr="00EA7C50">
        <w:rPr>
          <w:rFonts w:ascii="Arial" w:hAnsi="Arial" w:cs="Arial"/>
          <w:sz w:val="22"/>
          <w:szCs w:val="22"/>
        </w:rPr>
        <w:t>habitats (CP 50)</w:t>
      </w:r>
    </w:p>
    <w:p w14:paraId="6690266C" w14:textId="77777777" w:rsidR="00067BEE" w:rsidRPr="00EA7C50" w:rsidRDefault="00067BEE">
      <w:pPr>
        <w:numPr>
          <w:ilvl w:val="0"/>
          <w:numId w:val="6"/>
        </w:numPr>
        <w:spacing w:line="276" w:lineRule="auto"/>
        <w:jc w:val="both"/>
        <w:rPr>
          <w:rFonts w:ascii="Arial" w:hAnsi="Arial" w:cs="Arial"/>
          <w:sz w:val="22"/>
          <w:szCs w:val="22"/>
        </w:rPr>
      </w:pPr>
      <w:r w:rsidRPr="00EA7C50">
        <w:rPr>
          <w:rFonts w:ascii="Arial" w:hAnsi="Arial" w:cs="Arial"/>
          <w:sz w:val="22"/>
          <w:szCs w:val="22"/>
        </w:rPr>
        <w:t>Are there any other planning issues raised by the development?</w:t>
      </w:r>
    </w:p>
    <w:p w14:paraId="12C03379" w14:textId="77777777" w:rsidR="00067BEE" w:rsidRPr="00EA7C50" w:rsidRDefault="00067BEE" w:rsidP="00067BEE">
      <w:pPr>
        <w:spacing w:line="276" w:lineRule="auto"/>
        <w:jc w:val="both"/>
        <w:rPr>
          <w:rFonts w:ascii="Arial" w:hAnsi="Arial" w:cs="Arial"/>
          <w:sz w:val="22"/>
          <w:szCs w:val="22"/>
        </w:rPr>
      </w:pPr>
    </w:p>
    <w:p w14:paraId="3433235C" w14:textId="5F6224BA" w:rsidR="00D902FA" w:rsidRPr="0087695A" w:rsidRDefault="00F7609E" w:rsidP="00D902FA">
      <w:pPr>
        <w:spacing w:line="276" w:lineRule="auto"/>
        <w:jc w:val="both"/>
        <w:rPr>
          <w:rFonts w:ascii="Arial" w:hAnsi="Arial" w:cs="Arial"/>
          <w:b/>
          <w:bCs/>
          <w:color w:val="FF0000"/>
          <w:sz w:val="22"/>
          <w:szCs w:val="22"/>
        </w:rPr>
      </w:pPr>
      <w:r w:rsidRPr="0087695A">
        <w:rPr>
          <w:rFonts w:ascii="Arial" w:hAnsi="Arial" w:cs="Arial"/>
          <w:b/>
          <w:bCs/>
          <w:sz w:val="22"/>
          <w:szCs w:val="22"/>
        </w:rPr>
        <w:t>CONSULTATION</w:t>
      </w:r>
      <w:r w:rsidR="00D902FA" w:rsidRPr="0087695A">
        <w:rPr>
          <w:rFonts w:ascii="Arial" w:hAnsi="Arial" w:cs="Arial"/>
          <w:b/>
          <w:bCs/>
          <w:sz w:val="22"/>
          <w:szCs w:val="22"/>
        </w:rPr>
        <w:t xml:space="preserve"> RESPONSES</w:t>
      </w:r>
    </w:p>
    <w:p w14:paraId="28E051DF" w14:textId="77777777" w:rsidR="00D902FA" w:rsidRPr="00B966AA" w:rsidRDefault="00D902FA" w:rsidP="00D902FA">
      <w:pPr>
        <w:spacing w:line="276" w:lineRule="auto"/>
        <w:jc w:val="both"/>
        <w:rPr>
          <w:rFonts w:ascii="Arial" w:hAnsi="Arial" w:cs="Arial"/>
          <w:b/>
          <w:bCs/>
          <w:color w:val="FF0000"/>
          <w:sz w:val="22"/>
          <w:szCs w:val="22"/>
          <w:highlight w:val="yellow"/>
        </w:rPr>
      </w:pPr>
    </w:p>
    <w:p w14:paraId="40B19C7F" w14:textId="13CC64F1" w:rsidR="00765EEE" w:rsidRPr="00B709E5" w:rsidRDefault="00765EEE" w:rsidP="00765EEE">
      <w:pPr>
        <w:jc w:val="both"/>
        <w:rPr>
          <w:rFonts w:ascii="Arial" w:hAnsi="Arial" w:cs="Arial"/>
          <w:color w:val="000000" w:themeColor="text1"/>
          <w:sz w:val="22"/>
          <w:szCs w:val="22"/>
        </w:rPr>
      </w:pPr>
      <w:r w:rsidRPr="00B709E5">
        <w:rPr>
          <w:rFonts w:ascii="Arial" w:hAnsi="Arial" w:cs="Arial"/>
          <w:color w:val="000000" w:themeColor="text1"/>
          <w:sz w:val="22"/>
          <w:szCs w:val="22"/>
        </w:rPr>
        <w:t xml:space="preserve">WC Highways: </w:t>
      </w:r>
      <w:bookmarkStart w:id="1" w:name="_Hlk206417654"/>
      <w:r w:rsidR="00BE6683" w:rsidRPr="00B709E5">
        <w:rPr>
          <w:rFonts w:ascii="Arial" w:hAnsi="Arial" w:cs="Arial"/>
          <w:color w:val="000000" w:themeColor="text1"/>
          <w:sz w:val="22"/>
          <w:szCs w:val="22"/>
        </w:rPr>
        <w:t>N</w:t>
      </w:r>
      <w:r w:rsidRPr="00B709E5">
        <w:rPr>
          <w:rFonts w:ascii="Arial" w:hAnsi="Arial" w:cs="Arial"/>
          <w:color w:val="000000" w:themeColor="text1"/>
          <w:sz w:val="22"/>
          <w:szCs w:val="22"/>
        </w:rPr>
        <w:t>o objection</w:t>
      </w:r>
    </w:p>
    <w:p w14:paraId="78CD8EB9" w14:textId="77777777" w:rsidR="000E62BA" w:rsidRPr="00B966AA" w:rsidRDefault="000E62BA" w:rsidP="00765EEE">
      <w:pPr>
        <w:jc w:val="both"/>
        <w:rPr>
          <w:rFonts w:ascii="Arial" w:hAnsi="Arial" w:cs="Arial"/>
          <w:sz w:val="22"/>
          <w:szCs w:val="22"/>
          <w:highlight w:val="yellow"/>
        </w:rPr>
      </w:pPr>
    </w:p>
    <w:bookmarkEnd w:id="1"/>
    <w:p w14:paraId="04480A8B" w14:textId="0A21E2EF" w:rsidR="00765EEE" w:rsidRPr="00B709E5" w:rsidRDefault="00765EEE" w:rsidP="00765EEE">
      <w:pPr>
        <w:jc w:val="both"/>
        <w:rPr>
          <w:rFonts w:ascii="Arial" w:hAnsi="Arial" w:cs="Arial"/>
          <w:color w:val="000000" w:themeColor="text1"/>
          <w:sz w:val="22"/>
          <w:szCs w:val="22"/>
        </w:rPr>
      </w:pPr>
      <w:r w:rsidRPr="00B709E5">
        <w:rPr>
          <w:rFonts w:ascii="Arial" w:hAnsi="Arial" w:cs="Arial"/>
          <w:color w:val="000000" w:themeColor="text1"/>
          <w:sz w:val="22"/>
          <w:szCs w:val="22"/>
        </w:rPr>
        <w:t xml:space="preserve">WC Public Protection: </w:t>
      </w:r>
      <w:r w:rsidR="00B709E5" w:rsidRPr="00B709E5">
        <w:rPr>
          <w:rFonts w:ascii="Arial" w:hAnsi="Arial" w:cs="Arial"/>
          <w:color w:val="000000" w:themeColor="text1"/>
          <w:sz w:val="22"/>
          <w:szCs w:val="22"/>
        </w:rPr>
        <w:t>C</w:t>
      </w:r>
      <w:r w:rsidR="00BE6683" w:rsidRPr="00B709E5">
        <w:rPr>
          <w:rFonts w:ascii="Arial" w:hAnsi="Arial" w:cs="Arial"/>
          <w:color w:val="000000" w:themeColor="text1"/>
          <w:sz w:val="22"/>
          <w:szCs w:val="22"/>
        </w:rPr>
        <w:t>omment</w:t>
      </w:r>
      <w:r w:rsidR="00B709E5" w:rsidRPr="00B709E5">
        <w:rPr>
          <w:rFonts w:ascii="Arial" w:hAnsi="Arial" w:cs="Arial"/>
          <w:color w:val="000000" w:themeColor="text1"/>
          <w:sz w:val="22"/>
          <w:szCs w:val="22"/>
        </w:rPr>
        <w:t>s request</w:t>
      </w:r>
      <w:r w:rsidR="00C92452">
        <w:rPr>
          <w:rFonts w:ascii="Arial" w:hAnsi="Arial" w:cs="Arial"/>
          <w:color w:val="000000" w:themeColor="text1"/>
          <w:sz w:val="22"/>
          <w:szCs w:val="22"/>
        </w:rPr>
        <w:t>ing</w:t>
      </w:r>
      <w:r w:rsidR="00B709E5" w:rsidRPr="00B709E5">
        <w:rPr>
          <w:rFonts w:ascii="Arial" w:hAnsi="Arial" w:cs="Arial"/>
          <w:color w:val="000000" w:themeColor="text1"/>
          <w:sz w:val="22"/>
          <w:szCs w:val="22"/>
        </w:rPr>
        <w:t xml:space="preserve"> </w:t>
      </w:r>
      <w:r w:rsidR="00BE6683" w:rsidRPr="00B709E5">
        <w:rPr>
          <w:rFonts w:ascii="Arial" w:hAnsi="Arial" w:cs="Arial"/>
          <w:color w:val="000000" w:themeColor="text1"/>
          <w:sz w:val="22"/>
          <w:szCs w:val="22"/>
        </w:rPr>
        <w:t>conditions</w:t>
      </w:r>
    </w:p>
    <w:p w14:paraId="5AC91A76" w14:textId="77777777" w:rsidR="000E62BA" w:rsidRPr="00B966AA" w:rsidRDefault="000E62BA" w:rsidP="00765EEE">
      <w:pPr>
        <w:jc w:val="both"/>
        <w:rPr>
          <w:rFonts w:ascii="Arial" w:hAnsi="Arial" w:cs="Arial"/>
          <w:sz w:val="22"/>
          <w:szCs w:val="22"/>
          <w:highlight w:val="yellow"/>
        </w:rPr>
      </w:pPr>
    </w:p>
    <w:p w14:paraId="5E6BBBA4" w14:textId="6208C335" w:rsidR="00765EEE" w:rsidRPr="00105DCD" w:rsidRDefault="00765EEE" w:rsidP="00765EEE">
      <w:pPr>
        <w:jc w:val="both"/>
        <w:rPr>
          <w:rFonts w:ascii="Arial" w:hAnsi="Arial" w:cs="Arial"/>
          <w:color w:val="000000" w:themeColor="text1"/>
          <w:sz w:val="22"/>
          <w:szCs w:val="22"/>
        </w:rPr>
      </w:pPr>
      <w:r w:rsidRPr="00105DCD">
        <w:rPr>
          <w:rFonts w:ascii="Arial" w:hAnsi="Arial" w:cs="Arial"/>
          <w:color w:val="000000" w:themeColor="text1"/>
          <w:sz w:val="22"/>
          <w:szCs w:val="22"/>
        </w:rPr>
        <w:t xml:space="preserve">WC Ecology:  </w:t>
      </w:r>
      <w:r w:rsidR="00BE6683" w:rsidRPr="00105DCD">
        <w:rPr>
          <w:rFonts w:ascii="Arial" w:hAnsi="Arial" w:cs="Arial"/>
          <w:color w:val="000000" w:themeColor="text1"/>
          <w:sz w:val="22"/>
          <w:szCs w:val="22"/>
        </w:rPr>
        <w:t>No objection subject to condition</w:t>
      </w:r>
    </w:p>
    <w:p w14:paraId="660A5C57" w14:textId="77777777" w:rsidR="000E62BA" w:rsidRPr="00B966AA" w:rsidRDefault="000E62BA" w:rsidP="00765EEE">
      <w:pPr>
        <w:jc w:val="both"/>
        <w:rPr>
          <w:rFonts w:ascii="Arial" w:hAnsi="Arial" w:cs="Arial"/>
          <w:sz w:val="22"/>
          <w:szCs w:val="22"/>
          <w:highlight w:val="yellow"/>
        </w:rPr>
      </w:pPr>
    </w:p>
    <w:p w14:paraId="368566AC" w14:textId="524BD7C1" w:rsidR="00765EEE" w:rsidRPr="002D0976" w:rsidRDefault="00765EEE" w:rsidP="00765EEE">
      <w:pPr>
        <w:jc w:val="both"/>
        <w:rPr>
          <w:rFonts w:ascii="Arial" w:hAnsi="Arial" w:cs="Arial"/>
          <w:color w:val="000000" w:themeColor="text1"/>
          <w:sz w:val="22"/>
          <w:szCs w:val="22"/>
        </w:rPr>
      </w:pPr>
      <w:r w:rsidRPr="002D0976">
        <w:rPr>
          <w:rFonts w:ascii="Arial" w:hAnsi="Arial" w:cs="Arial"/>
          <w:color w:val="000000" w:themeColor="text1"/>
          <w:sz w:val="22"/>
          <w:szCs w:val="22"/>
        </w:rPr>
        <w:t xml:space="preserve">WC Drainage: </w:t>
      </w:r>
      <w:r w:rsidR="00BE6683" w:rsidRPr="002D0976">
        <w:rPr>
          <w:rFonts w:ascii="Arial" w:hAnsi="Arial" w:cs="Arial"/>
          <w:color w:val="000000" w:themeColor="text1"/>
          <w:sz w:val="22"/>
          <w:szCs w:val="22"/>
        </w:rPr>
        <w:t>No objection subject to condition</w:t>
      </w:r>
    </w:p>
    <w:p w14:paraId="36C0B1FF" w14:textId="77777777" w:rsidR="000E62BA" w:rsidRPr="00B966AA" w:rsidRDefault="000E62BA" w:rsidP="00765EEE">
      <w:pPr>
        <w:jc w:val="both"/>
        <w:rPr>
          <w:rFonts w:ascii="Arial" w:hAnsi="Arial" w:cs="Arial"/>
          <w:sz w:val="22"/>
          <w:szCs w:val="22"/>
          <w:highlight w:val="yellow"/>
        </w:rPr>
      </w:pPr>
    </w:p>
    <w:p w14:paraId="6F6AC5B9" w14:textId="763A1CCF" w:rsidR="00D902FA" w:rsidRPr="0087695A" w:rsidRDefault="0087695A" w:rsidP="294BE246">
      <w:pPr>
        <w:spacing w:line="276" w:lineRule="auto"/>
        <w:jc w:val="both"/>
        <w:rPr>
          <w:rFonts w:ascii="Arial" w:hAnsi="Arial" w:cs="Arial"/>
          <w:b/>
          <w:bCs/>
          <w:i/>
          <w:iCs/>
          <w:color w:val="000000" w:themeColor="text1"/>
          <w:sz w:val="22"/>
          <w:szCs w:val="22"/>
        </w:rPr>
      </w:pPr>
      <w:r w:rsidRPr="0087695A">
        <w:rPr>
          <w:rFonts w:ascii="Arial" w:hAnsi="Arial" w:cs="Arial"/>
          <w:color w:val="000000" w:themeColor="text1"/>
          <w:sz w:val="22"/>
          <w:szCs w:val="22"/>
        </w:rPr>
        <w:t xml:space="preserve">Lacock </w:t>
      </w:r>
      <w:r w:rsidR="00F7609E" w:rsidRPr="0087695A">
        <w:rPr>
          <w:rFonts w:ascii="Arial" w:hAnsi="Arial" w:cs="Arial"/>
          <w:color w:val="000000" w:themeColor="text1"/>
          <w:sz w:val="22"/>
          <w:szCs w:val="22"/>
        </w:rPr>
        <w:t>Parish/Town Council:</w:t>
      </w:r>
      <w:r w:rsidR="002927C8" w:rsidRPr="0087695A">
        <w:rPr>
          <w:rFonts w:ascii="Arial" w:hAnsi="Arial" w:cs="Arial"/>
          <w:color w:val="000000" w:themeColor="text1"/>
          <w:sz w:val="22"/>
          <w:szCs w:val="22"/>
        </w:rPr>
        <w:t xml:space="preserve"> No </w:t>
      </w:r>
      <w:r w:rsidR="00091E48">
        <w:rPr>
          <w:rFonts w:ascii="Arial" w:hAnsi="Arial" w:cs="Arial"/>
          <w:color w:val="000000" w:themeColor="text1"/>
          <w:sz w:val="22"/>
          <w:szCs w:val="22"/>
        </w:rPr>
        <w:t>comment</w:t>
      </w:r>
      <w:r w:rsidR="00204674">
        <w:rPr>
          <w:rFonts w:ascii="Arial" w:hAnsi="Arial" w:cs="Arial"/>
          <w:color w:val="000000" w:themeColor="text1"/>
          <w:sz w:val="22"/>
          <w:szCs w:val="22"/>
        </w:rPr>
        <w:t xml:space="preserve"> </w:t>
      </w:r>
    </w:p>
    <w:p w14:paraId="6E3034E7" w14:textId="77777777" w:rsidR="00D902FA" w:rsidRPr="00B966AA" w:rsidRDefault="00D902FA" w:rsidP="00D902FA">
      <w:pPr>
        <w:spacing w:line="276" w:lineRule="auto"/>
        <w:jc w:val="both"/>
        <w:rPr>
          <w:rFonts w:ascii="Arial" w:hAnsi="Arial" w:cs="Arial"/>
          <w:b/>
          <w:bCs/>
          <w:color w:val="FF0000"/>
          <w:sz w:val="22"/>
          <w:szCs w:val="22"/>
          <w:highlight w:val="yellow"/>
        </w:rPr>
      </w:pPr>
    </w:p>
    <w:p w14:paraId="4A6A74EF" w14:textId="77777777" w:rsidR="00D902FA" w:rsidRPr="00396481" w:rsidRDefault="00F7609E" w:rsidP="00D902FA">
      <w:pPr>
        <w:spacing w:line="276" w:lineRule="auto"/>
        <w:jc w:val="both"/>
        <w:rPr>
          <w:rFonts w:ascii="Arial" w:hAnsi="Arial" w:cs="Arial"/>
          <w:b/>
          <w:bCs/>
          <w:color w:val="FF0000"/>
          <w:sz w:val="22"/>
          <w:szCs w:val="22"/>
        </w:rPr>
      </w:pPr>
      <w:r w:rsidRPr="00396481">
        <w:rPr>
          <w:rFonts w:ascii="Arial" w:hAnsi="Arial" w:cs="Arial"/>
          <w:b/>
          <w:bCs/>
          <w:sz w:val="22"/>
          <w:szCs w:val="22"/>
        </w:rPr>
        <w:t>REPRESENTATIONS</w:t>
      </w:r>
    </w:p>
    <w:p w14:paraId="64B01762" w14:textId="43ACF340" w:rsidR="00396481" w:rsidRPr="00396481" w:rsidRDefault="5CD3423D" w:rsidP="3656A09E">
      <w:pPr>
        <w:spacing w:line="276" w:lineRule="auto"/>
        <w:jc w:val="both"/>
      </w:pPr>
      <w:r w:rsidRPr="00396481">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8C8B579" w14:textId="6E4E992C" w:rsidR="00D902FA" w:rsidRPr="00396481" w:rsidRDefault="5CD3423D" w:rsidP="3656A09E">
      <w:pPr>
        <w:pStyle w:val="ListParagraph"/>
        <w:numPr>
          <w:ilvl w:val="0"/>
          <w:numId w:val="1"/>
        </w:numPr>
        <w:spacing w:line="276" w:lineRule="auto"/>
        <w:jc w:val="both"/>
        <w:rPr>
          <w:rFonts w:ascii="Arial" w:eastAsia="Arial" w:hAnsi="Arial" w:cs="Arial"/>
          <w:sz w:val="22"/>
          <w:szCs w:val="22"/>
        </w:rPr>
      </w:pPr>
      <w:r w:rsidRPr="00396481">
        <w:rPr>
          <w:rFonts w:ascii="Arial" w:eastAsia="Arial" w:hAnsi="Arial" w:cs="Arial"/>
          <w:sz w:val="22"/>
          <w:szCs w:val="22"/>
        </w:rPr>
        <w:t>Neighbour notification letters sent to adjoining and nearby properties</w:t>
      </w:r>
      <w:r w:rsidR="00396481" w:rsidRPr="00396481">
        <w:rPr>
          <w:rFonts w:ascii="Arial" w:eastAsia="Arial" w:hAnsi="Arial" w:cs="Arial"/>
          <w:sz w:val="22"/>
          <w:szCs w:val="22"/>
        </w:rPr>
        <w:t>.</w:t>
      </w:r>
    </w:p>
    <w:p w14:paraId="22E08299" w14:textId="77777777" w:rsidR="00396481" w:rsidRPr="00396481" w:rsidRDefault="00396481" w:rsidP="3656A09E">
      <w:pPr>
        <w:spacing w:line="276" w:lineRule="auto"/>
        <w:jc w:val="both"/>
        <w:rPr>
          <w:rFonts w:ascii="Arial" w:eastAsia="Arial" w:hAnsi="Arial" w:cs="Arial"/>
          <w:sz w:val="22"/>
          <w:szCs w:val="22"/>
        </w:rPr>
      </w:pPr>
    </w:p>
    <w:p w14:paraId="46E6D73F" w14:textId="58572984" w:rsidR="00D902FA" w:rsidRPr="00396481" w:rsidRDefault="5CD3423D" w:rsidP="3656A09E">
      <w:pPr>
        <w:spacing w:line="276" w:lineRule="auto"/>
        <w:jc w:val="both"/>
      </w:pPr>
      <w:r w:rsidRPr="00396481">
        <w:rPr>
          <w:rFonts w:ascii="Arial" w:eastAsia="Arial" w:hAnsi="Arial" w:cs="Arial"/>
          <w:sz w:val="22"/>
          <w:szCs w:val="22"/>
        </w:rPr>
        <w:t>These methods were used to inform interested parties and provide a period of 21 days for comments to be submitted.</w:t>
      </w:r>
    </w:p>
    <w:p w14:paraId="20DC6222" w14:textId="77777777" w:rsidR="00D902FA" w:rsidRPr="00396481" w:rsidRDefault="00D902FA" w:rsidP="3656A09E">
      <w:pPr>
        <w:spacing w:line="276" w:lineRule="auto"/>
        <w:jc w:val="both"/>
      </w:pPr>
    </w:p>
    <w:p w14:paraId="41AD6873" w14:textId="77777777" w:rsidR="00D902FA" w:rsidRDefault="5CD3423D" w:rsidP="3656A09E">
      <w:pPr>
        <w:spacing w:line="276" w:lineRule="auto"/>
        <w:jc w:val="both"/>
        <w:rPr>
          <w:rFonts w:ascii="Arial" w:eastAsia="Arial" w:hAnsi="Arial" w:cs="Arial"/>
          <w:sz w:val="22"/>
          <w:szCs w:val="22"/>
        </w:rPr>
      </w:pPr>
      <w:r w:rsidRPr="00396481">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47A2FAF" w14:textId="77777777" w:rsidR="00396481" w:rsidRDefault="00396481" w:rsidP="3656A09E">
      <w:pPr>
        <w:spacing w:line="276" w:lineRule="auto"/>
        <w:jc w:val="both"/>
        <w:rPr>
          <w:rFonts w:ascii="Arial" w:eastAsia="Arial" w:hAnsi="Arial" w:cs="Arial"/>
          <w:sz w:val="22"/>
          <w:szCs w:val="22"/>
        </w:rPr>
      </w:pPr>
    </w:p>
    <w:p w14:paraId="70942D3A" w14:textId="0A9C9130" w:rsidR="00396481" w:rsidRPr="00396481" w:rsidRDefault="00396481" w:rsidP="3656A09E">
      <w:pPr>
        <w:spacing w:line="276" w:lineRule="auto"/>
        <w:jc w:val="both"/>
      </w:pPr>
      <w:r>
        <w:rPr>
          <w:rFonts w:ascii="Arial" w:eastAsia="Arial" w:hAnsi="Arial" w:cs="Arial"/>
          <w:sz w:val="22"/>
          <w:szCs w:val="22"/>
        </w:rPr>
        <w:t>No comments received at the time of drafting this report.</w:t>
      </w:r>
    </w:p>
    <w:p w14:paraId="348CE329" w14:textId="77777777" w:rsidR="00D902FA" w:rsidRPr="00B966AA" w:rsidRDefault="00D902FA" w:rsidP="00D902FA">
      <w:pPr>
        <w:spacing w:line="276" w:lineRule="auto"/>
        <w:jc w:val="both"/>
        <w:rPr>
          <w:rFonts w:ascii="Arial" w:hAnsi="Arial" w:cs="Arial"/>
          <w:b/>
          <w:bCs/>
          <w:color w:val="FF0000"/>
          <w:sz w:val="22"/>
          <w:szCs w:val="22"/>
          <w:highlight w:val="yellow"/>
        </w:rPr>
      </w:pPr>
    </w:p>
    <w:p w14:paraId="6F5A2EB0" w14:textId="22DF48CB" w:rsidR="0007377C" w:rsidRPr="00B0278F" w:rsidRDefault="00F7609E" w:rsidP="0007377C">
      <w:pPr>
        <w:spacing w:line="276" w:lineRule="auto"/>
        <w:jc w:val="both"/>
        <w:rPr>
          <w:rFonts w:ascii="Arial" w:hAnsi="Arial" w:cs="Arial"/>
          <w:b/>
          <w:bCs/>
          <w:color w:val="ED0000"/>
          <w:sz w:val="22"/>
          <w:szCs w:val="22"/>
        </w:rPr>
      </w:pPr>
      <w:r w:rsidRPr="00B0278F">
        <w:rPr>
          <w:rFonts w:ascii="Arial" w:hAnsi="Arial" w:cs="Arial"/>
          <w:b/>
          <w:bCs/>
          <w:sz w:val="22"/>
          <w:szCs w:val="22"/>
        </w:rPr>
        <w:t>ASSESSMENT</w:t>
      </w:r>
    </w:p>
    <w:p w14:paraId="71BE0FFE" w14:textId="77777777" w:rsidR="0092586B" w:rsidRPr="00B0278F" w:rsidRDefault="0092586B" w:rsidP="0092586B">
      <w:pPr>
        <w:spacing w:line="276" w:lineRule="auto"/>
        <w:jc w:val="both"/>
        <w:rPr>
          <w:rFonts w:ascii="Arial" w:hAnsi="Arial" w:cs="Arial"/>
          <w:color w:val="000000" w:themeColor="text1"/>
          <w:sz w:val="22"/>
          <w:szCs w:val="22"/>
        </w:rPr>
      </w:pPr>
      <w:r w:rsidRPr="00B0278F">
        <w:rPr>
          <w:rFonts w:ascii="Arial" w:hAnsi="Arial" w:cs="Arial"/>
          <w:color w:val="000000" w:themeColor="text1"/>
          <w:sz w:val="22"/>
          <w:szCs w:val="22"/>
        </w:rPr>
        <w:t>Section 38(6) of the Planning and Compulsory Purchase Act 2004 states:</w:t>
      </w:r>
    </w:p>
    <w:p w14:paraId="23787F6F" w14:textId="77777777" w:rsidR="0092586B" w:rsidRPr="00B0278F" w:rsidRDefault="0092586B" w:rsidP="0092586B">
      <w:pPr>
        <w:spacing w:line="276" w:lineRule="auto"/>
        <w:jc w:val="both"/>
        <w:rPr>
          <w:rFonts w:ascii="Arial" w:hAnsi="Arial" w:cs="Arial"/>
          <w:color w:val="000000" w:themeColor="text1"/>
          <w:sz w:val="22"/>
          <w:szCs w:val="22"/>
        </w:rPr>
      </w:pPr>
    </w:p>
    <w:p w14:paraId="60BD780D" w14:textId="77777777" w:rsidR="0092586B" w:rsidRPr="00B0278F" w:rsidRDefault="0092586B" w:rsidP="0092586B">
      <w:pPr>
        <w:spacing w:line="276" w:lineRule="auto"/>
        <w:jc w:val="both"/>
        <w:rPr>
          <w:rFonts w:ascii="Arial" w:hAnsi="Arial" w:cs="Arial"/>
          <w:i/>
          <w:iCs/>
          <w:color w:val="000000" w:themeColor="text1"/>
          <w:sz w:val="22"/>
          <w:szCs w:val="22"/>
        </w:rPr>
      </w:pPr>
      <w:r w:rsidRPr="00B0278F">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FB36370" w14:textId="77777777" w:rsidR="0092586B" w:rsidRPr="00B0278F" w:rsidRDefault="0092586B" w:rsidP="0092586B">
      <w:pPr>
        <w:spacing w:line="276" w:lineRule="auto"/>
        <w:jc w:val="both"/>
        <w:rPr>
          <w:rFonts w:ascii="Arial" w:hAnsi="Arial" w:cs="Arial"/>
          <w:color w:val="000000" w:themeColor="text1"/>
          <w:sz w:val="22"/>
          <w:szCs w:val="22"/>
        </w:rPr>
      </w:pPr>
    </w:p>
    <w:p w14:paraId="7FFA9BEC" w14:textId="77777777" w:rsidR="0092586B" w:rsidRPr="00B0278F" w:rsidRDefault="0092586B" w:rsidP="0092586B">
      <w:pPr>
        <w:spacing w:line="276" w:lineRule="auto"/>
        <w:jc w:val="both"/>
        <w:rPr>
          <w:rFonts w:ascii="Arial" w:hAnsi="Arial" w:cs="Arial"/>
          <w:color w:val="000000" w:themeColor="text1"/>
          <w:sz w:val="22"/>
          <w:szCs w:val="22"/>
        </w:rPr>
      </w:pPr>
      <w:r w:rsidRPr="00B0278F">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4C3C9D93" w14:textId="77777777" w:rsidR="0007377C" w:rsidRPr="00B0278F" w:rsidRDefault="0007377C" w:rsidP="0007377C">
      <w:pPr>
        <w:spacing w:line="276" w:lineRule="auto"/>
        <w:jc w:val="both"/>
        <w:rPr>
          <w:rFonts w:ascii="Arial" w:hAnsi="Arial" w:cs="Arial"/>
          <w:b/>
          <w:bCs/>
          <w:color w:val="FF0000"/>
          <w:sz w:val="22"/>
          <w:szCs w:val="22"/>
        </w:rPr>
      </w:pPr>
    </w:p>
    <w:p w14:paraId="4C75FF85" w14:textId="77777777" w:rsidR="008F5BE4" w:rsidRPr="00B0278F" w:rsidRDefault="008F5BE4" w:rsidP="008F5BE4">
      <w:pPr>
        <w:spacing w:line="276" w:lineRule="auto"/>
        <w:jc w:val="both"/>
        <w:rPr>
          <w:rFonts w:ascii="Arial" w:hAnsi="Arial" w:cs="Arial"/>
          <w:b/>
          <w:bCs/>
          <w:color w:val="000000" w:themeColor="text1"/>
          <w:sz w:val="22"/>
          <w:szCs w:val="22"/>
        </w:rPr>
      </w:pPr>
      <w:r w:rsidRPr="00B0278F">
        <w:rPr>
          <w:rFonts w:ascii="Arial" w:hAnsi="Arial" w:cs="Arial"/>
          <w:b/>
          <w:bCs/>
          <w:color w:val="000000" w:themeColor="text1"/>
          <w:sz w:val="22"/>
          <w:szCs w:val="22"/>
        </w:rPr>
        <w:t>Environmental Impact Assessment (EIA) Screening</w:t>
      </w:r>
    </w:p>
    <w:p w14:paraId="65D87977" w14:textId="77777777" w:rsidR="008F5BE4" w:rsidRPr="00B0278F" w:rsidRDefault="008F5BE4" w:rsidP="008F5BE4">
      <w:pPr>
        <w:spacing w:line="276" w:lineRule="auto"/>
        <w:jc w:val="both"/>
        <w:rPr>
          <w:rFonts w:ascii="Arial" w:hAnsi="Arial" w:cs="Arial"/>
          <w:color w:val="000000" w:themeColor="text1"/>
          <w:sz w:val="22"/>
          <w:szCs w:val="22"/>
        </w:rPr>
      </w:pPr>
      <w:r w:rsidRPr="00B0278F">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3CB8B681" w14:textId="77777777" w:rsidR="008F5BE4" w:rsidRPr="00B0278F" w:rsidRDefault="008F5BE4" w:rsidP="008F5BE4">
      <w:pPr>
        <w:spacing w:line="276" w:lineRule="auto"/>
        <w:jc w:val="both"/>
        <w:rPr>
          <w:rFonts w:ascii="Arial" w:hAnsi="Arial" w:cs="Arial"/>
          <w:color w:val="000000" w:themeColor="text1"/>
          <w:sz w:val="22"/>
          <w:szCs w:val="22"/>
        </w:rPr>
      </w:pPr>
    </w:p>
    <w:p w14:paraId="149D3255" w14:textId="77777777" w:rsidR="00402D5C" w:rsidRDefault="00402D5C" w:rsidP="008F5BE4">
      <w:pPr>
        <w:spacing w:line="276" w:lineRule="auto"/>
        <w:jc w:val="both"/>
        <w:rPr>
          <w:rFonts w:ascii="Arial" w:hAnsi="Arial" w:cs="Arial"/>
          <w:color w:val="000000" w:themeColor="text1"/>
          <w:sz w:val="22"/>
          <w:szCs w:val="22"/>
        </w:rPr>
      </w:pPr>
      <w:r w:rsidRPr="00402D5C">
        <w:rPr>
          <w:rFonts w:ascii="Arial" w:hAnsi="Arial" w:cs="Arial"/>
          <w:color w:val="000000" w:themeColor="text1"/>
          <w:sz w:val="22"/>
          <w:szCs w:val="22"/>
        </w:rPr>
        <w:t>Although no formal Screening Opinion was requested, the Local Planning Authority has undertaken its own screening assessment under the Town and Country Planning (Environmental Impact Assessment) Regulations 2017 and is satisfied that the proposal does not constitute EIA development.</w:t>
      </w:r>
    </w:p>
    <w:p w14:paraId="22789C30" w14:textId="77777777" w:rsidR="00A16EA1" w:rsidRPr="002529A4" w:rsidRDefault="00A16EA1" w:rsidP="7D84FC5F">
      <w:pPr>
        <w:spacing w:line="276" w:lineRule="auto"/>
        <w:jc w:val="both"/>
        <w:rPr>
          <w:rFonts w:ascii="Arial" w:hAnsi="Arial" w:cs="Arial"/>
          <w:i/>
          <w:iCs/>
          <w:color w:val="FF0000"/>
          <w:sz w:val="22"/>
          <w:szCs w:val="22"/>
        </w:rPr>
      </w:pPr>
    </w:p>
    <w:p w14:paraId="080CAC6A" w14:textId="77777777" w:rsidR="00722BAC" w:rsidRPr="002529A4" w:rsidRDefault="00722BAC" w:rsidP="7D84FC5F">
      <w:pPr>
        <w:spacing w:line="276" w:lineRule="auto"/>
        <w:jc w:val="both"/>
        <w:rPr>
          <w:rFonts w:ascii="Arial" w:hAnsi="Arial" w:cs="Arial"/>
          <w:b/>
          <w:bCs/>
          <w:sz w:val="22"/>
          <w:szCs w:val="22"/>
        </w:rPr>
      </w:pPr>
      <w:r w:rsidRPr="002529A4">
        <w:rPr>
          <w:rFonts w:ascii="Arial" w:hAnsi="Arial" w:cs="Arial"/>
          <w:b/>
          <w:bCs/>
          <w:sz w:val="22"/>
          <w:szCs w:val="22"/>
        </w:rPr>
        <w:t>Principle of Development</w:t>
      </w:r>
    </w:p>
    <w:p w14:paraId="693F2337" w14:textId="77777777" w:rsidR="00F81970" w:rsidRPr="002529A4" w:rsidRDefault="00F81970" w:rsidP="00F81970">
      <w:pPr>
        <w:spacing w:line="276" w:lineRule="auto"/>
        <w:jc w:val="both"/>
        <w:rPr>
          <w:rFonts w:ascii="Arial" w:hAnsi="Arial" w:cs="Arial"/>
          <w:i/>
          <w:iCs/>
          <w:color w:val="000000" w:themeColor="text1"/>
          <w:sz w:val="22"/>
          <w:szCs w:val="22"/>
        </w:rPr>
      </w:pPr>
      <w:r w:rsidRPr="002529A4">
        <w:rPr>
          <w:rFonts w:ascii="Arial" w:hAnsi="Arial" w:cs="Arial"/>
          <w:i/>
          <w:iCs/>
          <w:color w:val="000000" w:themeColor="text1"/>
          <w:sz w:val="22"/>
          <w:szCs w:val="22"/>
        </w:rPr>
        <w:t>Policy Context</w:t>
      </w:r>
    </w:p>
    <w:p w14:paraId="3636E47A" w14:textId="77777777" w:rsidR="00482DB3" w:rsidRPr="002529A4" w:rsidRDefault="00482DB3" w:rsidP="00482DB3">
      <w:pPr>
        <w:tabs>
          <w:tab w:val="num" w:pos="720"/>
        </w:tabs>
        <w:spacing w:line="276" w:lineRule="auto"/>
        <w:jc w:val="both"/>
        <w:rPr>
          <w:rFonts w:ascii="Arial" w:hAnsi="Arial" w:cs="Arial"/>
          <w:sz w:val="22"/>
          <w:szCs w:val="22"/>
        </w:rPr>
      </w:pPr>
      <w:r w:rsidRPr="002529A4">
        <w:rPr>
          <w:rFonts w:ascii="Arial" w:hAnsi="Arial" w:cs="Arial"/>
          <w:sz w:val="22"/>
          <w:szCs w:val="22"/>
        </w:rPr>
        <w:lastRenderedPageBreak/>
        <w:t xml:space="preserve">Core Policy 1: Settlement Strategy of the WCS establishes a hierarchy of settlements to guide where development should be focused. </w:t>
      </w:r>
      <w:r w:rsidR="00B75EF9" w:rsidRPr="002529A4">
        <w:rPr>
          <w:rFonts w:ascii="Arial" w:hAnsi="Arial" w:cs="Arial"/>
          <w:sz w:val="22"/>
          <w:szCs w:val="22"/>
        </w:rPr>
        <w:t>The policy  p</w:t>
      </w:r>
      <w:r w:rsidRPr="002529A4">
        <w:rPr>
          <w:rFonts w:ascii="Arial" w:hAnsi="Arial" w:cs="Arial"/>
          <w:sz w:val="22"/>
          <w:szCs w:val="22"/>
        </w:rPr>
        <w:t>rioritises growth in:</w:t>
      </w:r>
    </w:p>
    <w:p w14:paraId="72E7DA95" w14:textId="77777777" w:rsidR="00482DB3" w:rsidRPr="002529A4" w:rsidRDefault="00482DB3">
      <w:pPr>
        <w:numPr>
          <w:ilvl w:val="0"/>
          <w:numId w:val="14"/>
        </w:numPr>
        <w:spacing w:line="276" w:lineRule="auto"/>
        <w:jc w:val="both"/>
        <w:rPr>
          <w:rFonts w:ascii="Arial" w:hAnsi="Arial" w:cs="Arial"/>
          <w:sz w:val="22"/>
          <w:szCs w:val="22"/>
        </w:rPr>
      </w:pPr>
      <w:r w:rsidRPr="002529A4">
        <w:rPr>
          <w:rFonts w:ascii="Arial" w:hAnsi="Arial" w:cs="Arial"/>
          <w:sz w:val="22"/>
          <w:szCs w:val="22"/>
        </w:rPr>
        <w:t>Principal Settlements (e.g., Salisbury, Chippenham, Trowbridge) – main focus for strategic growth.</w:t>
      </w:r>
    </w:p>
    <w:p w14:paraId="43B98429" w14:textId="77777777" w:rsidR="00482DB3" w:rsidRPr="002529A4" w:rsidRDefault="00482DB3">
      <w:pPr>
        <w:numPr>
          <w:ilvl w:val="0"/>
          <w:numId w:val="14"/>
        </w:numPr>
        <w:spacing w:line="276" w:lineRule="auto"/>
        <w:jc w:val="both"/>
        <w:rPr>
          <w:rFonts w:ascii="Arial" w:hAnsi="Arial" w:cs="Arial"/>
          <w:sz w:val="22"/>
          <w:szCs w:val="22"/>
        </w:rPr>
      </w:pPr>
      <w:r w:rsidRPr="002529A4">
        <w:rPr>
          <w:rFonts w:ascii="Arial" w:hAnsi="Arial" w:cs="Arial"/>
          <w:sz w:val="22"/>
          <w:szCs w:val="22"/>
        </w:rPr>
        <w:t>Market Towns – support local services and employment; suitable for sustainable development.</w:t>
      </w:r>
    </w:p>
    <w:p w14:paraId="3F0FE074" w14:textId="77777777" w:rsidR="00482DB3" w:rsidRPr="002529A4" w:rsidRDefault="00482DB3">
      <w:pPr>
        <w:numPr>
          <w:ilvl w:val="0"/>
          <w:numId w:val="14"/>
        </w:numPr>
        <w:spacing w:line="276" w:lineRule="auto"/>
        <w:jc w:val="both"/>
        <w:rPr>
          <w:rFonts w:ascii="Arial" w:hAnsi="Arial" w:cs="Arial"/>
          <w:sz w:val="22"/>
          <w:szCs w:val="22"/>
        </w:rPr>
      </w:pPr>
      <w:r w:rsidRPr="002529A4">
        <w:rPr>
          <w:rFonts w:ascii="Arial" w:hAnsi="Arial" w:cs="Arial"/>
          <w:sz w:val="22"/>
          <w:szCs w:val="22"/>
        </w:rPr>
        <w:t>Local Service Centres – smaller towns and villages with a range of services; limited development supported.</w:t>
      </w:r>
    </w:p>
    <w:p w14:paraId="5F228786" w14:textId="77777777" w:rsidR="00482DB3" w:rsidRPr="002529A4" w:rsidRDefault="00482DB3">
      <w:pPr>
        <w:numPr>
          <w:ilvl w:val="0"/>
          <w:numId w:val="14"/>
        </w:numPr>
        <w:spacing w:line="276" w:lineRule="auto"/>
        <w:jc w:val="both"/>
        <w:rPr>
          <w:rFonts w:ascii="Arial" w:hAnsi="Arial" w:cs="Arial"/>
          <w:sz w:val="22"/>
          <w:szCs w:val="22"/>
        </w:rPr>
      </w:pPr>
      <w:r w:rsidRPr="002529A4">
        <w:rPr>
          <w:rFonts w:ascii="Arial" w:hAnsi="Arial" w:cs="Arial"/>
          <w:sz w:val="22"/>
          <w:szCs w:val="22"/>
        </w:rPr>
        <w:t>Large and Small Villages – development should be limited and respond to local needs.</w:t>
      </w:r>
    </w:p>
    <w:p w14:paraId="4AB60129" w14:textId="77777777" w:rsidR="00B75EF9" w:rsidRPr="002529A4" w:rsidRDefault="00482DB3">
      <w:pPr>
        <w:numPr>
          <w:ilvl w:val="0"/>
          <w:numId w:val="14"/>
        </w:numPr>
        <w:spacing w:line="276" w:lineRule="auto"/>
        <w:jc w:val="both"/>
        <w:rPr>
          <w:rFonts w:ascii="Arial" w:hAnsi="Arial" w:cs="Arial"/>
          <w:sz w:val="22"/>
          <w:szCs w:val="22"/>
        </w:rPr>
      </w:pPr>
      <w:r w:rsidRPr="002529A4">
        <w:rPr>
          <w:rFonts w:ascii="Arial" w:hAnsi="Arial" w:cs="Arial"/>
          <w:sz w:val="22"/>
          <w:szCs w:val="22"/>
        </w:rPr>
        <w:t>Outside the defined settlements – development is strictly controlled and generally not supported unless exceptional circumstances apply</w:t>
      </w:r>
      <w:r w:rsidR="002D63A7" w:rsidRPr="002529A4">
        <w:rPr>
          <w:rFonts w:ascii="Arial" w:hAnsi="Arial" w:cs="Arial"/>
          <w:sz w:val="22"/>
          <w:szCs w:val="22"/>
        </w:rPr>
        <w:t>.</w:t>
      </w:r>
    </w:p>
    <w:p w14:paraId="435767CC" w14:textId="77777777" w:rsidR="00482DB3" w:rsidRPr="002529A4" w:rsidRDefault="00482DB3" w:rsidP="00B75EF9">
      <w:pPr>
        <w:spacing w:line="276" w:lineRule="auto"/>
        <w:ind w:left="1440"/>
        <w:jc w:val="both"/>
        <w:rPr>
          <w:rFonts w:ascii="Arial" w:hAnsi="Arial" w:cs="Arial"/>
          <w:sz w:val="22"/>
          <w:szCs w:val="22"/>
        </w:rPr>
      </w:pPr>
      <w:r w:rsidRPr="002529A4">
        <w:rPr>
          <w:rFonts w:ascii="Arial" w:hAnsi="Arial" w:cs="Arial"/>
          <w:sz w:val="22"/>
          <w:szCs w:val="22"/>
        </w:rPr>
        <w:t>.</w:t>
      </w:r>
    </w:p>
    <w:p w14:paraId="0B35D827" w14:textId="77777777" w:rsidR="00482DB3" w:rsidRPr="002529A4" w:rsidRDefault="00482DB3" w:rsidP="00B75EF9">
      <w:pPr>
        <w:spacing w:line="276" w:lineRule="auto"/>
        <w:jc w:val="both"/>
        <w:rPr>
          <w:rFonts w:ascii="Arial" w:hAnsi="Arial" w:cs="Arial"/>
          <w:sz w:val="22"/>
          <w:szCs w:val="22"/>
        </w:rPr>
      </w:pPr>
      <w:r w:rsidRPr="002529A4">
        <w:rPr>
          <w:rFonts w:ascii="Arial" w:hAnsi="Arial" w:cs="Arial"/>
          <w:sz w:val="22"/>
          <w:szCs w:val="22"/>
        </w:rPr>
        <w:t>Core Policy 2: Delivery Strategy</w:t>
      </w:r>
      <w:r w:rsidR="00B75EF9" w:rsidRPr="002529A4">
        <w:rPr>
          <w:rFonts w:ascii="Arial" w:hAnsi="Arial" w:cs="Arial"/>
          <w:sz w:val="22"/>
          <w:szCs w:val="22"/>
        </w:rPr>
        <w:t xml:space="preserve"> of the WCS s</w:t>
      </w:r>
      <w:r w:rsidRPr="002529A4">
        <w:rPr>
          <w:rFonts w:ascii="Arial" w:hAnsi="Arial" w:cs="Arial"/>
          <w:sz w:val="22"/>
          <w:szCs w:val="22"/>
        </w:rPr>
        <w:t>ets out how development will be distributed and delivered across Wiltshire.</w:t>
      </w:r>
      <w:r w:rsidR="00B75EF9" w:rsidRPr="002529A4">
        <w:rPr>
          <w:rFonts w:ascii="Arial" w:hAnsi="Arial" w:cs="Arial"/>
          <w:sz w:val="22"/>
          <w:szCs w:val="22"/>
        </w:rPr>
        <w:t xml:space="preserve"> The policy emphasises:</w:t>
      </w:r>
    </w:p>
    <w:p w14:paraId="2BB1F7E2" w14:textId="77777777" w:rsidR="00482DB3" w:rsidRPr="002529A4" w:rsidRDefault="00482DB3">
      <w:pPr>
        <w:numPr>
          <w:ilvl w:val="0"/>
          <w:numId w:val="15"/>
        </w:numPr>
        <w:spacing w:line="276" w:lineRule="auto"/>
        <w:jc w:val="both"/>
        <w:rPr>
          <w:rFonts w:ascii="Arial" w:hAnsi="Arial" w:cs="Arial"/>
          <w:sz w:val="22"/>
          <w:szCs w:val="22"/>
        </w:rPr>
      </w:pPr>
      <w:r w:rsidRPr="002529A4">
        <w:rPr>
          <w:rFonts w:ascii="Arial" w:hAnsi="Arial" w:cs="Arial"/>
          <w:sz w:val="22"/>
          <w:szCs w:val="22"/>
        </w:rPr>
        <w:t>Sustainable patterns of growth, reducing the need to travel and supporting local services.</w:t>
      </w:r>
    </w:p>
    <w:p w14:paraId="657F56EA" w14:textId="77777777" w:rsidR="00482DB3" w:rsidRPr="002529A4" w:rsidRDefault="00482DB3">
      <w:pPr>
        <w:numPr>
          <w:ilvl w:val="0"/>
          <w:numId w:val="15"/>
        </w:numPr>
        <w:spacing w:line="276" w:lineRule="auto"/>
        <w:jc w:val="both"/>
        <w:rPr>
          <w:rFonts w:ascii="Arial" w:hAnsi="Arial" w:cs="Arial"/>
          <w:sz w:val="22"/>
          <w:szCs w:val="22"/>
        </w:rPr>
      </w:pPr>
      <w:r w:rsidRPr="002529A4">
        <w:rPr>
          <w:rFonts w:ascii="Arial" w:hAnsi="Arial" w:cs="Arial"/>
          <w:sz w:val="22"/>
          <w:szCs w:val="22"/>
        </w:rPr>
        <w:t>Development should be plan-led, aligning with the settlement strategy and supported by infrastructure.</w:t>
      </w:r>
    </w:p>
    <w:p w14:paraId="61364997" w14:textId="77777777" w:rsidR="00482DB3" w:rsidRPr="002529A4" w:rsidRDefault="00482DB3">
      <w:pPr>
        <w:numPr>
          <w:ilvl w:val="0"/>
          <w:numId w:val="15"/>
        </w:numPr>
        <w:spacing w:line="276" w:lineRule="auto"/>
        <w:jc w:val="both"/>
        <w:rPr>
          <w:rFonts w:ascii="Arial" w:hAnsi="Arial" w:cs="Arial"/>
          <w:sz w:val="22"/>
          <w:szCs w:val="22"/>
        </w:rPr>
      </w:pPr>
      <w:r w:rsidRPr="002529A4">
        <w:rPr>
          <w:rFonts w:ascii="Arial" w:hAnsi="Arial" w:cs="Arial"/>
          <w:sz w:val="22"/>
          <w:szCs w:val="22"/>
        </w:rPr>
        <w:t>Windfall development (not allocated in plans) must still comply with the principles of sustainable development.</w:t>
      </w:r>
    </w:p>
    <w:p w14:paraId="1A9C967A" w14:textId="7A72AE68" w:rsidR="00482DB3" w:rsidRPr="002529A4" w:rsidRDefault="00482DB3">
      <w:pPr>
        <w:numPr>
          <w:ilvl w:val="0"/>
          <w:numId w:val="15"/>
        </w:numPr>
        <w:spacing w:line="276" w:lineRule="auto"/>
        <w:jc w:val="both"/>
        <w:rPr>
          <w:rFonts w:ascii="Arial" w:hAnsi="Arial" w:cs="Arial"/>
          <w:sz w:val="22"/>
          <w:szCs w:val="22"/>
        </w:rPr>
      </w:pPr>
      <w:r w:rsidRPr="002529A4">
        <w:rPr>
          <w:rFonts w:ascii="Arial" w:hAnsi="Arial" w:cs="Arial"/>
          <w:sz w:val="22"/>
          <w:szCs w:val="22"/>
        </w:rPr>
        <w:t>Development outside settlement boundaries is generally not permitted, unless it meets specific policy exceptions (</w:t>
      </w:r>
      <w:r w:rsidR="002D63A7" w:rsidRPr="002529A4">
        <w:rPr>
          <w:rFonts w:ascii="Arial" w:hAnsi="Arial" w:cs="Arial"/>
          <w:sz w:val="22"/>
          <w:szCs w:val="22"/>
        </w:rPr>
        <w:t>as set out in paragraph 4.25 of the WCS</w:t>
      </w:r>
      <w:r w:rsidRPr="002529A4">
        <w:rPr>
          <w:rFonts w:ascii="Arial" w:hAnsi="Arial" w:cs="Arial"/>
          <w:sz w:val="22"/>
          <w:szCs w:val="22"/>
        </w:rPr>
        <w:t>).</w:t>
      </w:r>
    </w:p>
    <w:p w14:paraId="0445789A" w14:textId="77777777" w:rsidR="00482DB3" w:rsidRPr="002529A4" w:rsidRDefault="00482DB3" w:rsidP="00482DB3">
      <w:pPr>
        <w:spacing w:line="276" w:lineRule="auto"/>
        <w:jc w:val="both"/>
        <w:rPr>
          <w:rFonts w:ascii="Arial" w:hAnsi="Arial" w:cs="Arial"/>
          <w:sz w:val="22"/>
          <w:szCs w:val="22"/>
        </w:rPr>
      </w:pPr>
      <w:r w:rsidRPr="002529A4">
        <w:rPr>
          <w:rFonts w:ascii="Arial" w:hAnsi="Arial" w:cs="Arial"/>
          <w:sz w:val="22"/>
          <w:szCs w:val="22"/>
        </w:rPr>
        <w:t>Together, CP1 and CP2 ensure that new development is strategically located, sustainable, and supports the character and function of Wiltshire’s communities.</w:t>
      </w:r>
    </w:p>
    <w:p w14:paraId="710EF96A" w14:textId="77777777" w:rsidR="00C15984" w:rsidRPr="002529A4" w:rsidRDefault="00C15984" w:rsidP="00F81970">
      <w:pPr>
        <w:spacing w:line="276" w:lineRule="auto"/>
        <w:jc w:val="both"/>
        <w:rPr>
          <w:rFonts w:ascii="Arial" w:hAnsi="Arial" w:cs="Arial"/>
          <w:b/>
          <w:bCs/>
          <w:sz w:val="22"/>
          <w:szCs w:val="22"/>
        </w:rPr>
      </w:pPr>
    </w:p>
    <w:p w14:paraId="66833C49" w14:textId="77777777" w:rsidR="00F81970" w:rsidRPr="002529A4" w:rsidRDefault="00F81970" w:rsidP="00F81970">
      <w:pPr>
        <w:spacing w:line="276" w:lineRule="auto"/>
        <w:jc w:val="both"/>
        <w:rPr>
          <w:rFonts w:ascii="Arial" w:hAnsi="Arial" w:cs="Arial"/>
          <w:i/>
          <w:iCs/>
          <w:sz w:val="22"/>
          <w:szCs w:val="22"/>
        </w:rPr>
      </w:pPr>
      <w:r w:rsidRPr="002529A4">
        <w:rPr>
          <w:rFonts w:ascii="Arial" w:hAnsi="Arial" w:cs="Arial"/>
          <w:i/>
          <w:iCs/>
          <w:sz w:val="22"/>
          <w:szCs w:val="22"/>
        </w:rPr>
        <w:t xml:space="preserve">Assessment </w:t>
      </w:r>
    </w:p>
    <w:p w14:paraId="2B89268B" w14:textId="77777777" w:rsidR="00286908" w:rsidRPr="002529A4" w:rsidRDefault="00286908" w:rsidP="00286908">
      <w:pPr>
        <w:spacing w:line="276" w:lineRule="auto"/>
        <w:jc w:val="both"/>
        <w:rPr>
          <w:rFonts w:ascii="Arial" w:hAnsi="Arial" w:cs="Arial"/>
          <w:color w:val="000000" w:themeColor="text1"/>
          <w:sz w:val="22"/>
          <w:szCs w:val="22"/>
        </w:rPr>
      </w:pPr>
      <w:r w:rsidRPr="002529A4">
        <w:rPr>
          <w:rFonts w:ascii="Arial" w:hAnsi="Arial" w:cs="Arial"/>
          <w:color w:val="000000" w:themeColor="text1"/>
          <w:sz w:val="22"/>
          <w:szCs w:val="22"/>
        </w:rPr>
        <w:t>Whilst the site lies outside any defined settlement boundary and the proposal therefore conflicts in principle with Core Policies 1 and 2, the development relates to the conversion and reuse of an existing rural building rather than the erection of a new dwelling. As such, it engages the more permissive policy approach set out in Core Policy 48 and national guidance which supports the reuse of rural buildings.</w:t>
      </w:r>
    </w:p>
    <w:p w14:paraId="1761B951" w14:textId="77777777" w:rsidR="00286908" w:rsidRPr="002529A4" w:rsidRDefault="00286908" w:rsidP="00286908">
      <w:pPr>
        <w:spacing w:line="276" w:lineRule="auto"/>
        <w:jc w:val="both"/>
        <w:rPr>
          <w:rFonts w:ascii="Arial" w:hAnsi="Arial" w:cs="Arial"/>
          <w:color w:val="000000" w:themeColor="text1"/>
          <w:sz w:val="22"/>
          <w:szCs w:val="22"/>
        </w:rPr>
      </w:pPr>
    </w:p>
    <w:p w14:paraId="479867BB" w14:textId="77777777" w:rsidR="00286908" w:rsidRPr="002529A4" w:rsidRDefault="00286908" w:rsidP="00286908">
      <w:pPr>
        <w:spacing w:line="276" w:lineRule="auto"/>
        <w:jc w:val="both"/>
        <w:rPr>
          <w:rFonts w:ascii="Arial" w:hAnsi="Arial" w:cs="Arial"/>
          <w:color w:val="000000" w:themeColor="text1"/>
          <w:sz w:val="22"/>
          <w:szCs w:val="22"/>
        </w:rPr>
      </w:pPr>
      <w:r w:rsidRPr="002529A4">
        <w:rPr>
          <w:rFonts w:ascii="Arial" w:hAnsi="Arial" w:cs="Arial"/>
          <w:color w:val="000000" w:themeColor="text1"/>
          <w:sz w:val="22"/>
          <w:szCs w:val="22"/>
        </w:rPr>
        <w:t>In this instance, the fallback position established through the extant Class Q prior approval carries significant weight and confirms the acceptability of residential use in principle. The current proposal, which reduces the number of units from two to one without materially altering the approved built form, represents a less intensive and more coherent form of development.</w:t>
      </w:r>
    </w:p>
    <w:p w14:paraId="5C6A0C55" w14:textId="77777777" w:rsidR="00F23742" w:rsidRPr="002529A4" w:rsidRDefault="00F23742" w:rsidP="00286908">
      <w:pPr>
        <w:spacing w:line="276" w:lineRule="auto"/>
        <w:jc w:val="both"/>
        <w:rPr>
          <w:rFonts w:ascii="Arial" w:hAnsi="Arial" w:cs="Arial"/>
          <w:color w:val="000000" w:themeColor="text1"/>
          <w:sz w:val="22"/>
          <w:szCs w:val="22"/>
        </w:rPr>
      </w:pPr>
    </w:p>
    <w:p w14:paraId="1438219F" w14:textId="1FB0CB0A" w:rsidR="00286908" w:rsidRPr="002529A4" w:rsidRDefault="00286908" w:rsidP="00286908">
      <w:pPr>
        <w:spacing w:line="276" w:lineRule="auto"/>
        <w:jc w:val="both"/>
        <w:rPr>
          <w:rFonts w:ascii="Arial" w:hAnsi="Arial" w:cs="Arial"/>
          <w:color w:val="000000" w:themeColor="text1"/>
          <w:sz w:val="22"/>
          <w:szCs w:val="22"/>
        </w:rPr>
      </w:pPr>
      <w:r w:rsidRPr="002529A4">
        <w:rPr>
          <w:rFonts w:ascii="Arial" w:hAnsi="Arial" w:cs="Arial"/>
          <w:color w:val="000000" w:themeColor="text1"/>
          <w:sz w:val="22"/>
          <w:szCs w:val="22"/>
        </w:rPr>
        <w:t>Accordingly, whilst there remains a technical conflict with the spatial strategy, this is substantially outweighed by the fallback position and the policy support for the reuse of existing buildings in the countryside.</w:t>
      </w:r>
    </w:p>
    <w:p w14:paraId="545DB81D" w14:textId="77777777" w:rsidR="00286908" w:rsidRPr="002529A4" w:rsidRDefault="00286908" w:rsidP="008A026F">
      <w:pPr>
        <w:spacing w:line="276" w:lineRule="auto"/>
        <w:jc w:val="both"/>
        <w:rPr>
          <w:rFonts w:ascii="Arial" w:hAnsi="Arial" w:cs="Arial"/>
          <w:color w:val="000000" w:themeColor="text1"/>
          <w:sz w:val="22"/>
          <w:szCs w:val="22"/>
        </w:rPr>
      </w:pPr>
    </w:p>
    <w:p w14:paraId="7D71E1D4" w14:textId="77777777" w:rsidR="00E03EDD" w:rsidRPr="002529A4" w:rsidRDefault="00E03EDD" w:rsidP="00E03EDD">
      <w:pPr>
        <w:spacing w:line="276" w:lineRule="auto"/>
        <w:jc w:val="both"/>
        <w:rPr>
          <w:rFonts w:ascii="Arial" w:hAnsi="Arial" w:cs="Arial"/>
          <w:i/>
          <w:iCs/>
          <w:sz w:val="22"/>
          <w:szCs w:val="22"/>
        </w:rPr>
      </w:pPr>
      <w:r w:rsidRPr="002529A4">
        <w:rPr>
          <w:rFonts w:ascii="Arial" w:hAnsi="Arial" w:cs="Arial"/>
          <w:i/>
          <w:iCs/>
          <w:sz w:val="22"/>
          <w:szCs w:val="22"/>
        </w:rPr>
        <w:t>Conclusion</w:t>
      </w:r>
    </w:p>
    <w:p w14:paraId="20437CF5" w14:textId="77777777" w:rsidR="0071451A" w:rsidRDefault="0071451A" w:rsidP="0071451A">
      <w:pPr>
        <w:spacing w:line="276" w:lineRule="auto"/>
        <w:jc w:val="both"/>
        <w:rPr>
          <w:rFonts w:ascii="Arial" w:hAnsi="Arial" w:cs="Arial"/>
          <w:color w:val="000000" w:themeColor="text1"/>
          <w:sz w:val="22"/>
          <w:szCs w:val="22"/>
        </w:rPr>
      </w:pPr>
      <w:r w:rsidRPr="002529A4">
        <w:rPr>
          <w:rFonts w:ascii="Arial" w:hAnsi="Arial" w:cs="Arial"/>
          <w:color w:val="000000" w:themeColor="text1"/>
          <w:sz w:val="22"/>
          <w:szCs w:val="22"/>
        </w:rPr>
        <w:t>Overall, the proposal represents a reduced intensity form of development compared to the fallback position, delivering one dwelling in place of two, while maintaining the previously</w:t>
      </w:r>
      <w:r w:rsidRPr="006C075B">
        <w:rPr>
          <w:rFonts w:ascii="Arial" w:hAnsi="Arial" w:cs="Arial"/>
          <w:color w:val="000000" w:themeColor="text1"/>
          <w:sz w:val="22"/>
          <w:szCs w:val="22"/>
        </w:rPr>
        <w:t xml:space="preserve"> accepted built form and general layout established through the extant Class Q approval.</w:t>
      </w:r>
    </w:p>
    <w:p w14:paraId="4A61A027" w14:textId="77777777" w:rsidR="0071451A" w:rsidRDefault="0071451A" w:rsidP="0071451A">
      <w:pPr>
        <w:spacing w:line="276" w:lineRule="auto"/>
        <w:jc w:val="both"/>
        <w:rPr>
          <w:rFonts w:ascii="Arial" w:hAnsi="Arial" w:cs="Arial"/>
          <w:color w:val="000000" w:themeColor="text1"/>
          <w:sz w:val="22"/>
          <w:szCs w:val="22"/>
        </w:rPr>
      </w:pPr>
    </w:p>
    <w:p w14:paraId="117A835C" w14:textId="64D25FB5" w:rsidR="0071451A" w:rsidRPr="006C075B" w:rsidRDefault="0071451A" w:rsidP="0071451A">
      <w:pPr>
        <w:spacing w:line="276" w:lineRule="auto"/>
        <w:jc w:val="both"/>
        <w:rPr>
          <w:rFonts w:ascii="Arial" w:hAnsi="Arial" w:cs="Arial"/>
          <w:color w:val="000000" w:themeColor="text1"/>
          <w:sz w:val="22"/>
          <w:szCs w:val="22"/>
          <w:highlight w:val="yellow"/>
        </w:rPr>
      </w:pPr>
      <w:r w:rsidRPr="0071451A">
        <w:rPr>
          <w:rFonts w:ascii="Arial" w:hAnsi="Arial" w:cs="Arial"/>
          <w:color w:val="000000" w:themeColor="text1"/>
          <w:sz w:val="22"/>
          <w:szCs w:val="22"/>
        </w:rPr>
        <w:t>On balance, and having regard to the fallback position and the limited nature of the changes proposed, the principle of development is considered acceptable and would not justify refusal.</w:t>
      </w:r>
    </w:p>
    <w:p w14:paraId="117F0043" w14:textId="77777777" w:rsidR="00316C37" w:rsidRPr="00F139F4" w:rsidRDefault="00316C37" w:rsidP="7D84FC5F">
      <w:pPr>
        <w:spacing w:line="276" w:lineRule="auto"/>
        <w:jc w:val="both"/>
        <w:rPr>
          <w:rFonts w:ascii="Arial" w:hAnsi="Arial" w:cs="Arial"/>
          <w:b/>
          <w:bCs/>
          <w:sz w:val="22"/>
          <w:szCs w:val="22"/>
        </w:rPr>
      </w:pPr>
    </w:p>
    <w:p w14:paraId="5039C323" w14:textId="2FF69F1F" w:rsidR="0021750A" w:rsidRPr="00F139F4" w:rsidRDefault="0021750A" w:rsidP="0021750A">
      <w:pPr>
        <w:spacing w:line="276" w:lineRule="auto"/>
        <w:jc w:val="both"/>
        <w:rPr>
          <w:rFonts w:ascii="Arial" w:hAnsi="Arial" w:cs="Arial"/>
          <w:b/>
          <w:bCs/>
          <w:color w:val="EE0000"/>
          <w:sz w:val="22"/>
          <w:szCs w:val="22"/>
        </w:rPr>
      </w:pPr>
      <w:r w:rsidRPr="00F139F4">
        <w:rPr>
          <w:rFonts w:ascii="Arial" w:hAnsi="Arial" w:cs="Arial"/>
          <w:b/>
          <w:bCs/>
          <w:sz w:val="22"/>
          <w:szCs w:val="22"/>
        </w:rPr>
        <w:t>5 Year Housing Land Supply</w:t>
      </w:r>
    </w:p>
    <w:p w14:paraId="52FFE36A" w14:textId="77777777" w:rsidR="0021750A" w:rsidRPr="00F139F4" w:rsidRDefault="0021750A" w:rsidP="0021750A">
      <w:pPr>
        <w:spacing w:line="276" w:lineRule="auto"/>
        <w:jc w:val="both"/>
        <w:rPr>
          <w:rFonts w:ascii="Arial" w:hAnsi="Arial" w:cs="Arial"/>
          <w:sz w:val="22"/>
          <w:szCs w:val="22"/>
        </w:rPr>
      </w:pPr>
      <w:r w:rsidRPr="00F139F4">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3DC44136" w14:textId="77777777" w:rsidR="0021750A" w:rsidRPr="00F139F4" w:rsidRDefault="0021750A" w:rsidP="0021750A">
      <w:pPr>
        <w:spacing w:line="276" w:lineRule="auto"/>
        <w:jc w:val="both"/>
        <w:rPr>
          <w:rFonts w:ascii="Arial" w:hAnsi="Arial" w:cs="Arial"/>
          <w:color w:val="ED0000"/>
          <w:sz w:val="22"/>
          <w:szCs w:val="22"/>
        </w:rPr>
      </w:pPr>
    </w:p>
    <w:p w14:paraId="2D067714" w14:textId="77777777" w:rsidR="0021750A" w:rsidRPr="00F139F4" w:rsidRDefault="0021750A" w:rsidP="0021750A">
      <w:pPr>
        <w:spacing w:line="276" w:lineRule="auto"/>
        <w:jc w:val="both"/>
        <w:rPr>
          <w:rFonts w:ascii="Arial" w:hAnsi="Arial" w:cs="Arial"/>
          <w:sz w:val="22"/>
          <w:szCs w:val="22"/>
        </w:rPr>
      </w:pPr>
      <w:r w:rsidRPr="00F139F4">
        <w:rPr>
          <w:rFonts w:ascii="Arial" w:hAnsi="Arial" w:cs="Arial"/>
          <w:sz w:val="22"/>
          <w:szCs w:val="22"/>
        </w:rPr>
        <w:t>The National Planning Policy Framework was revised in December 2024. This has reintroduced the requirement to meet five years’ worth of deliverable sites and a buffer to be applied to the five-year housing requirement in all circumstances, and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2.42 years housing land supply of housing at a unitary authority level. This is considered to be a substantial shortfall.</w:t>
      </w:r>
    </w:p>
    <w:p w14:paraId="6C131886" w14:textId="77777777" w:rsidR="0021750A" w:rsidRPr="00F139F4" w:rsidRDefault="0021750A" w:rsidP="0021750A">
      <w:pPr>
        <w:spacing w:line="276" w:lineRule="auto"/>
        <w:jc w:val="both"/>
        <w:rPr>
          <w:rFonts w:ascii="Arial" w:hAnsi="Arial" w:cs="Arial"/>
          <w:sz w:val="22"/>
          <w:szCs w:val="22"/>
        </w:rPr>
      </w:pPr>
      <w:r w:rsidRPr="00F139F4">
        <w:rPr>
          <w:rFonts w:ascii="Arial" w:hAnsi="Arial" w:cs="Arial"/>
          <w:sz w:val="22"/>
          <w:szCs w:val="22"/>
        </w:rPr>
        <w:t xml:space="preserve"> </w:t>
      </w:r>
    </w:p>
    <w:p w14:paraId="33A0B9DA" w14:textId="77777777" w:rsidR="0021750A" w:rsidRPr="00F139F4" w:rsidRDefault="0021750A" w:rsidP="0021750A">
      <w:pPr>
        <w:spacing w:line="276" w:lineRule="auto"/>
        <w:jc w:val="both"/>
        <w:rPr>
          <w:rFonts w:ascii="Arial" w:hAnsi="Arial" w:cs="Arial"/>
          <w:sz w:val="22"/>
          <w:szCs w:val="22"/>
        </w:rPr>
      </w:pPr>
      <w:r w:rsidRPr="00F139F4">
        <w:rPr>
          <w:rFonts w:ascii="Arial" w:hAnsi="Arial" w:cs="Arial"/>
          <w:sz w:val="22"/>
          <w:szCs w:val="22"/>
        </w:rPr>
        <w:t>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particular regard to the key policies set out in paragraph 11(d)(ii) and Footnote 9 of the NPPF.</w:t>
      </w:r>
    </w:p>
    <w:p w14:paraId="3806ACB3" w14:textId="77777777" w:rsidR="0021750A" w:rsidRPr="00F139F4" w:rsidRDefault="0021750A" w:rsidP="7D84FC5F">
      <w:pPr>
        <w:spacing w:line="276" w:lineRule="auto"/>
        <w:jc w:val="both"/>
        <w:rPr>
          <w:rFonts w:ascii="Arial" w:hAnsi="Arial" w:cs="Arial"/>
          <w:b/>
          <w:bCs/>
          <w:sz w:val="22"/>
          <w:szCs w:val="22"/>
        </w:rPr>
      </w:pPr>
    </w:p>
    <w:p w14:paraId="731C13F5" w14:textId="7D3504C9" w:rsidR="00B341CC" w:rsidRPr="005720EC" w:rsidRDefault="008F31E0" w:rsidP="00B341CC">
      <w:pPr>
        <w:spacing w:line="276" w:lineRule="auto"/>
        <w:jc w:val="both"/>
        <w:rPr>
          <w:rFonts w:ascii="Arial" w:hAnsi="Arial" w:cs="Arial"/>
          <w:b/>
          <w:bCs/>
          <w:sz w:val="22"/>
          <w:szCs w:val="22"/>
        </w:rPr>
      </w:pPr>
      <w:r w:rsidRPr="005720EC">
        <w:rPr>
          <w:rFonts w:ascii="Arial" w:hAnsi="Arial" w:cs="Arial"/>
          <w:b/>
          <w:bCs/>
          <w:sz w:val="22"/>
          <w:szCs w:val="22"/>
        </w:rPr>
        <w:t>Design, Character and Landscape Impact</w:t>
      </w:r>
    </w:p>
    <w:p w14:paraId="1736A268" w14:textId="77777777" w:rsidR="008E59DE" w:rsidRPr="005720EC" w:rsidRDefault="008E59DE" w:rsidP="008E59DE">
      <w:pPr>
        <w:spacing w:line="276" w:lineRule="auto"/>
        <w:jc w:val="both"/>
        <w:rPr>
          <w:rFonts w:ascii="Arial" w:hAnsi="Arial" w:cs="Arial"/>
          <w:i/>
          <w:iCs/>
          <w:color w:val="000000" w:themeColor="text1"/>
          <w:sz w:val="22"/>
          <w:szCs w:val="22"/>
        </w:rPr>
      </w:pPr>
      <w:r w:rsidRPr="005720EC">
        <w:rPr>
          <w:rFonts w:ascii="Arial" w:hAnsi="Arial" w:cs="Arial"/>
          <w:i/>
          <w:iCs/>
          <w:color w:val="000000" w:themeColor="text1"/>
          <w:sz w:val="22"/>
          <w:szCs w:val="22"/>
        </w:rPr>
        <w:t>Policy Context</w:t>
      </w:r>
    </w:p>
    <w:p w14:paraId="79E5165C" w14:textId="77777777" w:rsidR="008F31E0" w:rsidRPr="005720EC" w:rsidRDefault="008F31E0" w:rsidP="008F31E0">
      <w:pPr>
        <w:spacing w:line="276" w:lineRule="auto"/>
        <w:jc w:val="both"/>
        <w:rPr>
          <w:rFonts w:ascii="Arial" w:hAnsi="Arial" w:cs="Arial"/>
          <w:sz w:val="22"/>
          <w:szCs w:val="22"/>
        </w:rPr>
      </w:pPr>
      <w:r w:rsidRPr="005720EC">
        <w:rPr>
          <w:rFonts w:ascii="Arial" w:hAnsi="Arial" w:cs="Arial"/>
          <w:sz w:val="22"/>
          <w:szCs w:val="22"/>
        </w:rPr>
        <w:t>Core Policy 57 of the Wiltshire Core Strategy (WCS) requires development to achieve a high standard of design that responds positively to local character, reinforces a sense of place, and is compatible with surrounding land uses. Proposals should be informed by their context, respecting the natural, built and historic environment while securing appropriate levels of amenity.</w:t>
      </w:r>
    </w:p>
    <w:p w14:paraId="1B0F8947" w14:textId="77777777" w:rsidR="008F31E0" w:rsidRPr="005720EC" w:rsidRDefault="008F31E0" w:rsidP="008F31E0">
      <w:pPr>
        <w:spacing w:line="276" w:lineRule="auto"/>
        <w:jc w:val="both"/>
        <w:rPr>
          <w:rFonts w:ascii="Arial" w:hAnsi="Arial" w:cs="Arial"/>
          <w:sz w:val="22"/>
          <w:szCs w:val="22"/>
        </w:rPr>
      </w:pPr>
    </w:p>
    <w:p w14:paraId="6497C1C7" w14:textId="77777777" w:rsidR="008F31E0" w:rsidRPr="005720EC" w:rsidRDefault="008F31E0" w:rsidP="008F31E0">
      <w:pPr>
        <w:spacing w:line="276" w:lineRule="auto"/>
        <w:jc w:val="both"/>
        <w:rPr>
          <w:rFonts w:ascii="Arial" w:hAnsi="Arial" w:cs="Arial"/>
          <w:sz w:val="22"/>
          <w:szCs w:val="22"/>
        </w:rPr>
      </w:pPr>
      <w:r w:rsidRPr="005720EC">
        <w:rPr>
          <w:rFonts w:ascii="Arial" w:hAnsi="Arial" w:cs="Arial"/>
          <w:sz w:val="22"/>
          <w:szCs w:val="22"/>
        </w:rPr>
        <w:t>Core Policy 51 requires development to protect, conserve and, where possible, enhance landscape character, ensuring that proposals respect local distinctiveness, key views and the intrinsic character of the countryside.</w:t>
      </w:r>
    </w:p>
    <w:p w14:paraId="5A6876FE" w14:textId="77777777" w:rsidR="008F31E0" w:rsidRPr="005720EC" w:rsidRDefault="008F31E0" w:rsidP="008F31E0">
      <w:pPr>
        <w:spacing w:line="276" w:lineRule="auto"/>
        <w:jc w:val="both"/>
        <w:rPr>
          <w:rFonts w:ascii="Arial" w:hAnsi="Arial" w:cs="Arial"/>
          <w:sz w:val="22"/>
          <w:szCs w:val="22"/>
        </w:rPr>
      </w:pPr>
    </w:p>
    <w:p w14:paraId="2CF1E0F6" w14:textId="77777777" w:rsidR="008F31E0" w:rsidRPr="005720EC" w:rsidRDefault="008F31E0" w:rsidP="008F31E0">
      <w:pPr>
        <w:spacing w:line="276" w:lineRule="auto"/>
        <w:jc w:val="both"/>
        <w:rPr>
          <w:rFonts w:ascii="Arial" w:hAnsi="Arial" w:cs="Arial"/>
          <w:sz w:val="22"/>
          <w:szCs w:val="22"/>
        </w:rPr>
      </w:pPr>
      <w:r w:rsidRPr="005720EC">
        <w:rPr>
          <w:rFonts w:ascii="Arial" w:hAnsi="Arial" w:cs="Arial"/>
          <w:sz w:val="22"/>
          <w:szCs w:val="22"/>
        </w:rPr>
        <w:t>At the national level, Section 12 of the NPPF places significant weight on achieving well-designed places, requiring development to be visually attractive, sympathetic to local character and history, and to establish a strong sense of place. The NPPF also recognises the intrinsic character and beauty of the countryside and seeks to ensure that development is well integrated and not visually intrusive.</w:t>
      </w:r>
    </w:p>
    <w:p w14:paraId="320CBF96" w14:textId="77777777" w:rsidR="008F31E0" w:rsidRPr="005720EC" w:rsidRDefault="008F31E0" w:rsidP="008F31E0">
      <w:pPr>
        <w:spacing w:line="276" w:lineRule="auto"/>
        <w:jc w:val="both"/>
        <w:rPr>
          <w:rFonts w:ascii="Arial" w:hAnsi="Arial" w:cs="Arial"/>
          <w:sz w:val="22"/>
          <w:szCs w:val="22"/>
        </w:rPr>
      </w:pPr>
    </w:p>
    <w:p w14:paraId="3CBE2946" w14:textId="700C5ECA" w:rsidR="00D030B2" w:rsidRPr="005720EC" w:rsidRDefault="008F31E0" w:rsidP="008F31E0">
      <w:pPr>
        <w:spacing w:line="276" w:lineRule="auto"/>
        <w:jc w:val="both"/>
        <w:rPr>
          <w:rFonts w:ascii="Arial" w:hAnsi="Arial" w:cs="Arial"/>
          <w:sz w:val="22"/>
          <w:szCs w:val="22"/>
        </w:rPr>
      </w:pPr>
      <w:r w:rsidRPr="005720EC">
        <w:rPr>
          <w:rFonts w:ascii="Arial" w:hAnsi="Arial" w:cs="Arial"/>
          <w:sz w:val="22"/>
          <w:szCs w:val="22"/>
        </w:rPr>
        <w:lastRenderedPageBreak/>
        <w:t>The Wiltshire Design Guide SPD (2024) reinforces a context-led approach, encouraging development to respond to landscape setting, local materials and settlement patterns, whilst supporting modern standards of living. The Building for a Healthy Life framework further promotes well-designed, sustainable places that support amenity, accessibility and quality of life.</w:t>
      </w:r>
    </w:p>
    <w:p w14:paraId="66422E68" w14:textId="77777777" w:rsidR="008E59DE" w:rsidRPr="005720EC" w:rsidRDefault="008E59DE" w:rsidP="00B341CC">
      <w:pPr>
        <w:spacing w:line="276" w:lineRule="auto"/>
        <w:jc w:val="both"/>
        <w:rPr>
          <w:rFonts w:ascii="Arial" w:hAnsi="Arial" w:cs="Arial"/>
          <w:b/>
          <w:bCs/>
          <w:sz w:val="22"/>
          <w:szCs w:val="22"/>
        </w:rPr>
      </w:pPr>
    </w:p>
    <w:p w14:paraId="13FB2CAB" w14:textId="77777777" w:rsidR="008E59DE" w:rsidRPr="005720EC" w:rsidRDefault="008E59DE" w:rsidP="00B341CC">
      <w:pPr>
        <w:spacing w:line="276" w:lineRule="auto"/>
        <w:jc w:val="both"/>
        <w:rPr>
          <w:rFonts w:ascii="Arial" w:hAnsi="Arial" w:cs="Arial"/>
          <w:i/>
          <w:iCs/>
          <w:sz w:val="22"/>
          <w:szCs w:val="22"/>
        </w:rPr>
      </w:pPr>
      <w:r w:rsidRPr="005720EC">
        <w:rPr>
          <w:rFonts w:ascii="Arial" w:hAnsi="Arial" w:cs="Arial"/>
          <w:i/>
          <w:iCs/>
          <w:sz w:val="22"/>
          <w:szCs w:val="22"/>
        </w:rPr>
        <w:t xml:space="preserve">Assessment </w:t>
      </w:r>
    </w:p>
    <w:p w14:paraId="17E258C1" w14:textId="48601A73" w:rsidR="00A60B16" w:rsidRPr="005720EC" w:rsidRDefault="00A60B16" w:rsidP="00A60B16">
      <w:pPr>
        <w:spacing w:line="276" w:lineRule="auto"/>
        <w:jc w:val="both"/>
        <w:rPr>
          <w:rFonts w:ascii="Arial" w:hAnsi="Arial" w:cs="Arial"/>
          <w:sz w:val="22"/>
          <w:szCs w:val="22"/>
        </w:rPr>
      </w:pPr>
      <w:r w:rsidRPr="005720EC">
        <w:rPr>
          <w:rFonts w:ascii="Arial" w:hAnsi="Arial" w:cs="Arial"/>
          <w:sz w:val="22"/>
          <w:szCs w:val="22"/>
        </w:rPr>
        <w:t>The proposal relates to the conversion of an existing rural building, with the external form, scale and appearance largely consistent with the extant Class Q fallback permission, which has already established the acceptability of the building’s residential conversion in visual and design terms.</w:t>
      </w:r>
    </w:p>
    <w:p w14:paraId="5E59702E" w14:textId="77777777" w:rsidR="00A60B16" w:rsidRPr="005720EC" w:rsidRDefault="00A60B16" w:rsidP="00A60B16">
      <w:pPr>
        <w:spacing w:line="276" w:lineRule="auto"/>
        <w:jc w:val="both"/>
        <w:rPr>
          <w:rFonts w:ascii="Arial" w:hAnsi="Arial" w:cs="Arial"/>
          <w:sz w:val="22"/>
          <w:szCs w:val="22"/>
        </w:rPr>
      </w:pPr>
    </w:p>
    <w:p w14:paraId="61739EEE" w14:textId="5B911B96" w:rsidR="00A60B16" w:rsidRPr="005720EC" w:rsidRDefault="00A60B16" w:rsidP="00A60B16">
      <w:pPr>
        <w:spacing w:line="276" w:lineRule="auto"/>
        <w:jc w:val="both"/>
        <w:rPr>
          <w:rFonts w:ascii="Arial" w:hAnsi="Arial" w:cs="Arial"/>
          <w:sz w:val="22"/>
          <w:szCs w:val="22"/>
        </w:rPr>
      </w:pPr>
      <w:r w:rsidRPr="005720EC">
        <w:rPr>
          <w:rFonts w:ascii="Arial" w:hAnsi="Arial" w:cs="Arial"/>
          <w:sz w:val="22"/>
          <w:szCs w:val="22"/>
        </w:rPr>
        <w:t>The building is of a simple agricultural character, modest in scale and already present within the landscape. The proposed development does not introduce a materially larger or more prominent built form, instead reusing the existing structure with limited external alterations. As confirmed in the supporting information, the physical changes from the approved scheme are minor and do not materially alter how the building is perceived within the wider landscape.</w:t>
      </w:r>
    </w:p>
    <w:p w14:paraId="1CAB6376" w14:textId="77777777" w:rsidR="00A60B16" w:rsidRPr="005720EC" w:rsidRDefault="00A60B16" w:rsidP="00A60B16">
      <w:pPr>
        <w:spacing w:line="276" w:lineRule="auto"/>
        <w:jc w:val="both"/>
        <w:rPr>
          <w:rFonts w:ascii="Arial" w:hAnsi="Arial" w:cs="Arial"/>
          <w:sz w:val="22"/>
          <w:szCs w:val="22"/>
        </w:rPr>
      </w:pPr>
    </w:p>
    <w:p w14:paraId="2BA500DB" w14:textId="77777777" w:rsidR="00A60B16" w:rsidRPr="005720EC" w:rsidRDefault="00A60B16" w:rsidP="00A60B16">
      <w:pPr>
        <w:spacing w:line="276" w:lineRule="auto"/>
        <w:jc w:val="both"/>
        <w:rPr>
          <w:rFonts w:ascii="Arial" w:hAnsi="Arial" w:cs="Arial"/>
          <w:sz w:val="22"/>
          <w:szCs w:val="22"/>
        </w:rPr>
      </w:pPr>
      <w:r w:rsidRPr="005720EC">
        <w:rPr>
          <w:rFonts w:ascii="Arial" w:hAnsi="Arial" w:cs="Arial"/>
          <w:sz w:val="22"/>
          <w:szCs w:val="22"/>
        </w:rPr>
        <w:t>In design terms, the proposal maintains a simple and functional form reflective of its agricultural origins, with materials and detailing (as previously accepted) that are appropriate to the rural setting. This approach accords with Core Policy 57 and the Wiltshire Design Guide, which support development that is informed by and responds to its context.</w:t>
      </w:r>
    </w:p>
    <w:p w14:paraId="62AE49BE" w14:textId="77777777" w:rsidR="00A60B16" w:rsidRPr="005720EC" w:rsidRDefault="00A60B16" w:rsidP="00A60B16">
      <w:pPr>
        <w:spacing w:line="276" w:lineRule="auto"/>
        <w:jc w:val="both"/>
        <w:rPr>
          <w:rFonts w:ascii="Arial" w:hAnsi="Arial" w:cs="Arial"/>
          <w:sz w:val="22"/>
          <w:szCs w:val="22"/>
        </w:rPr>
      </w:pPr>
    </w:p>
    <w:p w14:paraId="741E96B7" w14:textId="60AB56D7" w:rsidR="00A60B16" w:rsidRPr="005720EC" w:rsidRDefault="00A60B16" w:rsidP="00A60B16">
      <w:pPr>
        <w:spacing w:line="276" w:lineRule="auto"/>
        <w:jc w:val="both"/>
        <w:rPr>
          <w:rFonts w:ascii="Arial" w:hAnsi="Arial" w:cs="Arial"/>
          <w:sz w:val="22"/>
          <w:szCs w:val="22"/>
        </w:rPr>
      </w:pPr>
      <w:r w:rsidRPr="005720EC">
        <w:rPr>
          <w:rFonts w:ascii="Arial" w:hAnsi="Arial" w:cs="Arial"/>
          <w:sz w:val="22"/>
          <w:szCs w:val="22"/>
        </w:rPr>
        <w:t>From a landscape perspective, the site is not subject to any national landscape designation and is viewed within the context of existing mixed uses, including the adjacent caravan park and nearby residential property. The building is therefore not isolated within an undeveloped landscape, but rather forms part of an established group of built development.</w:t>
      </w:r>
    </w:p>
    <w:p w14:paraId="3E3AAFDB" w14:textId="77777777" w:rsidR="00A60B16" w:rsidRPr="005720EC" w:rsidRDefault="00A60B16" w:rsidP="00A60B16">
      <w:pPr>
        <w:spacing w:line="276" w:lineRule="auto"/>
        <w:jc w:val="both"/>
        <w:rPr>
          <w:rFonts w:ascii="Arial" w:hAnsi="Arial" w:cs="Arial"/>
          <w:sz w:val="22"/>
          <w:szCs w:val="22"/>
        </w:rPr>
      </w:pPr>
    </w:p>
    <w:p w14:paraId="5488DD6B" w14:textId="6ECBF74B" w:rsidR="00A60B16" w:rsidRPr="005720EC" w:rsidRDefault="00A60B16" w:rsidP="00A60B16">
      <w:pPr>
        <w:spacing w:line="276" w:lineRule="auto"/>
        <w:jc w:val="both"/>
        <w:rPr>
          <w:rFonts w:ascii="Arial" w:hAnsi="Arial" w:cs="Arial"/>
          <w:sz w:val="22"/>
          <w:szCs w:val="22"/>
        </w:rPr>
      </w:pPr>
      <w:r w:rsidRPr="005720EC">
        <w:rPr>
          <w:rFonts w:ascii="Arial" w:hAnsi="Arial" w:cs="Arial"/>
          <w:sz w:val="22"/>
          <w:szCs w:val="22"/>
        </w:rPr>
        <w:t>Given that the proposal retains the established building envelope and does not extend development into undeveloped land, there is no material additional landscape harm beyond that already accepted under the fallback position. The reduction from two dwellings to one also has the effect of reducing domestic paraphernalia and activity, which in turn lessens visual clutter within the site.</w:t>
      </w:r>
    </w:p>
    <w:p w14:paraId="01C34796" w14:textId="77777777" w:rsidR="00A60B16" w:rsidRPr="005720EC" w:rsidRDefault="00A60B16" w:rsidP="00A60B16">
      <w:pPr>
        <w:spacing w:line="276" w:lineRule="auto"/>
        <w:jc w:val="both"/>
        <w:rPr>
          <w:rFonts w:ascii="Arial" w:hAnsi="Arial" w:cs="Arial"/>
          <w:sz w:val="22"/>
          <w:szCs w:val="22"/>
        </w:rPr>
      </w:pPr>
    </w:p>
    <w:p w14:paraId="25ED4A47" w14:textId="21A3444A" w:rsidR="008E59DE" w:rsidRPr="005720EC" w:rsidRDefault="00A60B16" w:rsidP="00A60B16">
      <w:pPr>
        <w:spacing w:line="276" w:lineRule="auto"/>
        <w:jc w:val="both"/>
        <w:rPr>
          <w:rFonts w:ascii="Arial" w:hAnsi="Arial" w:cs="Arial"/>
          <w:sz w:val="22"/>
          <w:szCs w:val="22"/>
        </w:rPr>
      </w:pPr>
      <w:r w:rsidRPr="005720EC">
        <w:rPr>
          <w:rFonts w:ascii="Arial" w:hAnsi="Arial" w:cs="Arial"/>
          <w:sz w:val="22"/>
          <w:szCs w:val="22"/>
        </w:rPr>
        <w:t>Overall, the proposal is considered to preserve the character of the surrounding rural area, integrate appropriately with its immediate context, and avoid undue visual intrusion.</w:t>
      </w:r>
    </w:p>
    <w:p w14:paraId="1B475B70" w14:textId="77777777" w:rsidR="00E03EDD" w:rsidRPr="005720EC" w:rsidRDefault="00E03EDD" w:rsidP="00B341CC">
      <w:pPr>
        <w:spacing w:line="276" w:lineRule="auto"/>
        <w:jc w:val="both"/>
        <w:rPr>
          <w:rFonts w:ascii="Arial" w:hAnsi="Arial" w:cs="Arial"/>
          <w:i/>
          <w:iCs/>
          <w:sz w:val="22"/>
          <w:szCs w:val="22"/>
        </w:rPr>
      </w:pPr>
    </w:p>
    <w:p w14:paraId="1B8BA2C5" w14:textId="77777777" w:rsidR="00A64314" w:rsidRPr="005720EC" w:rsidRDefault="00A64314" w:rsidP="00B341CC">
      <w:pPr>
        <w:spacing w:line="276" w:lineRule="auto"/>
        <w:jc w:val="both"/>
        <w:rPr>
          <w:rFonts w:ascii="Arial" w:hAnsi="Arial" w:cs="Arial"/>
          <w:i/>
          <w:iCs/>
          <w:sz w:val="22"/>
          <w:szCs w:val="22"/>
        </w:rPr>
      </w:pPr>
      <w:r w:rsidRPr="005720EC">
        <w:rPr>
          <w:rFonts w:ascii="Arial" w:hAnsi="Arial" w:cs="Arial"/>
          <w:i/>
          <w:iCs/>
          <w:sz w:val="22"/>
          <w:szCs w:val="22"/>
        </w:rPr>
        <w:t>Conclusion</w:t>
      </w:r>
    </w:p>
    <w:p w14:paraId="1C1CD430" w14:textId="77777777" w:rsidR="005720EC" w:rsidRDefault="005720EC" w:rsidP="005720EC">
      <w:pPr>
        <w:spacing w:line="276" w:lineRule="auto"/>
        <w:jc w:val="both"/>
        <w:rPr>
          <w:rFonts w:ascii="Arial" w:hAnsi="Arial" w:cs="Arial"/>
          <w:sz w:val="22"/>
          <w:szCs w:val="22"/>
        </w:rPr>
      </w:pPr>
      <w:r w:rsidRPr="005720EC">
        <w:rPr>
          <w:rFonts w:ascii="Arial" w:hAnsi="Arial" w:cs="Arial"/>
          <w:sz w:val="22"/>
          <w:szCs w:val="22"/>
        </w:rPr>
        <w:t>The proposal maintains the established form and appearance of the existing building and does not introduce development that would harm the character or appearance of the area. The fallback position provides a strong baseline, confirming that the visual and design impacts of converting the building to residential use are acceptable.</w:t>
      </w:r>
    </w:p>
    <w:p w14:paraId="2106B58E" w14:textId="77777777" w:rsidR="005720EC" w:rsidRPr="005720EC" w:rsidRDefault="005720EC" w:rsidP="005720EC">
      <w:pPr>
        <w:spacing w:line="276" w:lineRule="auto"/>
        <w:jc w:val="both"/>
        <w:rPr>
          <w:rFonts w:ascii="Arial" w:hAnsi="Arial" w:cs="Arial"/>
          <w:sz w:val="22"/>
          <w:szCs w:val="22"/>
        </w:rPr>
      </w:pPr>
    </w:p>
    <w:p w14:paraId="190508C3" w14:textId="77777777" w:rsidR="005720EC" w:rsidRDefault="005720EC" w:rsidP="005720EC">
      <w:pPr>
        <w:spacing w:line="276" w:lineRule="auto"/>
        <w:jc w:val="both"/>
        <w:rPr>
          <w:rFonts w:ascii="Arial" w:hAnsi="Arial" w:cs="Arial"/>
          <w:sz w:val="22"/>
          <w:szCs w:val="22"/>
        </w:rPr>
      </w:pPr>
      <w:r w:rsidRPr="005720EC">
        <w:rPr>
          <w:rFonts w:ascii="Arial" w:hAnsi="Arial" w:cs="Arial"/>
          <w:sz w:val="22"/>
          <w:szCs w:val="22"/>
        </w:rPr>
        <w:t>Given the limited changes proposed and the reduction in development intensity, the scheme is considered to comply with Core Policies 51 and 57 of the WCS, the design objectives of the NPPF, and the principles of the Wiltshire Design Guide.</w:t>
      </w:r>
    </w:p>
    <w:p w14:paraId="72517828" w14:textId="77777777" w:rsidR="005720EC" w:rsidRPr="005720EC" w:rsidRDefault="005720EC" w:rsidP="005720EC">
      <w:pPr>
        <w:spacing w:line="276" w:lineRule="auto"/>
        <w:jc w:val="both"/>
        <w:rPr>
          <w:rFonts w:ascii="Arial" w:hAnsi="Arial" w:cs="Arial"/>
          <w:sz w:val="22"/>
          <w:szCs w:val="22"/>
        </w:rPr>
      </w:pPr>
    </w:p>
    <w:p w14:paraId="56F01331" w14:textId="712DD3B7" w:rsidR="00316C37" w:rsidRPr="005720EC" w:rsidRDefault="005720EC" w:rsidP="005720EC">
      <w:pPr>
        <w:spacing w:line="276" w:lineRule="auto"/>
        <w:jc w:val="both"/>
        <w:rPr>
          <w:rFonts w:ascii="Arial" w:hAnsi="Arial" w:cs="Arial"/>
          <w:sz w:val="22"/>
          <w:szCs w:val="22"/>
          <w:highlight w:val="yellow"/>
        </w:rPr>
      </w:pPr>
      <w:r w:rsidRPr="005720EC">
        <w:rPr>
          <w:rFonts w:ascii="Arial" w:hAnsi="Arial" w:cs="Arial"/>
          <w:sz w:val="22"/>
          <w:szCs w:val="22"/>
        </w:rPr>
        <w:lastRenderedPageBreak/>
        <w:t>On this basis, the development would preserve the character and appearance of the area and result in no unacceptable landscape or visual harm.</w:t>
      </w:r>
    </w:p>
    <w:p w14:paraId="531D1E69" w14:textId="77777777" w:rsidR="00E03EDD" w:rsidRPr="006D5C4E" w:rsidRDefault="00E03EDD" w:rsidP="00B341CC">
      <w:pPr>
        <w:spacing w:line="276" w:lineRule="auto"/>
        <w:jc w:val="both"/>
        <w:rPr>
          <w:rFonts w:ascii="Arial" w:hAnsi="Arial" w:cs="Arial"/>
          <w:i/>
          <w:iCs/>
          <w:sz w:val="22"/>
          <w:szCs w:val="22"/>
        </w:rPr>
      </w:pPr>
    </w:p>
    <w:p w14:paraId="0A7BB414" w14:textId="77777777" w:rsidR="000C0D1A" w:rsidRPr="006D5C4E" w:rsidRDefault="000C0D1A" w:rsidP="7D84FC5F">
      <w:pPr>
        <w:spacing w:line="276" w:lineRule="auto"/>
        <w:jc w:val="both"/>
        <w:rPr>
          <w:rFonts w:ascii="Arial" w:hAnsi="Arial" w:cs="Arial"/>
          <w:b/>
          <w:bCs/>
          <w:sz w:val="22"/>
          <w:szCs w:val="22"/>
        </w:rPr>
      </w:pPr>
      <w:r w:rsidRPr="006D5C4E">
        <w:rPr>
          <w:rFonts w:ascii="Arial" w:hAnsi="Arial" w:cs="Arial"/>
          <w:b/>
          <w:bCs/>
          <w:sz w:val="22"/>
          <w:szCs w:val="22"/>
        </w:rPr>
        <w:t>Amenity</w:t>
      </w:r>
    </w:p>
    <w:p w14:paraId="46B82727" w14:textId="77777777" w:rsidR="00D45219" w:rsidRPr="006D5C4E" w:rsidRDefault="000C0D1A" w:rsidP="00D45219">
      <w:pPr>
        <w:spacing w:line="276" w:lineRule="auto"/>
        <w:jc w:val="both"/>
        <w:rPr>
          <w:rFonts w:ascii="Arial" w:hAnsi="Arial" w:cs="Arial"/>
          <w:i/>
          <w:iCs/>
          <w:color w:val="000000" w:themeColor="text1"/>
          <w:sz w:val="22"/>
          <w:szCs w:val="22"/>
        </w:rPr>
      </w:pPr>
      <w:r w:rsidRPr="006D5C4E">
        <w:rPr>
          <w:rFonts w:ascii="Arial" w:hAnsi="Arial" w:cs="Arial"/>
          <w:i/>
          <w:iCs/>
          <w:color w:val="000000" w:themeColor="text1"/>
          <w:sz w:val="22"/>
          <w:szCs w:val="22"/>
        </w:rPr>
        <w:t>Policy Context</w:t>
      </w:r>
    </w:p>
    <w:p w14:paraId="21C2CC60" w14:textId="77777777" w:rsidR="00336FA4" w:rsidRPr="006D5C4E" w:rsidRDefault="00336FA4" w:rsidP="00D45219">
      <w:pPr>
        <w:spacing w:line="276" w:lineRule="auto"/>
        <w:jc w:val="both"/>
        <w:rPr>
          <w:rFonts w:ascii="Arial" w:hAnsi="Arial" w:cs="Arial"/>
          <w:color w:val="000000" w:themeColor="text1"/>
          <w:sz w:val="22"/>
          <w:szCs w:val="22"/>
        </w:rPr>
      </w:pPr>
      <w:r w:rsidRPr="006D5C4E">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4927441C" w14:textId="77777777" w:rsidR="00D45219" w:rsidRPr="006D5C4E" w:rsidRDefault="00D45219" w:rsidP="00D45219">
      <w:pPr>
        <w:spacing w:line="276" w:lineRule="auto"/>
        <w:jc w:val="both"/>
        <w:rPr>
          <w:rFonts w:ascii="Arial" w:hAnsi="Arial" w:cs="Arial"/>
          <w:i/>
          <w:iCs/>
          <w:color w:val="000000" w:themeColor="text1"/>
          <w:sz w:val="22"/>
          <w:szCs w:val="22"/>
        </w:rPr>
      </w:pPr>
    </w:p>
    <w:p w14:paraId="026CB9B9" w14:textId="77777777" w:rsidR="00336FA4" w:rsidRPr="006D5C4E" w:rsidRDefault="00336FA4" w:rsidP="00D45219">
      <w:pPr>
        <w:spacing w:line="276" w:lineRule="auto"/>
        <w:jc w:val="both"/>
        <w:rPr>
          <w:rFonts w:ascii="Arial" w:hAnsi="Arial" w:cs="Arial"/>
          <w:color w:val="000000" w:themeColor="text1"/>
          <w:sz w:val="22"/>
          <w:szCs w:val="22"/>
        </w:rPr>
      </w:pPr>
      <w:r w:rsidRPr="006D5C4E">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6FD77942" w14:textId="77777777" w:rsidR="005E7F49" w:rsidRPr="006D5C4E" w:rsidRDefault="005E7F49" w:rsidP="00D45219">
      <w:pPr>
        <w:spacing w:line="276" w:lineRule="auto"/>
        <w:jc w:val="both"/>
        <w:rPr>
          <w:rFonts w:ascii="Arial" w:hAnsi="Arial" w:cs="Arial"/>
          <w:color w:val="000000" w:themeColor="text1"/>
          <w:sz w:val="22"/>
          <w:szCs w:val="22"/>
        </w:rPr>
      </w:pPr>
    </w:p>
    <w:p w14:paraId="20AB6A5A" w14:textId="3581801B" w:rsidR="005E7F49" w:rsidRPr="006D5C4E" w:rsidRDefault="005E7F49" w:rsidP="00D45219">
      <w:pPr>
        <w:spacing w:line="276" w:lineRule="auto"/>
        <w:jc w:val="both"/>
        <w:rPr>
          <w:rFonts w:ascii="Arial" w:hAnsi="Arial" w:cs="Arial"/>
          <w:i/>
          <w:iCs/>
          <w:color w:val="000000" w:themeColor="text1"/>
          <w:sz w:val="22"/>
          <w:szCs w:val="22"/>
        </w:rPr>
      </w:pPr>
      <w:r w:rsidRPr="006D5C4E">
        <w:rPr>
          <w:rFonts w:ascii="Arial" w:hAnsi="Arial" w:cs="Arial"/>
          <w:i/>
          <w:iCs/>
          <w:color w:val="000000" w:themeColor="text1"/>
          <w:sz w:val="22"/>
          <w:szCs w:val="22"/>
        </w:rPr>
        <w:t>Assessment</w:t>
      </w:r>
    </w:p>
    <w:p w14:paraId="7D1843B7" w14:textId="3DEEFF91" w:rsidR="005E7F49" w:rsidRDefault="005E7F49" w:rsidP="005E7F49">
      <w:pPr>
        <w:spacing w:line="276" w:lineRule="auto"/>
        <w:jc w:val="both"/>
        <w:rPr>
          <w:rFonts w:ascii="Arial" w:hAnsi="Arial" w:cs="Arial"/>
          <w:color w:val="000000" w:themeColor="text1"/>
          <w:sz w:val="22"/>
          <w:szCs w:val="22"/>
        </w:rPr>
      </w:pPr>
      <w:r w:rsidRPr="006D5C4E">
        <w:rPr>
          <w:rFonts w:ascii="Arial" w:hAnsi="Arial" w:cs="Arial"/>
          <w:color w:val="000000" w:themeColor="text1"/>
          <w:sz w:val="22"/>
          <w:szCs w:val="22"/>
        </w:rPr>
        <w:t xml:space="preserve">The proposal involves the conversion of an existing building in a constrained relationship with neighbouring uses, including </w:t>
      </w:r>
      <w:proofErr w:type="spellStart"/>
      <w:r w:rsidRPr="006D5C4E">
        <w:rPr>
          <w:rFonts w:ascii="Arial" w:hAnsi="Arial" w:cs="Arial"/>
          <w:color w:val="000000" w:themeColor="text1"/>
          <w:sz w:val="22"/>
          <w:szCs w:val="22"/>
        </w:rPr>
        <w:t>Beechfield</w:t>
      </w:r>
      <w:proofErr w:type="spellEnd"/>
      <w:r w:rsidRPr="006D5C4E">
        <w:rPr>
          <w:rFonts w:ascii="Arial" w:hAnsi="Arial" w:cs="Arial"/>
          <w:color w:val="000000" w:themeColor="text1"/>
          <w:sz w:val="22"/>
          <w:szCs w:val="22"/>
        </w:rPr>
        <w:t xml:space="preserve"> and the adjacent caravan park.</w:t>
      </w:r>
    </w:p>
    <w:p w14:paraId="0F99ECCF" w14:textId="77777777" w:rsidR="005E7F49" w:rsidRPr="005E7F49" w:rsidRDefault="005E7F49" w:rsidP="005E7F49">
      <w:pPr>
        <w:spacing w:line="276" w:lineRule="auto"/>
        <w:jc w:val="both"/>
        <w:rPr>
          <w:rFonts w:ascii="Arial" w:hAnsi="Arial" w:cs="Arial"/>
          <w:color w:val="000000" w:themeColor="text1"/>
          <w:sz w:val="22"/>
          <w:szCs w:val="22"/>
        </w:rPr>
      </w:pPr>
    </w:p>
    <w:p w14:paraId="26EAC329" w14:textId="5E7647CC" w:rsidR="005E7F49" w:rsidRDefault="005E7F49" w:rsidP="005E7F49">
      <w:pPr>
        <w:spacing w:line="276" w:lineRule="auto"/>
        <w:jc w:val="both"/>
        <w:rPr>
          <w:rFonts w:ascii="Arial" w:hAnsi="Arial" w:cs="Arial"/>
          <w:color w:val="000000" w:themeColor="text1"/>
          <w:sz w:val="22"/>
          <w:szCs w:val="22"/>
        </w:rPr>
      </w:pPr>
      <w:r w:rsidRPr="005E7F49">
        <w:rPr>
          <w:rFonts w:ascii="Arial" w:hAnsi="Arial" w:cs="Arial"/>
          <w:color w:val="000000" w:themeColor="text1"/>
          <w:sz w:val="22"/>
          <w:szCs w:val="22"/>
        </w:rPr>
        <w:t>However, the extant Class Q fallback for two dwellings is a significant material consideration. The current scheme reduces this to a single unit, resulting in lower intensity of use and associated activity, and therefore reduced potential for noise and disturbance.</w:t>
      </w:r>
    </w:p>
    <w:p w14:paraId="6F4F186E" w14:textId="77777777" w:rsidR="005E7F49" w:rsidRPr="005E7F49" w:rsidRDefault="005E7F49" w:rsidP="005E7F49">
      <w:pPr>
        <w:spacing w:line="276" w:lineRule="auto"/>
        <w:jc w:val="both"/>
        <w:rPr>
          <w:rFonts w:ascii="Arial" w:hAnsi="Arial" w:cs="Arial"/>
          <w:color w:val="000000" w:themeColor="text1"/>
          <w:sz w:val="22"/>
          <w:szCs w:val="22"/>
        </w:rPr>
      </w:pPr>
    </w:p>
    <w:p w14:paraId="174DC327" w14:textId="70D91D91" w:rsidR="005E7F49" w:rsidRDefault="005E7F49" w:rsidP="005E7F49">
      <w:pPr>
        <w:spacing w:line="276" w:lineRule="auto"/>
        <w:jc w:val="both"/>
        <w:rPr>
          <w:rFonts w:ascii="Arial" w:hAnsi="Arial" w:cs="Arial"/>
          <w:color w:val="000000" w:themeColor="text1"/>
          <w:sz w:val="22"/>
          <w:szCs w:val="22"/>
        </w:rPr>
      </w:pPr>
      <w:r w:rsidRPr="005E7F49">
        <w:rPr>
          <w:rFonts w:ascii="Arial" w:hAnsi="Arial" w:cs="Arial"/>
          <w:color w:val="000000" w:themeColor="text1"/>
          <w:sz w:val="22"/>
          <w:szCs w:val="22"/>
        </w:rPr>
        <w:t>Given the building is single storey and retains its existing form, there would be no material increase in overlooking, loss of light, or overbearing impact beyond the established situation. Boundary treatments and separation distances further limit any direct amenity impacts.</w:t>
      </w:r>
    </w:p>
    <w:p w14:paraId="04C41AE0" w14:textId="77777777" w:rsidR="005E7F49" w:rsidRPr="005E7F49" w:rsidRDefault="005E7F49" w:rsidP="005E7F49">
      <w:pPr>
        <w:spacing w:line="276" w:lineRule="auto"/>
        <w:jc w:val="both"/>
        <w:rPr>
          <w:rFonts w:ascii="Arial" w:hAnsi="Arial" w:cs="Arial"/>
          <w:color w:val="000000" w:themeColor="text1"/>
          <w:sz w:val="22"/>
          <w:szCs w:val="22"/>
        </w:rPr>
      </w:pPr>
    </w:p>
    <w:p w14:paraId="7FC3194A" w14:textId="1D447F0B" w:rsidR="005E7F49" w:rsidRDefault="005E7F49" w:rsidP="005E7F49">
      <w:pPr>
        <w:spacing w:line="276" w:lineRule="auto"/>
        <w:jc w:val="both"/>
        <w:rPr>
          <w:rFonts w:ascii="Arial" w:hAnsi="Arial" w:cs="Arial"/>
          <w:color w:val="000000" w:themeColor="text1"/>
          <w:sz w:val="22"/>
          <w:szCs w:val="22"/>
        </w:rPr>
      </w:pPr>
      <w:r w:rsidRPr="005E7F49">
        <w:rPr>
          <w:rFonts w:ascii="Arial" w:hAnsi="Arial" w:cs="Arial"/>
          <w:color w:val="000000" w:themeColor="text1"/>
          <w:sz w:val="22"/>
          <w:szCs w:val="22"/>
        </w:rPr>
        <w:t>The proposal would also provide a more generous and coherent residential environment for future occupiers, with an enlarged curtilage and reduced pressure on internal space when compared to the fallback scheme.</w:t>
      </w:r>
    </w:p>
    <w:p w14:paraId="4653DD5A" w14:textId="77777777" w:rsidR="006D5C4E" w:rsidRDefault="006D5C4E" w:rsidP="005E7F49">
      <w:pPr>
        <w:spacing w:line="276" w:lineRule="auto"/>
        <w:jc w:val="both"/>
        <w:rPr>
          <w:rFonts w:ascii="Arial" w:hAnsi="Arial" w:cs="Arial"/>
          <w:color w:val="000000" w:themeColor="text1"/>
          <w:sz w:val="22"/>
          <w:szCs w:val="22"/>
        </w:rPr>
      </w:pPr>
    </w:p>
    <w:p w14:paraId="1C4A283A" w14:textId="77777777" w:rsidR="007702C5" w:rsidRPr="007702C5" w:rsidRDefault="007702C5" w:rsidP="007702C5">
      <w:pPr>
        <w:spacing w:line="276" w:lineRule="auto"/>
        <w:jc w:val="both"/>
        <w:rPr>
          <w:rFonts w:ascii="Arial" w:hAnsi="Arial" w:cs="Arial"/>
          <w:color w:val="000000" w:themeColor="text1"/>
          <w:sz w:val="22"/>
          <w:szCs w:val="22"/>
        </w:rPr>
      </w:pPr>
      <w:r w:rsidRPr="007702C5">
        <w:rPr>
          <w:rFonts w:ascii="Arial" w:hAnsi="Arial" w:cs="Arial"/>
          <w:color w:val="000000" w:themeColor="text1"/>
          <w:sz w:val="22"/>
          <w:szCs w:val="22"/>
        </w:rPr>
        <w:t>A Construction Environmental Management Plan (CEMP) has been submitted in support of the application and has been subject to consultation with the Council’s Public Protection team. No comments have been received following the expiry of the consultation period. In light of this, and having regard to the modest scale of the development, the extant Class Q fallback and the limited construction impacts identified, it is considered that a compliance condition requiring the development to be carried out in accordance with the submitted CEMP would provide a proportionate and reasonable means of safeguarding the amenities of neighbouring occupiers in accordance with Core Policy 57 of the Wiltshire Core Strategy.</w:t>
      </w:r>
    </w:p>
    <w:p w14:paraId="1A48FC7B" w14:textId="77777777" w:rsidR="00FD1936" w:rsidRDefault="00FD1936" w:rsidP="005E7F49">
      <w:pPr>
        <w:spacing w:line="276" w:lineRule="auto"/>
        <w:jc w:val="both"/>
        <w:rPr>
          <w:rFonts w:ascii="Arial" w:hAnsi="Arial" w:cs="Arial"/>
          <w:color w:val="000000" w:themeColor="text1"/>
          <w:sz w:val="22"/>
          <w:szCs w:val="22"/>
        </w:rPr>
      </w:pPr>
    </w:p>
    <w:p w14:paraId="7ADA80CC" w14:textId="77777777" w:rsidR="006D5C4E" w:rsidRPr="006D5C4E" w:rsidRDefault="006D5C4E" w:rsidP="006D5C4E">
      <w:pPr>
        <w:spacing w:line="276" w:lineRule="auto"/>
        <w:jc w:val="both"/>
        <w:rPr>
          <w:rFonts w:ascii="Arial" w:hAnsi="Arial" w:cs="Arial"/>
          <w:i/>
          <w:iCs/>
          <w:color w:val="000000" w:themeColor="text1"/>
          <w:sz w:val="22"/>
          <w:szCs w:val="22"/>
        </w:rPr>
      </w:pPr>
      <w:r w:rsidRPr="006D5C4E">
        <w:rPr>
          <w:rFonts w:ascii="Arial" w:hAnsi="Arial" w:cs="Arial"/>
          <w:i/>
          <w:iCs/>
          <w:color w:val="000000" w:themeColor="text1"/>
          <w:sz w:val="22"/>
          <w:szCs w:val="22"/>
        </w:rPr>
        <w:t>Conclusion</w:t>
      </w:r>
    </w:p>
    <w:p w14:paraId="60306B2F" w14:textId="3B28BBCD" w:rsidR="006D5C4E" w:rsidRDefault="006D5C4E" w:rsidP="006D5C4E">
      <w:pPr>
        <w:spacing w:line="276" w:lineRule="auto"/>
        <w:jc w:val="both"/>
        <w:rPr>
          <w:rFonts w:ascii="Arial" w:hAnsi="Arial" w:cs="Arial"/>
          <w:color w:val="000000" w:themeColor="text1"/>
          <w:sz w:val="22"/>
          <w:szCs w:val="22"/>
          <w:highlight w:val="yellow"/>
        </w:rPr>
      </w:pPr>
      <w:r w:rsidRPr="006D5C4E">
        <w:rPr>
          <w:rFonts w:ascii="Arial" w:hAnsi="Arial" w:cs="Arial"/>
          <w:color w:val="000000" w:themeColor="text1"/>
          <w:sz w:val="22"/>
          <w:szCs w:val="22"/>
        </w:rPr>
        <w:t>The proposal would not result in unacceptable harm to neighbouring amenity and would provide an appropriate standard of living conditions for future occupiers. The reduced intensity of development compared to the fallback position is a significant benefit.</w:t>
      </w:r>
      <w:r>
        <w:rPr>
          <w:rFonts w:ascii="Arial" w:hAnsi="Arial" w:cs="Arial"/>
          <w:color w:val="000000" w:themeColor="text1"/>
          <w:sz w:val="22"/>
          <w:szCs w:val="22"/>
        </w:rPr>
        <w:t xml:space="preserve"> </w:t>
      </w:r>
      <w:r w:rsidRPr="006D5C4E">
        <w:rPr>
          <w:rFonts w:ascii="Arial" w:hAnsi="Arial" w:cs="Arial"/>
          <w:color w:val="000000" w:themeColor="text1"/>
          <w:sz w:val="22"/>
          <w:szCs w:val="22"/>
        </w:rPr>
        <w:t>The development is therefore compliant with Core Policy 57 (vii) and the NPPF and is acceptable in amenity terms.</w:t>
      </w:r>
    </w:p>
    <w:p w14:paraId="56D1E169" w14:textId="77777777" w:rsidR="00316C37" w:rsidRPr="004C11EF" w:rsidRDefault="00316C37" w:rsidP="7D84FC5F">
      <w:pPr>
        <w:spacing w:line="276" w:lineRule="auto"/>
        <w:jc w:val="both"/>
        <w:rPr>
          <w:rFonts w:ascii="Arial" w:hAnsi="Arial" w:cs="Arial"/>
          <w:b/>
          <w:bCs/>
          <w:sz w:val="22"/>
          <w:szCs w:val="22"/>
        </w:rPr>
      </w:pPr>
    </w:p>
    <w:p w14:paraId="4CC1554E" w14:textId="77777777" w:rsidR="00722BAC" w:rsidRPr="004C11EF" w:rsidRDefault="000E59B7" w:rsidP="7D84FC5F">
      <w:pPr>
        <w:spacing w:line="276" w:lineRule="auto"/>
        <w:jc w:val="both"/>
        <w:rPr>
          <w:rFonts w:ascii="Arial" w:hAnsi="Arial" w:cs="Arial"/>
          <w:b/>
          <w:bCs/>
          <w:sz w:val="22"/>
          <w:szCs w:val="22"/>
        </w:rPr>
      </w:pPr>
      <w:r w:rsidRPr="004C11EF">
        <w:rPr>
          <w:rFonts w:ascii="Arial" w:hAnsi="Arial" w:cs="Arial"/>
          <w:b/>
          <w:bCs/>
          <w:sz w:val="22"/>
          <w:szCs w:val="22"/>
        </w:rPr>
        <w:t xml:space="preserve">Highways Impacts and Parking </w:t>
      </w:r>
    </w:p>
    <w:p w14:paraId="2FF27B36" w14:textId="77777777" w:rsidR="00520340" w:rsidRPr="004C11EF" w:rsidRDefault="00520340" w:rsidP="7D84FC5F">
      <w:pPr>
        <w:spacing w:line="276" w:lineRule="auto"/>
        <w:jc w:val="both"/>
        <w:rPr>
          <w:rFonts w:ascii="Arial" w:hAnsi="Arial" w:cs="Arial"/>
          <w:i/>
          <w:iCs/>
          <w:sz w:val="22"/>
          <w:szCs w:val="22"/>
        </w:rPr>
      </w:pPr>
      <w:r w:rsidRPr="004C11EF">
        <w:rPr>
          <w:rFonts w:ascii="Arial" w:hAnsi="Arial" w:cs="Arial"/>
          <w:i/>
          <w:iCs/>
          <w:sz w:val="22"/>
          <w:szCs w:val="22"/>
        </w:rPr>
        <w:t>Policy Context</w:t>
      </w:r>
    </w:p>
    <w:p w14:paraId="046D9359" w14:textId="77777777" w:rsidR="00520340" w:rsidRPr="004C11EF" w:rsidRDefault="00520340" w:rsidP="00520340">
      <w:pPr>
        <w:spacing w:line="276" w:lineRule="auto"/>
        <w:jc w:val="both"/>
        <w:rPr>
          <w:rFonts w:ascii="Arial" w:hAnsi="Arial" w:cs="Arial"/>
          <w:sz w:val="22"/>
          <w:szCs w:val="22"/>
        </w:rPr>
      </w:pPr>
      <w:r w:rsidRPr="004C11EF">
        <w:rPr>
          <w:rFonts w:ascii="Arial" w:hAnsi="Arial" w:cs="Arial"/>
          <w:sz w:val="22"/>
          <w:szCs w:val="22"/>
        </w:rPr>
        <w:t>Transport implications are a key factor in assessing planning applications, especially for larger developments. Proposals must demonstrate:</w:t>
      </w:r>
    </w:p>
    <w:p w14:paraId="7ABA70CE" w14:textId="77777777" w:rsidR="00520340" w:rsidRPr="004C11EF" w:rsidRDefault="00520340">
      <w:pPr>
        <w:numPr>
          <w:ilvl w:val="0"/>
          <w:numId w:val="7"/>
        </w:numPr>
        <w:spacing w:line="276" w:lineRule="auto"/>
        <w:jc w:val="both"/>
        <w:rPr>
          <w:rFonts w:ascii="Arial" w:hAnsi="Arial" w:cs="Arial"/>
          <w:sz w:val="22"/>
          <w:szCs w:val="22"/>
        </w:rPr>
      </w:pPr>
      <w:r w:rsidRPr="004C11EF">
        <w:rPr>
          <w:rFonts w:ascii="Arial" w:hAnsi="Arial" w:cs="Arial"/>
          <w:sz w:val="22"/>
          <w:szCs w:val="22"/>
        </w:rPr>
        <w:t>Safe and suitable access for all users, including pedestrians, cyclists, and those with mobility impairments.</w:t>
      </w:r>
    </w:p>
    <w:p w14:paraId="5D8686DF" w14:textId="77777777" w:rsidR="00520340" w:rsidRPr="004C11EF" w:rsidRDefault="00520340">
      <w:pPr>
        <w:numPr>
          <w:ilvl w:val="0"/>
          <w:numId w:val="7"/>
        </w:numPr>
        <w:spacing w:line="276" w:lineRule="auto"/>
        <w:jc w:val="both"/>
        <w:rPr>
          <w:rFonts w:ascii="Arial" w:hAnsi="Arial" w:cs="Arial"/>
          <w:sz w:val="22"/>
          <w:szCs w:val="22"/>
        </w:rPr>
      </w:pPr>
      <w:r w:rsidRPr="004C11EF">
        <w:rPr>
          <w:rFonts w:ascii="Arial" w:hAnsi="Arial" w:cs="Arial"/>
          <w:sz w:val="22"/>
          <w:szCs w:val="22"/>
        </w:rPr>
        <w:lastRenderedPageBreak/>
        <w:t>No severe residual impacts on the surrounding highway network.</w:t>
      </w:r>
    </w:p>
    <w:p w14:paraId="0CF0F28E" w14:textId="77777777" w:rsidR="00520340" w:rsidRPr="004C11EF" w:rsidRDefault="00520340">
      <w:pPr>
        <w:numPr>
          <w:ilvl w:val="0"/>
          <w:numId w:val="7"/>
        </w:numPr>
        <w:spacing w:line="276" w:lineRule="auto"/>
        <w:jc w:val="both"/>
        <w:rPr>
          <w:rFonts w:ascii="Arial" w:hAnsi="Arial" w:cs="Arial"/>
          <w:sz w:val="22"/>
          <w:szCs w:val="22"/>
        </w:rPr>
      </w:pPr>
      <w:r w:rsidRPr="004C11EF">
        <w:rPr>
          <w:rFonts w:ascii="Arial" w:hAnsi="Arial" w:cs="Arial"/>
          <w:sz w:val="22"/>
          <w:szCs w:val="22"/>
        </w:rPr>
        <w:t>Promotion of sustainable travel, reducing reliance on private vehicles.</w:t>
      </w:r>
    </w:p>
    <w:p w14:paraId="1295E763" w14:textId="77777777" w:rsidR="00520340" w:rsidRPr="004C11EF" w:rsidRDefault="00520340">
      <w:pPr>
        <w:numPr>
          <w:ilvl w:val="0"/>
          <w:numId w:val="7"/>
        </w:numPr>
        <w:spacing w:line="276" w:lineRule="auto"/>
        <w:jc w:val="both"/>
        <w:rPr>
          <w:rFonts w:ascii="Arial" w:hAnsi="Arial" w:cs="Arial"/>
          <w:sz w:val="22"/>
          <w:szCs w:val="22"/>
        </w:rPr>
      </w:pPr>
      <w:r w:rsidRPr="004C11EF">
        <w:rPr>
          <w:rFonts w:ascii="Arial" w:hAnsi="Arial" w:cs="Arial"/>
          <w:sz w:val="22"/>
          <w:szCs w:val="22"/>
        </w:rPr>
        <w:t>Adequate parking and cycle provision, in line with adopted standards.</w:t>
      </w:r>
    </w:p>
    <w:p w14:paraId="1BDA847A" w14:textId="77777777" w:rsidR="00520340" w:rsidRPr="004C11EF" w:rsidRDefault="00520340">
      <w:pPr>
        <w:numPr>
          <w:ilvl w:val="0"/>
          <w:numId w:val="7"/>
        </w:numPr>
        <w:spacing w:line="276" w:lineRule="auto"/>
        <w:jc w:val="both"/>
        <w:rPr>
          <w:rFonts w:ascii="Arial" w:hAnsi="Arial" w:cs="Arial"/>
          <w:sz w:val="22"/>
          <w:szCs w:val="22"/>
        </w:rPr>
      </w:pPr>
      <w:r w:rsidRPr="004C11EF">
        <w:rPr>
          <w:rFonts w:ascii="Arial" w:hAnsi="Arial" w:cs="Arial"/>
          <w:sz w:val="22"/>
          <w:szCs w:val="22"/>
        </w:rPr>
        <w:t>Protection and enhancement of public rights of way and active travel routes.</w:t>
      </w:r>
    </w:p>
    <w:p w14:paraId="2919090C" w14:textId="77777777" w:rsidR="00E3526F" w:rsidRPr="004C11EF" w:rsidRDefault="00E3526F" w:rsidP="00E3526F">
      <w:pPr>
        <w:spacing w:line="276" w:lineRule="auto"/>
        <w:ind w:left="720"/>
        <w:jc w:val="both"/>
        <w:rPr>
          <w:rFonts w:ascii="Arial" w:hAnsi="Arial" w:cs="Arial"/>
          <w:sz w:val="22"/>
          <w:szCs w:val="22"/>
        </w:rPr>
      </w:pPr>
    </w:p>
    <w:p w14:paraId="407CEB33" w14:textId="77777777" w:rsidR="00520340" w:rsidRPr="004C11EF" w:rsidRDefault="00520340" w:rsidP="00520340">
      <w:pPr>
        <w:spacing w:line="276" w:lineRule="auto"/>
        <w:jc w:val="both"/>
        <w:rPr>
          <w:rFonts w:ascii="Arial" w:hAnsi="Arial" w:cs="Arial"/>
          <w:sz w:val="22"/>
          <w:szCs w:val="22"/>
        </w:rPr>
      </w:pPr>
      <w:r w:rsidRPr="004C11EF">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1357D534" w14:textId="77777777" w:rsidR="00E3526F" w:rsidRPr="004C11EF" w:rsidRDefault="00E3526F" w:rsidP="00520340">
      <w:pPr>
        <w:spacing w:line="276" w:lineRule="auto"/>
        <w:jc w:val="both"/>
        <w:rPr>
          <w:rFonts w:ascii="Arial" w:hAnsi="Arial" w:cs="Arial"/>
          <w:sz w:val="22"/>
          <w:szCs w:val="22"/>
        </w:rPr>
      </w:pPr>
    </w:p>
    <w:p w14:paraId="2B9ADEEB" w14:textId="77777777" w:rsidR="00520340" w:rsidRPr="004C11EF" w:rsidRDefault="00520340" w:rsidP="00520340">
      <w:pPr>
        <w:spacing w:line="276" w:lineRule="auto"/>
        <w:jc w:val="both"/>
        <w:rPr>
          <w:rFonts w:ascii="Arial" w:hAnsi="Arial" w:cs="Arial"/>
          <w:sz w:val="22"/>
          <w:szCs w:val="22"/>
        </w:rPr>
      </w:pPr>
      <w:r w:rsidRPr="004C11EF">
        <w:rPr>
          <w:rFonts w:ascii="Arial" w:hAnsi="Arial" w:cs="Arial"/>
          <w:sz w:val="22"/>
          <w:szCs w:val="22"/>
        </w:rPr>
        <w:t>Proposals must also ensure safe access for refuse collection vehicles and comply with the Wiltshire Council Waste Storage and Collection SPD (2017).</w:t>
      </w:r>
    </w:p>
    <w:p w14:paraId="6F66AB98" w14:textId="77777777" w:rsidR="00E3526F" w:rsidRPr="004C11EF" w:rsidRDefault="00E3526F" w:rsidP="00520340">
      <w:pPr>
        <w:spacing w:line="276" w:lineRule="auto"/>
        <w:jc w:val="both"/>
        <w:rPr>
          <w:rFonts w:ascii="Arial" w:hAnsi="Arial" w:cs="Arial"/>
          <w:sz w:val="22"/>
          <w:szCs w:val="22"/>
        </w:rPr>
      </w:pPr>
    </w:p>
    <w:p w14:paraId="50D1D855" w14:textId="77777777" w:rsidR="00520340" w:rsidRPr="004C11EF" w:rsidRDefault="00520340" w:rsidP="00520340">
      <w:pPr>
        <w:spacing w:line="276" w:lineRule="auto"/>
        <w:jc w:val="both"/>
        <w:rPr>
          <w:rFonts w:ascii="Arial" w:hAnsi="Arial" w:cs="Arial"/>
          <w:sz w:val="22"/>
          <w:szCs w:val="22"/>
        </w:rPr>
      </w:pPr>
      <w:r w:rsidRPr="004C11EF">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1D65274C" w14:textId="77777777" w:rsidR="00000D40" w:rsidRPr="004C11EF" w:rsidRDefault="00000D40" w:rsidP="00520340">
      <w:pPr>
        <w:spacing w:line="276" w:lineRule="auto"/>
        <w:jc w:val="both"/>
        <w:rPr>
          <w:rFonts w:ascii="Arial" w:hAnsi="Arial" w:cs="Arial"/>
          <w:sz w:val="22"/>
          <w:szCs w:val="22"/>
        </w:rPr>
      </w:pPr>
    </w:p>
    <w:p w14:paraId="4CA15019" w14:textId="77777777" w:rsidR="00000D40" w:rsidRPr="004C11EF" w:rsidRDefault="00000D40" w:rsidP="00520340">
      <w:pPr>
        <w:spacing w:line="276" w:lineRule="auto"/>
        <w:jc w:val="both"/>
        <w:rPr>
          <w:rFonts w:ascii="Arial" w:hAnsi="Arial" w:cs="Arial"/>
          <w:i/>
          <w:iCs/>
          <w:sz w:val="22"/>
          <w:szCs w:val="22"/>
        </w:rPr>
      </w:pPr>
      <w:r w:rsidRPr="004C11EF">
        <w:rPr>
          <w:rFonts w:ascii="Arial" w:hAnsi="Arial" w:cs="Arial"/>
          <w:i/>
          <w:iCs/>
          <w:sz w:val="22"/>
          <w:szCs w:val="22"/>
        </w:rPr>
        <w:t xml:space="preserve">Assessment </w:t>
      </w:r>
    </w:p>
    <w:p w14:paraId="3D162B76" w14:textId="77777777" w:rsidR="00E45584" w:rsidRPr="00E45584" w:rsidRDefault="00E45584" w:rsidP="00E45584">
      <w:pPr>
        <w:spacing w:line="276" w:lineRule="auto"/>
        <w:jc w:val="both"/>
        <w:rPr>
          <w:rFonts w:ascii="Arial" w:hAnsi="Arial" w:cs="Arial"/>
          <w:sz w:val="22"/>
          <w:szCs w:val="22"/>
        </w:rPr>
      </w:pPr>
      <w:r w:rsidRPr="00E45584">
        <w:rPr>
          <w:rFonts w:ascii="Arial" w:hAnsi="Arial" w:cs="Arial"/>
          <w:sz w:val="22"/>
          <w:szCs w:val="22"/>
        </w:rPr>
        <w:t>The Highways Officer raises no objection to the proposal. It is acknowledged that permission has previously been granted under application PL/2024/09383 for the conversion of the barn into two residential units, thereby establishing the principle of residential use at the site.</w:t>
      </w:r>
    </w:p>
    <w:p w14:paraId="65447FDE" w14:textId="77777777" w:rsidR="00E45584" w:rsidRPr="00E45584" w:rsidRDefault="00E45584" w:rsidP="00E45584">
      <w:pPr>
        <w:spacing w:line="276" w:lineRule="auto"/>
        <w:jc w:val="both"/>
        <w:rPr>
          <w:rFonts w:ascii="Arial" w:hAnsi="Arial" w:cs="Arial"/>
          <w:sz w:val="22"/>
          <w:szCs w:val="22"/>
        </w:rPr>
      </w:pPr>
    </w:p>
    <w:p w14:paraId="168E0FF5" w14:textId="77777777" w:rsidR="00E45584" w:rsidRPr="00E45584" w:rsidRDefault="00E45584" w:rsidP="00E45584">
      <w:pPr>
        <w:spacing w:line="276" w:lineRule="auto"/>
        <w:jc w:val="both"/>
        <w:rPr>
          <w:rFonts w:ascii="Arial" w:hAnsi="Arial" w:cs="Arial"/>
          <w:sz w:val="22"/>
          <w:szCs w:val="22"/>
        </w:rPr>
      </w:pPr>
      <w:r w:rsidRPr="00E45584">
        <w:rPr>
          <w:rFonts w:ascii="Arial" w:hAnsi="Arial" w:cs="Arial"/>
          <w:sz w:val="22"/>
          <w:szCs w:val="22"/>
        </w:rPr>
        <w:t>The proposed development would utilise the existing access onto the C155, which is considered acceptable, and no alterations are required. The submission demonstrates the provision of adequate off-street parking to serve the proposed dwelling. There is no evidence to suggest that the development would give rise to any unacceptable impacts on highway safety or the operation of the local road network.</w:t>
      </w:r>
    </w:p>
    <w:p w14:paraId="2B65ECFC" w14:textId="77777777" w:rsidR="00E45584" w:rsidRPr="00E45584" w:rsidRDefault="00E45584" w:rsidP="00E45584">
      <w:pPr>
        <w:spacing w:line="276" w:lineRule="auto"/>
        <w:jc w:val="both"/>
        <w:rPr>
          <w:rFonts w:ascii="Arial" w:hAnsi="Arial" w:cs="Arial"/>
          <w:sz w:val="22"/>
          <w:szCs w:val="22"/>
        </w:rPr>
      </w:pPr>
    </w:p>
    <w:p w14:paraId="0A330CAB" w14:textId="6306E56C" w:rsidR="00494F0C" w:rsidRPr="00E45584" w:rsidRDefault="00E45584" w:rsidP="00E45584">
      <w:pPr>
        <w:spacing w:line="276" w:lineRule="auto"/>
        <w:jc w:val="both"/>
        <w:rPr>
          <w:rFonts w:ascii="Arial" w:hAnsi="Arial" w:cs="Arial"/>
          <w:sz w:val="22"/>
          <w:szCs w:val="22"/>
        </w:rPr>
      </w:pPr>
      <w:r w:rsidRPr="00E45584">
        <w:rPr>
          <w:rFonts w:ascii="Arial" w:hAnsi="Arial" w:cs="Arial"/>
          <w:sz w:val="22"/>
          <w:szCs w:val="22"/>
        </w:rPr>
        <w:t>Accordingly, the proposal is considered to provide safe and suitable access for users, with no severe residual cumulative impacts, and is compliant with the relevant transport policies.</w:t>
      </w:r>
    </w:p>
    <w:p w14:paraId="6503A8A9" w14:textId="77777777" w:rsidR="00E45584" w:rsidRDefault="00E45584" w:rsidP="00E45584">
      <w:pPr>
        <w:spacing w:line="276" w:lineRule="auto"/>
        <w:jc w:val="both"/>
        <w:rPr>
          <w:rFonts w:ascii="Arial" w:hAnsi="Arial" w:cs="Arial"/>
          <w:b/>
          <w:bCs/>
          <w:sz w:val="22"/>
          <w:szCs w:val="22"/>
        </w:rPr>
      </w:pPr>
    </w:p>
    <w:p w14:paraId="39D54BF3" w14:textId="77777777" w:rsidR="00A64314" w:rsidRPr="002306DF" w:rsidRDefault="00A64314" w:rsidP="00A64314">
      <w:pPr>
        <w:spacing w:line="276" w:lineRule="auto"/>
        <w:jc w:val="both"/>
        <w:rPr>
          <w:rFonts w:ascii="Arial" w:hAnsi="Arial" w:cs="Arial"/>
          <w:i/>
          <w:iCs/>
          <w:sz w:val="22"/>
          <w:szCs w:val="22"/>
        </w:rPr>
      </w:pPr>
      <w:r w:rsidRPr="002306DF">
        <w:rPr>
          <w:rFonts w:ascii="Arial" w:hAnsi="Arial" w:cs="Arial"/>
          <w:i/>
          <w:iCs/>
          <w:sz w:val="22"/>
          <w:szCs w:val="22"/>
        </w:rPr>
        <w:t>Conclusion</w:t>
      </w:r>
    </w:p>
    <w:p w14:paraId="46CF6EA9" w14:textId="5561B90C" w:rsidR="00316C37" w:rsidRPr="004C11EF" w:rsidRDefault="004C11EF" w:rsidP="7D84FC5F">
      <w:pPr>
        <w:spacing w:line="276" w:lineRule="auto"/>
        <w:jc w:val="both"/>
        <w:rPr>
          <w:rFonts w:ascii="Arial" w:hAnsi="Arial" w:cs="Arial"/>
          <w:sz w:val="22"/>
          <w:szCs w:val="22"/>
        </w:rPr>
      </w:pPr>
      <w:r w:rsidRPr="004C11EF">
        <w:rPr>
          <w:rFonts w:ascii="Arial" w:hAnsi="Arial" w:cs="Arial"/>
          <w:sz w:val="22"/>
          <w:szCs w:val="22"/>
        </w:rPr>
        <w:t>The proposal is acceptable in highways and parking terms and accords with Core Policies 60–64 of the Wiltshire Core Strategy.</w:t>
      </w:r>
    </w:p>
    <w:p w14:paraId="1ED52AE1" w14:textId="77777777" w:rsidR="00E03EDD" w:rsidRPr="00520C95" w:rsidRDefault="00E03EDD" w:rsidP="7D84FC5F">
      <w:pPr>
        <w:spacing w:line="276" w:lineRule="auto"/>
        <w:jc w:val="both"/>
        <w:rPr>
          <w:rFonts w:ascii="Arial" w:hAnsi="Arial" w:cs="Arial"/>
          <w:b/>
          <w:bCs/>
          <w:sz w:val="22"/>
          <w:szCs w:val="22"/>
        </w:rPr>
      </w:pPr>
    </w:p>
    <w:p w14:paraId="72DAB946" w14:textId="77777777" w:rsidR="003D5959" w:rsidRPr="00520C95" w:rsidRDefault="003D5959" w:rsidP="003D5959">
      <w:pPr>
        <w:spacing w:line="276" w:lineRule="auto"/>
        <w:jc w:val="both"/>
        <w:rPr>
          <w:rFonts w:ascii="Arial" w:hAnsi="Arial" w:cs="Arial"/>
          <w:b/>
          <w:bCs/>
          <w:sz w:val="22"/>
          <w:szCs w:val="22"/>
        </w:rPr>
      </w:pPr>
      <w:r w:rsidRPr="00520C95">
        <w:rPr>
          <w:rFonts w:ascii="Arial" w:hAnsi="Arial" w:cs="Arial"/>
          <w:b/>
          <w:bCs/>
          <w:sz w:val="22"/>
          <w:szCs w:val="22"/>
        </w:rPr>
        <w:t>Ecology and Biodiversity</w:t>
      </w:r>
    </w:p>
    <w:p w14:paraId="4C02B3D5" w14:textId="77777777" w:rsidR="003D5959" w:rsidRPr="00520C95" w:rsidRDefault="003D5959" w:rsidP="000F2BDF">
      <w:pPr>
        <w:spacing w:line="276" w:lineRule="auto"/>
        <w:jc w:val="both"/>
        <w:rPr>
          <w:rFonts w:ascii="Arial" w:hAnsi="Arial" w:cs="Arial"/>
          <w:i/>
          <w:iCs/>
          <w:sz w:val="22"/>
          <w:szCs w:val="22"/>
        </w:rPr>
      </w:pPr>
      <w:r w:rsidRPr="00520C95">
        <w:rPr>
          <w:rFonts w:ascii="Arial" w:hAnsi="Arial" w:cs="Arial"/>
          <w:i/>
          <w:iCs/>
          <w:sz w:val="22"/>
          <w:szCs w:val="22"/>
        </w:rPr>
        <w:t>Policy Context</w:t>
      </w:r>
    </w:p>
    <w:p w14:paraId="1EB9C088" w14:textId="77777777" w:rsidR="000F2BDF" w:rsidRPr="00520C95" w:rsidRDefault="000F2BDF" w:rsidP="000F2BDF">
      <w:pPr>
        <w:spacing w:line="276" w:lineRule="auto"/>
        <w:jc w:val="both"/>
        <w:rPr>
          <w:rFonts w:ascii="Arial" w:hAnsi="Arial" w:cs="Arial"/>
          <w:sz w:val="22"/>
          <w:szCs w:val="22"/>
        </w:rPr>
      </w:pPr>
      <w:r w:rsidRPr="00520C95">
        <w:rPr>
          <w:rFonts w:ascii="Arial" w:hAnsi="Arial" w:cs="Arial"/>
          <w:sz w:val="22"/>
          <w:szCs w:val="22"/>
        </w:rPr>
        <w:t>The ecological impact of development is a key planning consideration, especially for larger schemes. Proposals must assess and address potential effects on:</w:t>
      </w:r>
    </w:p>
    <w:p w14:paraId="571BE630" w14:textId="77777777" w:rsidR="003D5959" w:rsidRPr="00520C95" w:rsidRDefault="003D5959" w:rsidP="000F2BDF">
      <w:pPr>
        <w:spacing w:line="276" w:lineRule="auto"/>
        <w:jc w:val="both"/>
        <w:rPr>
          <w:rFonts w:ascii="Arial" w:hAnsi="Arial" w:cs="Arial"/>
          <w:sz w:val="22"/>
          <w:szCs w:val="22"/>
        </w:rPr>
      </w:pPr>
    </w:p>
    <w:p w14:paraId="645AB5E6" w14:textId="77777777" w:rsidR="000F2BDF" w:rsidRPr="00520C95" w:rsidRDefault="000F2BDF">
      <w:pPr>
        <w:numPr>
          <w:ilvl w:val="0"/>
          <w:numId w:val="8"/>
        </w:numPr>
        <w:spacing w:line="276" w:lineRule="auto"/>
        <w:jc w:val="both"/>
        <w:rPr>
          <w:rFonts w:ascii="Arial" w:hAnsi="Arial" w:cs="Arial"/>
          <w:sz w:val="22"/>
          <w:szCs w:val="22"/>
        </w:rPr>
      </w:pPr>
      <w:r w:rsidRPr="00520C95">
        <w:rPr>
          <w:rFonts w:ascii="Arial" w:hAnsi="Arial" w:cs="Arial"/>
          <w:sz w:val="22"/>
          <w:szCs w:val="22"/>
        </w:rPr>
        <w:t>Protected species</w:t>
      </w:r>
    </w:p>
    <w:p w14:paraId="07011911" w14:textId="77777777" w:rsidR="000F2BDF" w:rsidRPr="00520C95" w:rsidRDefault="000F2BDF">
      <w:pPr>
        <w:numPr>
          <w:ilvl w:val="0"/>
          <w:numId w:val="8"/>
        </w:numPr>
        <w:spacing w:line="276" w:lineRule="auto"/>
        <w:jc w:val="both"/>
        <w:rPr>
          <w:rFonts w:ascii="Arial" w:hAnsi="Arial" w:cs="Arial"/>
          <w:sz w:val="22"/>
          <w:szCs w:val="22"/>
        </w:rPr>
      </w:pPr>
      <w:r w:rsidRPr="00520C95">
        <w:rPr>
          <w:rFonts w:ascii="Arial" w:hAnsi="Arial" w:cs="Arial"/>
          <w:sz w:val="22"/>
          <w:szCs w:val="22"/>
        </w:rPr>
        <w:t>Priority habitats</w:t>
      </w:r>
    </w:p>
    <w:p w14:paraId="502B52DA" w14:textId="77777777" w:rsidR="000F2BDF" w:rsidRPr="00520C95" w:rsidRDefault="000F2BDF">
      <w:pPr>
        <w:numPr>
          <w:ilvl w:val="0"/>
          <w:numId w:val="8"/>
        </w:numPr>
        <w:spacing w:line="276" w:lineRule="auto"/>
        <w:jc w:val="both"/>
        <w:rPr>
          <w:rFonts w:ascii="Arial" w:hAnsi="Arial" w:cs="Arial"/>
          <w:sz w:val="22"/>
          <w:szCs w:val="22"/>
        </w:rPr>
      </w:pPr>
      <w:r w:rsidRPr="00520C95">
        <w:rPr>
          <w:rFonts w:ascii="Arial" w:hAnsi="Arial" w:cs="Arial"/>
          <w:sz w:val="22"/>
          <w:szCs w:val="22"/>
        </w:rPr>
        <w:t>Ecological networks</w:t>
      </w:r>
    </w:p>
    <w:p w14:paraId="29165F72" w14:textId="77777777" w:rsidR="000F2BDF" w:rsidRPr="00520C95" w:rsidRDefault="000F2BDF">
      <w:pPr>
        <w:numPr>
          <w:ilvl w:val="0"/>
          <w:numId w:val="8"/>
        </w:numPr>
        <w:spacing w:line="276" w:lineRule="auto"/>
        <w:jc w:val="both"/>
        <w:rPr>
          <w:rFonts w:ascii="Arial" w:hAnsi="Arial" w:cs="Arial"/>
          <w:sz w:val="22"/>
          <w:szCs w:val="22"/>
        </w:rPr>
      </w:pPr>
      <w:r w:rsidRPr="00520C95">
        <w:rPr>
          <w:rFonts w:ascii="Arial" w:hAnsi="Arial" w:cs="Arial"/>
          <w:sz w:val="22"/>
          <w:szCs w:val="22"/>
        </w:rPr>
        <w:t>Green and blue infrastructure</w:t>
      </w:r>
    </w:p>
    <w:p w14:paraId="5A58619E" w14:textId="77777777" w:rsidR="003D5959" w:rsidRPr="00520C95" w:rsidRDefault="003D5959" w:rsidP="003D5959">
      <w:pPr>
        <w:spacing w:line="276" w:lineRule="auto"/>
        <w:ind w:left="720"/>
        <w:jc w:val="both"/>
        <w:rPr>
          <w:rFonts w:ascii="Arial" w:hAnsi="Arial" w:cs="Arial"/>
          <w:sz w:val="22"/>
          <w:szCs w:val="22"/>
        </w:rPr>
      </w:pPr>
    </w:p>
    <w:p w14:paraId="0BA5D600" w14:textId="77777777" w:rsidR="000F2BDF" w:rsidRPr="00520C95" w:rsidRDefault="000F2BDF" w:rsidP="003D5959">
      <w:pPr>
        <w:spacing w:line="276" w:lineRule="auto"/>
        <w:jc w:val="both"/>
        <w:rPr>
          <w:rFonts w:ascii="Arial" w:hAnsi="Arial" w:cs="Arial"/>
          <w:sz w:val="22"/>
          <w:szCs w:val="22"/>
        </w:rPr>
      </w:pPr>
      <w:r w:rsidRPr="00520C95">
        <w:rPr>
          <w:rFonts w:ascii="Arial" w:hAnsi="Arial" w:cs="Arial"/>
          <w:sz w:val="22"/>
          <w:szCs w:val="22"/>
        </w:rPr>
        <w:t>Core Policy 50 of the Wiltshire Core Strategy requires development to:</w:t>
      </w:r>
    </w:p>
    <w:p w14:paraId="740F6B2E" w14:textId="77777777" w:rsidR="00994116" w:rsidRPr="00520C95" w:rsidRDefault="00994116" w:rsidP="003D5959">
      <w:pPr>
        <w:spacing w:line="276" w:lineRule="auto"/>
        <w:jc w:val="both"/>
        <w:rPr>
          <w:rFonts w:ascii="Arial" w:hAnsi="Arial" w:cs="Arial"/>
          <w:sz w:val="22"/>
          <w:szCs w:val="22"/>
        </w:rPr>
      </w:pPr>
    </w:p>
    <w:p w14:paraId="0E8FB1DC" w14:textId="77777777" w:rsidR="000F2BDF" w:rsidRPr="00520C95" w:rsidRDefault="000F2BDF">
      <w:pPr>
        <w:numPr>
          <w:ilvl w:val="0"/>
          <w:numId w:val="9"/>
        </w:numPr>
        <w:spacing w:line="276" w:lineRule="auto"/>
        <w:jc w:val="both"/>
        <w:rPr>
          <w:rFonts w:ascii="Arial" w:hAnsi="Arial" w:cs="Arial"/>
          <w:sz w:val="22"/>
          <w:szCs w:val="22"/>
        </w:rPr>
      </w:pPr>
      <w:r w:rsidRPr="00520C95">
        <w:rPr>
          <w:rFonts w:ascii="Arial" w:hAnsi="Arial" w:cs="Arial"/>
          <w:sz w:val="22"/>
          <w:szCs w:val="22"/>
        </w:rPr>
        <w:lastRenderedPageBreak/>
        <w:t>Avoid harm to ecological assets.</w:t>
      </w:r>
    </w:p>
    <w:p w14:paraId="39A6F8FF" w14:textId="77777777" w:rsidR="000F2BDF" w:rsidRPr="00520C95" w:rsidRDefault="000F2BDF">
      <w:pPr>
        <w:numPr>
          <w:ilvl w:val="0"/>
          <w:numId w:val="9"/>
        </w:numPr>
        <w:spacing w:line="276" w:lineRule="auto"/>
        <w:jc w:val="both"/>
        <w:rPr>
          <w:rFonts w:ascii="Arial" w:hAnsi="Arial" w:cs="Arial"/>
          <w:sz w:val="22"/>
          <w:szCs w:val="22"/>
        </w:rPr>
      </w:pPr>
      <w:r w:rsidRPr="00520C95">
        <w:rPr>
          <w:rFonts w:ascii="Arial" w:hAnsi="Arial" w:cs="Arial"/>
          <w:sz w:val="22"/>
          <w:szCs w:val="22"/>
        </w:rPr>
        <w:t>Deliver measurable Biodiversity Net Gain (BNG), in line with the Environment Act 2021.</w:t>
      </w:r>
    </w:p>
    <w:p w14:paraId="55AB31B1" w14:textId="77777777" w:rsidR="000F2BDF" w:rsidRPr="00520C95" w:rsidRDefault="000F2BDF">
      <w:pPr>
        <w:numPr>
          <w:ilvl w:val="0"/>
          <w:numId w:val="9"/>
        </w:numPr>
        <w:spacing w:line="276" w:lineRule="auto"/>
        <w:jc w:val="both"/>
        <w:rPr>
          <w:rFonts w:ascii="Arial" w:hAnsi="Arial" w:cs="Arial"/>
          <w:sz w:val="22"/>
          <w:szCs w:val="22"/>
        </w:rPr>
      </w:pPr>
      <w:r w:rsidRPr="00520C95">
        <w:rPr>
          <w:rFonts w:ascii="Arial" w:hAnsi="Arial" w:cs="Arial"/>
          <w:sz w:val="22"/>
          <w:szCs w:val="22"/>
        </w:rPr>
        <w:t>Support habitat restoration and connectivity.</w:t>
      </w:r>
    </w:p>
    <w:p w14:paraId="239E3216" w14:textId="77777777" w:rsidR="000F2BDF" w:rsidRPr="00520C95" w:rsidRDefault="000F2BDF">
      <w:pPr>
        <w:numPr>
          <w:ilvl w:val="0"/>
          <w:numId w:val="9"/>
        </w:numPr>
        <w:spacing w:line="276" w:lineRule="auto"/>
        <w:jc w:val="both"/>
        <w:rPr>
          <w:rFonts w:ascii="Arial" w:hAnsi="Arial" w:cs="Arial"/>
          <w:sz w:val="22"/>
          <w:szCs w:val="22"/>
        </w:rPr>
      </w:pPr>
      <w:r w:rsidRPr="00520C95">
        <w:rPr>
          <w:rFonts w:ascii="Arial" w:hAnsi="Arial" w:cs="Arial"/>
          <w:sz w:val="22"/>
          <w:szCs w:val="22"/>
        </w:rPr>
        <w:t>Integrate biodiversity into site design.</w:t>
      </w:r>
    </w:p>
    <w:p w14:paraId="06F44738" w14:textId="77777777" w:rsidR="003D5959" w:rsidRPr="00520C95" w:rsidRDefault="003D5959" w:rsidP="003D5959">
      <w:pPr>
        <w:spacing w:line="276" w:lineRule="auto"/>
        <w:jc w:val="both"/>
        <w:rPr>
          <w:rFonts w:ascii="Arial" w:hAnsi="Arial" w:cs="Arial"/>
          <w:sz w:val="22"/>
          <w:szCs w:val="22"/>
        </w:rPr>
      </w:pPr>
    </w:p>
    <w:p w14:paraId="645CDEEC" w14:textId="77777777" w:rsidR="000F2BDF" w:rsidRPr="00520C95" w:rsidRDefault="000F2BDF" w:rsidP="003D5959">
      <w:pPr>
        <w:spacing w:line="276" w:lineRule="auto"/>
        <w:jc w:val="both"/>
        <w:rPr>
          <w:rFonts w:ascii="Arial" w:hAnsi="Arial" w:cs="Arial"/>
          <w:sz w:val="22"/>
          <w:szCs w:val="22"/>
        </w:rPr>
      </w:pPr>
      <w:r w:rsidRPr="00520C95">
        <w:rPr>
          <w:rFonts w:ascii="Arial" w:hAnsi="Arial" w:cs="Arial"/>
          <w:sz w:val="22"/>
          <w:szCs w:val="22"/>
        </w:rPr>
        <w:t>The Green &amp; Blue Infrastructure Strategy (2022–2030) promotes nature recovery, ecosystem services, and habitat connectivity through development.</w:t>
      </w:r>
    </w:p>
    <w:p w14:paraId="59E0EAAF" w14:textId="77777777" w:rsidR="003D5959" w:rsidRPr="00520C95" w:rsidRDefault="003D5959" w:rsidP="003D5959">
      <w:pPr>
        <w:spacing w:line="276" w:lineRule="auto"/>
        <w:jc w:val="both"/>
        <w:rPr>
          <w:rFonts w:ascii="Arial" w:hAnsi="Arial" w:cs="Arial"/>
          <w:sz w:val="22"/>
          <w:szCs w:val="22"/>
        </w:rPr>
      </w:pPr>
    </w:p>
    <w:p w14:paraId="24982B72" w14:textId="77777777" w:rsidR="000F2BDF" w:rsidRPr="00520C95" w:rsidRDefault="00EE6040" w:rsidP="003D5959">
      <w:pPr>
        <w:spacing w:line="276" w:lineRule="auto"/>
        <w:jc w:val="both"/>
        <w:rPr>
          <w:rFonts w:ascii="Arial" w:hAnsi="Arial" w:cs="Arial"/>
          <w:sz w:val="22"/>
          <w:szCs w:val="22"/>
        </w:rPr>
      </w:pPr>
      <w:r w:rsidRPr="00520C95">
        <w:rPr>
          <w:rFonts w:ascii="Arial" w:hAnsi="Arial" w:cs="Arial"/>
          <w:sz w:val="22"/>
          <w:szCs w:val="22"/>
        </w:rPr>
        <w:t xml:space="preserve">Unless exempt, </w:t>
      </w:r>
      <w:r w:rsidR="000F2BDF" w:rsidRPr="00520C95">
        <w:rPr>
          <w:rFonts w:ascii="Arial" w:hAnsi="Arial" w:cs="Arial"/>
          <w:sz w:val="22"/>
          <w:szCs w:val="22"/>
        </w:rPr>
        <w:t>National policy require</w:t>
      </w:r>
      <w:r w:rsidR="006C7831" w:rsidRPr="00520C95">
        <w:rPr>
          <w:rFonts w:ascii="Arial" w:hAnsi="Arial" w:cs="Arial"/>
          <w:sz w:val="22"/>
          <w:szCs w:val="22"/>
        </w:rPr>
        <w:t xml:space="preserve">s </w:t>
      </w:r>
      <w:r w:rsidR="000F2BDF" w:rsidRPr="00520C95">
        <w:rPr>
          <w:rFonts w:ascii="Arial" w:hAnsi="Arial" w:cs="Arial"/>
          <w:sz w:val="22"/>
          <w:szCs w:val="22"/>
        </w:rPr>
        <w:t xml:space="preserve">a minimum of 10% </w:t>
      </w:r>
      <w:r w:rsidR="006C7831" w:rsidRPr="00520C95">
        <w:rPr>
          <w:rFonts w:ascii="Arial" w:hAnsi="Arial" w:cs="Arial"/>
          <w:sz w:val="22"/>
          <w:szCs w:val="22"/>
        </w:rPr>
        <w:t>Biodiversity Net Gain (</w:t>
      </w:r>
      <w:r w:rsidR="000F2BDF" w:rsidRPr="00520C95">
        <w:rPr>
          <w:rFonts w:ascii="Arial" w:hAnsi="Arial" w:cs="Arial"/>
          <w:sz w:val="22"/>
          <w:szCs w:val="22"/>
        </w:rPr>
        <w:t>BNG</w:t>
      </w:r>
      <w:r w:rsidR="006C7831" w:rsidRPr="00520C95">
        <w:rPr>
          <w:rFonts w:ascii="Arial" w:hAnsi="Arial" w:cs="Arial"/>
          <w:sz w:val="22"/>
          <w:szCs w:val="22"/>
        </w:rPr>
        <w:t>)</w:t>
      </w:r>
      <w:r w:rsidR="000F2BDF" w:rsidRPr="00520C95">
        <w:rPr>
          <w:rFonts w:ascii="Arial" w:hAnsi="Arial" w:cs="Arial"/>
          <w:sz w:val="22"/>
          <w:szCs w:val="22"/>
        </w:rPr>
        <w:t> for major developments, demonstrated via:</w:t>
      </w:r>
    </w:p>
    <w:p w14:paraId="7CC76F28" w14:textId="77777777" w:rsidR="00994116" w:rsidRPr="00520C95" w:rsidRDefault="00994116" w:rsidP="003D5959">
      <w:pPr>
        <w:spacing w:line="276" w:lineRule="auto"/>
        <w:jc w:val="both"/>
        <w:rPr>
          <w:rFonts w:ascii="Arial" w:hAnsi="Arial" w:cs="Arial"/>
          <w:sz w:val="22"/>
          <w:szCs w:val="22"/>
        </w:rPr>
      </w:pPr>
    </w:p>
    <w:p w14:paraId="0A003AF5" w14:textId="77777777" w:rsidR="000F2BDF" w:rsidRPr="00520C95" w:rsidRDefault="000F2BDF">
      <w:pPr>
        <w:numPr>
          <w:ilvl w:val="0"/>
          <w:numId w:val="9"/>
        </w:numPr>
        <w:spacing w:line="276" w:lineRule="auto"/>
        <w:jc w:val="both"/>
        <w:rPr>
          <w:rFonts w:ascii="Arial" w:hAnsi="Arial" w:cs="Arial"/>
          <w:sz w:val="22"/>
          <w:szCs w:val="22"/>
        </w:rPr>
      </w:pPr>
      <w:r w:rsidRPr="00520C95">
        <w:rPr>
          <w:rFonts w:ascii="Arial" w:hAnsi="Arial" w:cs="Arial"/>
          <w:sz w:val="22"/>
          <w:szCs w:val="22"/>
        </w:rPr>
        <w:t>Biodiversity Metric calculations</w:t>
      </w:r>
    </w:p>
    <w:p w14:paraId="45E2925C" w14:textId="77777777" w:rsidR="000F2BDF" w:rsidRPr="00520C95" w:rsidRDefault="000F2BDF">
      <w:pPr>
        <w:numPr>
          <w:ilvl w:val="0"/>
          <w:numId w:val="9"/>
        </w:numPr>
        <w:spacing w:line="276" w:lineRule="auto"/>
        <w:jc w:val="both"/>
        <w:rPr>
          <w:rFonts w:ascii="Arial" w:hAnsi="Arial" w:cs="Arial"/>
          <w:sz w:val="22"/>
          <w:szCs w:val="22"/>
        </w:rPr>
      </w:pPr>
      <w:r w:rsidRPr="00520C95">
        <w:rPr>
          <w:rFonts w:ascii="Arial" w:hAnsi="Arial" w:cs="Arial"/>
          <w:sz w:val="22"/>
          <w:szCs w:val="22"/>
        </w:rPr>
        <w:t>Ecological assessments (e.g. PEAs, Phase 1 surveys, protected species surveys)</w:t>
      </w:r>
    </w:p>
    <w:p w14:paraId="2015A698" w14:textId="77777777" w:rsidR="00722BAC" w:rsidRPr="00520C95" w:rsidRDefault="00722BAC" w:rsidP="7D84FC5F">
      <w:pPr>
        <w:spacing w:line="276" w:lineRule="auto"/>
        <w:jc w:val="both"/>
        <w:rPr>
          <w:rFonts w:ascii="Arial" w:hAnsi="Arial" w:cs="Arial"/>
          <w:sz w:val="22"/>
          <w:szCs w:val="22"/>
        </w:rPr>
      </w:pPr>
    </w:p>
    <w:p w14:paraId="79A4E085" w14:textId="77777777" w:rsidR="00EE6040" w:rsidRPr="00520C95" w:rsidRDefault="00BC3F9A" w:rsidP="7D84FC5F">
      <w:pPr>
        <w:spacing w:line="276" w:lineRule="auto"/>
        <w:jc w:val="both"/>
        <w:rPr>
          <w:rFonts w:ascii="Arial" w:hAnsi="Arial" w:cs="Arial"/>
          <w:i/>
          <w:iCs/>
          <w:sz w:val="22"/>
          <w:szCs w:val="22"/>
        </w:rPr>
      </w:pPr>
      <w:r w:rsidRPr="00520C95">
        <w:rPr>
          <w:rFonts w:ascii="Arial" w:hAnsi="Arial" w:cs="Arial"/>
          <w:i/>
          <w:iCs/>
          <w:sz w:val="22"/>
          <w:szCs w:val="22"/>
        </w:rPr>
        <w:t xml:space="preserve">Assessment </w:t>
      </w:r>
    </w:p>
    <w:p w14:paraId="1C301CC5" w14:textId="77777777" w:rsidR="00635BF0" w:rsidRPr="00520C95" w:rsidRDefault="00635BF0" w:rsidP="00635BF0">
      <w:pPr>
        <w:spacing w:line="276" w:lineRule="auto"/>
        <w:jc w:val="both"/>
        <w:rPr>
          <w:rFonts w:ascii="Arial" w:hAnsi="Arial" w:cs="Arial"/>
          <w:color w:val="000000" w:themeColor="text1"/>
          <w:sz w:val="22"/>
          <w:szCs w:val="22"/>
        </w:rPr>
      </w:pPr>
      <w:r w:rsidRPr="00520C95">
        <w:rPr>
          <w:rFonts w:ascii="Arial" w:hAnsi="Arial" w:cs="Arial"/>
          <w:color w:val="000000" w:themeColor="text1"/>
          <w:sz w:val="22"/>
          <w:szCs w:val="22"/>
        </w:rPr>
        <w:t>The Council’s Ecologist raises no objection to the proposal subject to conditions. The application has been reviewed having regard to mapping, aerial imagery, and existing ecological records.</w:t>
      </w:r>
    </w:p>
    <w:p w14:paraId="49F27793" w14:textId="77777777" w:rsidR="00635BF0" w:rsidRPr="00520C95" w:rsidRDefault="00635BF0" w:rsidP="00635BF0">
      <w:pPr>
        <w:spacing w:line="276" w:lineRule="auto"/>
        <w:jc w:val="both"/>
        <w:rPr>
          <w:rFonts w:ascii="Arial" w:hAnsi="Arial" w:cs="Arial"/>
          <w:color w:val="000000" w:themeColor="text1"/>
          <w:sz w:val="22"/>
          <w:szCs w:val="22"/>
        </w:rPr>
      </w:pPr>
    </w:p>
    <w:p w14:paraId="7CCC6916" w14:textId="77777777" w:rsidR="00635BF0" w:rsidRPr="00520C95" w:rsidRDefault="00635BF0" w:rsidP="00635BF0">
      <w:pPr>
        <w:spacing w:line="276" w:lineRule="auto"/>
        <w:jc w:val="both"/>
        <w:rPr>
          <w:rFonts w:ascii="Arial" w:hAnsi="Arial" w:cs="Arial"/>
          <w:color w:val="000000" w:themeColor="text1"/>
          <w:sz w:val="22"/>
          <w:szCs w:val="22"/>
        </w:rPr>
      </w:pPr>
      <w:r w:rsidRPr="00520C95">
        <w:rPr>
          <w:rFonts w:ascii="Arial" w:hAnsi="Arial" w:cs="Arial"/>
          <w:color w:val="000000" w:themeColor="text1"/>
          <w:sz w:val="22"/>
          <w:szCs w:val="22"/>
        </w:rPr>
        <w:t>The site comprises an existing agricultural building with extant permission for conversion to two dwellings. In ecological terms, the building is of limited value. It is partially open, lacks an enclosed roof void, and is constructed in a manner that does not provide suitable features for roosting bats. As such, the Ecologist advises that there is a very low likelihood of protected species being present, and that a bat survey would be disproportionate.</w:t>
      </w:r>
    </w:p>
    <w:p w14:paraId="0133C7BD" w14:textId="77777777" w:rsidR="00635BF0" w:rsidRPr="00520C95" w:rsidRDefault="00635BF0" w:rsidP="00635BF0">
      <w:pPr>
        <w:spacing w:line="276" w:lineRule="auto"/>
        <w:jc w:val="both"/>
        <w:rPr>
          <w:rFonts w:ascii="Arial" w:hAnsi="Arial" w:cs="Arial"/>
          <w:color w:val="000000" w:themeColor="text1"/>
          <w:sz w:val="22"/>
          <w:szCs w:val="22"/>
        </w:rPr>
      </w:pPr>
    </w:p>
    <w:p w14:paraId="48E861AF" w14:textId="77777777" w:rsidR="00635BF0" w:rsidRPr="00520C95" w:rsidRDefault="00635BF0" w:rsidP="00635BF0">
      <w:pPr>
        <w:spacing w:line="276" w:lineRule="auto"/>
        <w:jc w:val="both"/>
        <w:rPr>
          <w:rFonts w:ascii="Arial" w:hAnsi="Arial" w:cs="Arial"/>
          <w:color w:val="000000" w:themeColor="text1"/>
          <w:sz w:val="22"/>
          <w:szCs w:val="22"/>
        </w:rPr>
      </w:pPr>
      <w:r w:rsidRPr="00520C95">
        <w:rPr>
          <w:rFonts w:ascii="Arial" w:hAnsi="Arial" w:cs="Arial"/>
          <w:color w:val="000000" w:themeColor="text1"/>
          <w:sz w:val="22"/>
          <w:szCs w:val="22"/>
        </w:rPr>
        <w:t>With regard to the Bath and Bradford-on-Avon Bats SAC, the building lies within a core roost buffer. However, given the absence of suitable roosting features and the lack of any loss of foraging or commuting habitat, there is no identified pathway for adverse effects on the SAC. The proposal can therefore be screened out of Appropriate Assessment under the Habitats Regulations.</w:t>
      </w:r>
    </w:p>
    <w:p w14:paraId="3497BB94" w14:textId="77777777" w:rsidR="00635BF0" w:rsidRPr="00520C95" w:rsidRDefault="00635BF0" w:rsidP="00635BF0">
      <w:pPr>
        <w:spacing w:line="276" w:lineRule="auto"/>
        <w:jc w:val="both"/>
        <w:rPr>
          <w:rFonts w:ascii="Arial" w:hAnsi="Arial" w:cs="Arial"/>
          <w:color w:val="000000" w:themeColor="text1"/>
          <w:sz w:val="22"/>
          <w:szCs w:val="22"/>
        </w:rPr>
      </w:pPr>
    </w:p>
    <w:p w14:paraId="15F8579C" w14:textId="36E89DFE" w:rsidR="00635BF0" w:rsidRPr="00520C95" w:rsidRDefault="00FB0D95" w:rsidP="00635BF0">
      <w:pPr>
        <w:spacing w:line="276" w:lineRule="auto"/>
        <w:jc w:val="both"/>
        <w:rPr>
          <w:rFonts w:ascii="Arial" w:hAnsi="Arial" w:cs="Arial"/>
          <w:color w:val="000000" w:themeColor="text1"/>
          <w:sz w:val="22"/>
          <w:szCs w:val="22"/>
        </w:rPr>
      </w:pPr>
      <w:r w:rsidRPr="00FB0D95">
        <w:rPr>
          <w:rFonts w:ascii="Arial" w:hAnsi="Arial" w:cs="Arial"/>
          <w:color w:val="000000" w:themeColor="text1"/>
          <w:sz w:val="22"/>
          <w:szCs w:val="22"/>
        </w:rPr>
        <w:t>In respect of biodiversity net gain, the Ecologist confirms that the development falls below the de minimis threshold as defined in the Biodiversity Gain (Exemptions) Regulations 2024 and is therefore not subject to mandatory 10% BNG</w:t>
      </w:r>
      <w:r w:rsidR="00635BF0" w:rsidRPr="00520C95">
        <w:rPr>
          <w:rFonts w:ascii="Arial" w:hAnsi="Arial" w:cs="Arial"/>
          <w:color w:val="000000" w:themeColor="text1"/>
          <w:sz w:val="22"/>
          <w:szCs w:val="22"/>
        </w:rPr>
        <w:t>. Nevertheless, in accordance with Core Policy 50 and national policy, the development should secure biodiversity enhancements.</w:t>
      </w:r>
    </w:p>
    <w:p w14:paraId="7DD95855" w14:textId="77777777" w:rsidR="00635BF0" w:rsidRPr="00520C95" w:rsidRDefault="00635BF0" w:rsidP="00635BF0">
      <w:pPr>
        <w:spacing w:line="276" w:lineRule="auto"/>
        <w:jc w:val="both"/>
        <w:rPr>
          <w:rFonts w:ascii="Arial" w:hAnsi="Arial" w:cs="Arial"/>
          <w:color w:val="000000" w:themeColor="text1"/>
          <w:sz w:val="22"/>
          <w:szCs w:val="22"/>
        </w:rPr>
      </w:pPr>
    </w:p>
    <w:p w14:paraId="45463D36" w14:textId="7345B7C3" w:rsidR="00722BAC" w:rsidRPr="00520C95" w:rsidRDefault="00635BF0" w:rsidP="00635BF0">
      <w:pPr>
        <w:spacing w:line="276" w:lineRule="auto"/>
        <w:jc w:val="both"/>
        <w:rPr>
          <w:rFonts w:ascii="Arial" w:hAnsi="Arial" w:cs="Arial"/>
          <w:color w:val="000000" w:themeColor="text1"/>
          <w:sz w:val="22"/>
          <w:szCs w:val="22"/>
        </w:rPr>
      </w:pPr>
      <w:r w:rsidRPr="00C23F4E">
        <w:rPr>
          <w:rFonts w:ascii="Arial" w:hAnsi="Arial" w:cs="Arial"/>
          <w:color w:val="000000" w:themeColor="text1"/>
          <w:sz w:val="22"/>
          <w:szCs w:val="22"/>
        </w:rPr>
        <w:t>A planning condition is recommended to secure ecological enhancements, including the provision of bat and bird boxes, together with an informative relating to protected species legislation. Subject to these measures, the proposal would avoid harm and provide opportunities for biodiversity enhancement.</w:t>
      </w:r>
    </w:p>
    <w:p w14:paraId="32A713DD" w14:textId="77777777" w:rsidR="00E03EDD" w:rsidRPr="00520C95" w:rsidRDefault="00E03EDD" w:rsidP="7D84FC5F">
      <w:pPr>
        <w:spacing w:line="276" w:lineRule="auto"/>
        <w:jc w:val="both"/>
        <w:rPr>
          <w:rFonts w:ascii="Arial" w:hAnsi="Arial" w:cs="Arial"/>
          <w:i/>
          <w:iCs/>
          <w:color w:val="000000" w:themeColor="text1"/>
          <w:sz w:val="22"/>
          <w:szCs w:val="22"/>
        </w:rPr>
      </w:pPr>
    </w:p>
    <w:p w14:paraId="4EB1D78E" w14:textId="77777777" w:rsidR="00A64314" w:rsidRPr="00520C95" w:rsidRDefault="00A64314" w:rsidP="00A64314">
      <w:pPr>
        <w:spacing w:line="276" w:lineRule="auto"/>
        <w:jc w:val="both"/>
        <w:rPr>
          <w:rFonts w:ascii="Arial" w:hAnsi="Arial" w:cs="Arial"/>
          <w:i/>
          <w:iCs/>
          <w:sz w:val="22"/>
          <w:szCs w:val="22"/>
        </w:rPr>
      </w:pPr>
      <w:r w:rsidRPr="00520C95">
        <w:rPr>
          <w:rFonts w:ascii="Arial" w:hAnsi="Arial" w:cs="Arial"/>
          <w:i/>
          <w:iCs/>
          <w:sz w:val="22"/>
          <w:szCs w:val="22"/>
        </w:rPr>
        <w:t>Conclusion</w:t>
      </w:r>
    </w:p>
    <w:p w14:paraId="17A74D5D" w14:textId="7B2F0A82" w:rsidR="00316C37" w:rsidRPr="00977FF8" w:rsidRDefault="00977FF8" w:rsidP="7D84FC5F">
      <w:pPr>
        <w:spacing w:line="276" w:lineRule="auto"/>
        <w:jc w:val="both"/>
        <w:rPr>
          <w:rFonts w:ascii="Arial" w:hAnsi="Arial" w:cs="Arial"/>
          <w:color w:val="000000" w:themeColor="text1"/>
          <w:sz w:val="22"/>
          <w:szCs w:val="22"/>
          <w:highlight w:val="yellow"/>
        </w:rPr>
      </w:pPr>
      <w:r w:rsidRPr="00520C95">
        <w:rPr>
          <w:rFonts w:ascii="Arial" w:hAnsi="Arial" w:cs="Arial"/>
          <w:color w:val="000000" w:themeColor="text1"/>
          <w:sz w:val="22"/>
          <w:szCs w:val="22"/>
        </w:rPr>
        <w:t>Subject to the recommended condition securing ecological enhancements, the proposal would conserve ecological interests, avoid harm to protected species and designated sites, and</w:t>
      </w:r>
      <w:r w:rsidRPr="00977FF8">
        <w:rPr>
          <w:rFonts w:ascii="Arial" w:hAnsi="Arial" w:cs="Arial"/>
          <w:color w:val="000000" w:themeColor="text1"/>
          <w:sz w:val="22"/>
          <w:szCs w:val="22"/>
        </w:rPr>
        <w:t xml:space="preserve"> deliver appropriate biodiversity enhancements. The development is therefore acceptable and accords with Core Policy 50 of the Wiltshire Core Strategy.</w:t>
      </w:r>
    </w:p>
    <w:p w14:paraId="4B86CE86" w14:textId="77777777" w:rsidR="00E03EDD" w:rsidRPr="00BF4BAB" w:rsidRDefault="00E03EDD" w:rsidP="7D84FC5F">
      <w:pPr>
        <w:spacing w:line="276" w:lineRule="auto"/>
        <w:jc w:val="both"/>
        <w:rPr>
          <w:rFonts w:ascii="Arial" w:hAnsi="Arial" w:cs="Arial"/>
          <w:i/>
          <w:iCs/>
          <w:color w:val="000000" w:themeColor="text1"/>
          <w:sz w:val="22"/>
          <w:szCs w:val="22"/>
        </w:rPr>
      </w:pPr>
    </w:p>
    <w:p w14:paraId="0E95999A" w14:textId="77777777" w:rsidR="009613A4" w:rsidRPr="00CE6A75" w:rsidRDefault="009613A4" w:rsidP="7D84FC5F">
      <w:pPr>
        <w:spacing w:line="276" w:lineRule="auto"/>
        <w:jc w:val="both"/>
        <w:rPr>
          <w:rFonts w:ascii="Arial" w:hAnsi="Arial" w:cs="Arial"/>
          <w:b/>
          <w:bCs/>
          <w:color w:val="000000" w:themeColor="text1"/>
          <w:sz w:val="22"/>
          <w:szCs w:val="22"/>
        </w:rPr>
      </w:pPr>
      <w:r w:rsidRPr="00CE6A75">
        <w:rPr>
          <w:rFonts w:ascii="Arial" w:hAnsi="Arial" w:cs="Arial"/>
          <w:b/>
          <w:bCs/>
          <w:color w:val="000000" w:themeColor="text1"/>
          <w:sz w:val="22"/>
          <w:szCs w:val="22"/>
        </w:rPr>
        <w:lastRenderedPageBreak/>
        <w:t>Flood Risk and Drainage</w:t>
      </w:r>
    </w:p>
    <w:p w14:paraId="1C32553B" w14:textId="77777777" w:rsidR="00532780" w:rsidRPr="00CE6A75" w:rsidRDefault="00532780" w:rsidP="7D84FC5F">
      <w:pPr>
        <w:spacing w:line="276" w:lineRule="auto"/>
        <w:jc w:val="both"/>
        <w:rPr>
          <w:rFonts w:ascii="Arial" w:hAnsi="Arial" w:cs="Arial"/>
          <w:i/>
          <w:iCs/>
          <w:color w:val="000000" w:themeColor="text1"/>
          <w:sz w:val="22"/>
          <w:szCs w:val="22"/>
        </w:rPr>
      </w:pPr>
      <w:r w:rsidRPr="00CE6A75">
        <w:rPr>
          <w:rFonts w:ascii="Arial" w:hAnsi="Arial" w:cs="Arial"/>
          <w:i/>
          <w:iCs/>
          <w:color w:val="000000" w:themeColor="text1"/>
          <w:sz w:val="22"/>
          <w:szCs w:val="22"/>
        </w:rPr>
        <w:t>Policy Context</w:t>
      </w:r>
    </w:p>
    <w:p w14:paraId="51FC7952" w14:textId="77777777" w:rsidR="009613A4" w:rsidRPr="00CE6A75" w:rsidRDefault="009613A4" w:rsidP="00883BF4">
      <w:p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Core Policy 67 of the Wiltshire Core Strategy and NPPF paragraphs 170–182 require:</w:t>
      </w:r>
    </w:p>
    <w:p w14:paraId="5DC7242A"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Avoidance of increased flood risk.</w:t>
      </w:r>
    </w:p>
    <w:p w14:paraId="3BC3563F"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Use of appropriate mitigation measures.</w:t>
      </w:r>
    </w:p>
    <w:p w14:paraId="4FD07372"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Application of the sequential and exception tests for developments in Flood Zones 2 or 3.</w:t>
      </w:r>
    </w:p>
    <w:p w14:paraId="0AE9BDF9" w14:textId="77777777" w:rsidR="00883BF4" w:rsidRPr="00CE6A75" w:rsidRDefault="00883BF4" w:rsidP="00883BF4">
      <w:pPr>
        <w:spacing w:line="276" w:lineRule="auto"/>
        <w:jc w:val="both"/>
        <w:rPr>
          <w:rFonts w:ascii="Arial" w:hAnsi="Arial" w:cs="Arial"/>
          <w:color w:val="000000" w:themeColor="text1"/>
          <w:sz w:val="22"/>
          <w:szCs w:val="22"/>
        </w:rPr>
      </w:pPr>
    </w:p>
    <w:p w14:paraId="4429BFF7" w14:textId="77777777" w:rsidR="009613A4" w:rsidRPr="00CE6A75" w:rsidRDefault="009613A4" w:rsidP="00532780">
      <w:p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Sustainable Drainage Systems (</w:t>
      </w:r>
      <w:proofErr w:type="spellStart"/>
      <w:r w:rsidRPr="00CE6A75">
        <w:rPr>
          <w:rFonts w:ascii="Arial" w:hAnsi="Arial" w:cs="Arial"/>
          <w:color w:val="000000" w:themeColor="text1"/>
          <w:sz w:val="22"/>
          <w:szCs w:val="22"/>
        </w:rPr>
        <w:t>SuDS</w:t>
      </w:r>
      <w:proofErr w:type="spellEnd"/>
      <w:r w:rsidRPr="00CE6A75">
        <w:rPr>
          <w:rFonts w:ascii="Arial" w:hAnsi="Arial" w:cs="Arial"/>
          <w:color w:val="000000" w:themeColor="text1"/>
          <w:sz w:val="22"/>
          <w:szCs w:val="22"/>
        </w:rPr>
        <w:t>)</w:t>
      </w:r>
      <w:r w:rsidR="00532780" w:rsidRPr="00CE6A75">
        <w:rPr>
          <w:rFonts w:ascii="Arial" w:hAnsi="Arial" w:cs="Arial"/>
          <w:color w:val="000000" w:themeColor="text1"/>
          <w:sz w:val="22"/>
          <w:szCs w:val="22"/>
        </w:rPr>
        <w:t xml:space="preserve"> are r</w:t>
      </w:r>
      <w:r w:rsidRPr="00CE6A75">
        <w:rPr>
          <w:rFonts w:ascii="Arial" w:hAnsi="Arial" w:cs="Arial"/>
          <w:color w:val="000000" w:themeColor="text1"/>
          <w:sz w:val="22"/>
          <w:szCs w:val="22"/>
        </w:rPr>
        <w:t>equired for all major developments</w:t>
      </w:r>
      <w:r w:rsidR="00532780" w:rsidRPr="00CE6A75">
        <w:rPr>
          <w:rFonts w:ascii="Arial" w:hAnsi="Arial" w:cs="Arial"/>
          <w:color w:val="000000" w:themeColor="text1"/>
          <w:sz w:val="22"/>
          <w:szCs w:val="22"/>
        </w:rPr>
        <w:t xml:space="preserve"> and m</w:t>
      </w:r>
      <w:r w:rsidRPr="00CE6A75">
        <w:rPr>
          <w:rFonts w:ascii="Arial" w:hAnsi="Arial" w:cs="Arial"/>
          <w:color w:val="000000" w:themeColor="text1"/>
          <w:sz w:val="22"/>
          <w:szCs w:val="22"/>
        </w:rPr>
        <w:t>ust:</w:t>
      </w:r>
    </w:p>
    <w:p w14:paraId="10B63DA7"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Manage runoff near its source.</w:t>
      </w:r>
    </w:p>
    <w:p w14:paraId="3A67D7C1"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Improve water quality.</w:t>
      </w:r>
    </w:p>
    <w:p w14:paraId="3CCCE7C5"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Support biodiversity and amenity.</w:t>
      </w:r>
    </w:p>
    <w:p w14:paraId="1BE4568C" w14:textId="77777777" w:rsidR="009613A4" w:rsidRPr="00CE6A75" w:rsidRDefault="009613A4">
      <w:pPr>
        <w:numPr>
          <w:ilvl w:val="0"/>
          <w:numId w:val="10"/>
        </w:numPr>
        <w:spacing w:line="276" w:lineRule="auto"/>
        <w:jc w:val="both"/>
        <w:rPr>
          <w:rFonts w:ascii="Arial" w:hAnsi="Arial" w:cs="Arial"/>
          <w:color w:val="000000" w:themeColor="text1"/>
          <w:sz w:val="22"/>
          <w:szCs w:val="22"/>
        </w:rPr>
      </w:pPr>
      <w:r w:rsidRPr="00CE6A75">
        <w:rPr>
          <w:rFonts w:ascii="Arial" w:hAnsi="Arial" w:cs="Arial"/>
          <w:color w:val="000000" w:themeColor="text1"/>
          <w:sz w:val="22"/>
          <w:szCs w:val="22"/>
        </w:rPr>
        <w:t>Be integrated into the site layout and green infrastructure.</w:t>
      </w:r>
    </w:p>
    <w:p w14:paraId="21D8F481" w14:textId="77777777" w:rsidR="009613A4" w:rsidRPr="00CE6A75" w:rsidRDefault="009613A4" w:rsidP="7D84FC5F">
      <w:pPr>
        <w:spacing w:line="276" w:lineRule="auto"/>
        <w:jc w:val="both"/>
        <w:rPr>
          <w:rFonts w:ascii="Arial" w:hAnsi="Arial" w:cs="Arial"/>
          <w:i/>
          <w:iCs/>
          <w:color w:val="FF0000"/>
          <w:sz w:val="22"/>
          <w:szCs w:val="22"/>
        </w:rPr>
      </w:pPr>
    </w:p>
    <w:p w14:paraId="1B28C2D2" w14:textId="77777777" w:rsidR="003440E3" w:rsidRPr="00CE6A75" w:rsidRDefault="003440E3" w:rsidP="7D84FC5F">
      <w:pPr>
        <w:spacing w:line="276" w:lineRule="auto"/>
        <w:jc w:val="both"/>
        <w:rPr>
          <w:rFonts w:ascii="Arial" w:hAnsi="Arial" w:cs="Arial"/>
          <w:i/>
          <w:iCs/>
          <w:color w:val="000000" w:themeColor="text1"/>
          <w:sz w:val="22"/>
          <w:szCs w:val="22"/>
        </w:rPr>
      </w:pPr>
      <w:r w:rsidRPr="00CE6A75">
        <w:rPr>
          <w:rFonts w:ascii="Arial" w:hAnsi="Arial" w:cs="Arial"/>
          <w:i/>
          <w:iCs/>
          <w:color w:val="000000" w:themeColor="text1"/>
          <w:sz w:val="22"/>
          <w:szCs w:val="22"/>
        </w:rPr>
        <w:t xml:space="preserve">Assessment </w:t>
      </w:r>
    </w:p>
    <w:p w14:paraId="7B3A40AB" w14:textId="77777777" w:rsidR="00F14D13" w:rsidRDefault="00F14D13" w:rsidP="00F14D13">
      <w:pPr>
        <w:spacing w:line="276" w:lineRule="auto"/>
        <w:jc w:val="both"/>
        <w:rPr>
          <w:rFonts w:ascii="Arial" w:hAnsi="Arial" w:cs="Arial"/>
          <w:color w:val="000000" w:themeColor="text1"/>
          <w:sz w:val="22"/>
          <w:szCs w:val="22"/>
        </w:rPr>
      </w:pPr>
      <w:r w:rsidRPr="00F14D13">
        <w:rPr>
          <w:rFonts w:ascii="Arial" w:hAnsi="Arial" w:cs="Arial"/>
          <w:color w:val="000000" w:themeColor="text1"/>
          <w:sz w:val="22"/>
          <w:szCs w:val="22"/>
        </w:rPr>
        <w:t>The Council’s Drainage Engineer raises no objection to the proposal subject to conditions. The site lies within Flood Zone 1 and is not identified as being at risk from fluvial, surface water or groundwater flooding, indicating a low baseline flood risk.</w:t>
      </w:r>
    </w:p>
    <w:p w14:paraId="3EFAFD01" w14:textId="77777777" w:rsidR="00F14D13" w:rsidRPr="00F14D13" w:rsidRDefault="00F14D13" w:rsidP="00F14D13">
      <w:pPr>
        <w:spacing w:line="276" w:lineRule="auto"/>
        <w:jc w:val="both"/>
        <w:rPr>
          <w:rFonts w:ascii="Arial" w:hAnsi="Arial" w:cs="Arial"/>
          <w:color w:val="000000" w:themeColor="text1"/>
          <w:sz w:val="22"/>
          <w:szCs w:val="22"/>
        </w:rPr>
      </w:pPr>
    </w:p>
    <w:p w14:paraId="04CFE772" w14:textId="77777777" w:rsidR="00F14D13" w:rsidRDefault="00F14D13" w:rsidP="00F14D13">
      <w:pPr>
        <w:spacing w:line="276" w:lineRule="auto"/>
        <w:jc w:val="both"/>
        <w:rPr>
          <w:rFonts w:ascii="Arial" w:hAnsi="Arial" w:cs="Arial"/>
          <w:color w:val="000000" w:themeColor="text1"/>
          <w:sz w:val="22"/>
          <w:szCs w:val="22"/>
        </w:rPr>
      </w:pPr>
      <w:r w:rsidRPr="00F14D13">
        <w:rPr>
          <w:rFonts w:ascii="Arial" w:hAnsi="Arial" w:cs="Arial"/>
          <w:color w:val="000000" w:themeColor="text1"/>
          <w:sz w:val="22"/>
          <w:szCs w:val="22"/>
        </w:rPr>
        <w:t>Notwithstanding the low risk context, the introduction of a more vulnerable use requires consideration of residual and exceedance risk. The Drainage Engineer has requested the submission of details relating to finished floor levels and property flood resilience measures. However, in the absence of any identified flood risk or site-specific evidence demonstrating a credible flooding mechanism, a requirement for property flood resilience measures is not considered to meet the tests set out in the National Planning Policy Framework and Planning Practice Guidance. In particular, such a requirement would not be necessary or reasonable in planning terms and would largely duplicate controls exercised through the Building Regulations.</w:t>
      </w:r>
    </w:p>
    <w:p w14:paraId="5F230783" w14:textId="77777777" w:rsidR="00F14D13" w:rsidRPr="00F14D13" w:rsidRDefault="00F14D13" w:rsidP="00F14D13">
      <w:pPr>
        <w:spacing w:line="276" w:lineRule="auto"/>
        <w:jc w:val="both"/>
        <w:rPr>
          <w:rFonts w:ascii="Arial" w:hAnsi="Arial" w:cs="Arial"/>
          <w:color w:val="000000" w:themeColor="text1"/>
          <w:sz w:val="22"/>
          <w:szCs w:val="22"/>
        </w:rPr>
      </w:pPr>
    </w:p>
    <w:p w14:paraId="36EEB5B0" w14:textId="77777777" w:rsidR="00F14D13" w:rsidRPr="00F14D13" w:rsidRDefault="00F14D13" w:rsidP="00F14D13">
      <w:pPr>
        <w:spacing w:line="276" w:lineRule="auto"/>
        <w:jc w:val="both"/>
        <w:rPr>
          <w:rFonts w:ascii="Arial" w:hAnsi="Arial" w:cs="Arial"/>
          <w:color w:val="000000" w:themeColor="text1"/>
          <w:sz w:val="22"/>
          <w:szCs w:val="22"/>
        </w:rPr>
      </w:pPr>
      <w:r w:rsidRPr="00F14D13">
        <w:rPr>
          <w:rFonts w:ascii="Arial" w:hAnsi="Arial" w:cs="Arial"/>
          <w:color w:val="000000" w:themeColor="text1"/>
          <w:sz w:val="22"/>
          <w:szCs w:val="22"/>
        </w:rPr>
        <w:t>A condition securing finished floor levels set a minimum of 150mm above adjacent ground levels is, however, considered proportionate to address residual and exceedance risk. Subject to this, and compliance with standard drainage requirements, the proposal would not increase flood risk elsewhere and is acceptable in drainage terms.</w:t>
      </w:r>
    </w:p>
    <w:p w14:paraId="455D9104" w14:textId="77777777" w:rsidR="00CE6A75" w:rsidRPr="00CE6A75" w:rsidRDefault="00CE6A75" w:rsidP="00CE6A75">
      <w:pPr>
        <w:spacing w:line="276" w:lineRule="auto"/>
        <w:jc w:val="both"/>
        <w:rPr>
          <w:rFonts w:ascii="Arial" w:hAnsi="Arial" w:cs="Arial"/>
          <w:color w:val="000000" w:themeColor="text1"/>
          <w:sz w:val="22"/>
          <w:szCs w:val="22"/>
        </w:rPr>
      </w:pPr>
    </w:p>
    <w:p w14:paraId="21BF8E22" w14:textId="77777777" w:rsidR="00E03EDD" w:rsidRPr="00CE6A75" w:rsidRDefault="00E03EDD" w:rsidP="00E03EDD">
      <w:pPr>
        <w:spacing w:line="276" w:lineRule="auto"/>
        <w:jc w:val="both"/>
        <w:rPr>
          <w:rFonts w:ascii="Arial" w:hAnsi="Arial" w:cs="Arial"/>
          <w:i/>
          <w:iCs/>
          <w:color w:val="000000" w:themeColor="text1"/>
          <w:sz w:val="22"/>
          <w:szCs w:val="22"/>
        </w:rPr>
      </w:pPr>
      <w:r w:rsidRPr="00CE6A75">
        <w:rPr>
          <w:rFonts w:ascii="Arial" w:hAnsi="Arial" w:cs="Arial"/>
          <w:i/>
          <w:iCs/>
          <w:color w:val="000000" w:themeColor="text1"/>
          <w:sz w:val="22"/>
          <w:szCs w:val="22"/>
        </w:rPr>
        <w:t>Conclusion</w:t>
      </w:r>
    </w:p>
    <w:p w14:paraId="4A0E4A69" w14:textId="77777777" w:rsidR="00192C94" w:rsidRPr="00192C94" w:rsidRDefault="00192C94" w:rsidP="00192C94">
      <w:pPr>
        <w:spacing w:line="276" w:lineRule="auto"/>
        <w:jc w:val="both"/>
        <w:rPr>
          <w:rFonts w:ascii="Arial" w:hAnsi="Arial" w:cs="Arial"/>
          <w:color w:val="000000" w:themeColor="text1"/>
          <w:sz w:val="22"/>
          <w:szCs w:val="22"/>
        </w:rPr>
      </w:pPr>
      <w:r w:rsidRPr="00192C94">
        <w:rPr>
          <w:rFonts w:ascii="Arial" w:hAnsi="Arial" w:cs="Arial"/>
          <w:color w:val="000000" w:themeColor="text1"/>
          <w:sz w:val="22"/>
          <w:szCs w:val="22"/>
        </w:rPr>
        <w:t>Subject to a condition securing finished floor levels, the proposal is acceptable in terms of flood risk and drainage and accords with Core Policy 67 of the Wiltshire Core Strategy and the relevant provisions of the National Planning Policy Framework.</w:t>
      </w:r>
    </w:p>
    <w:p w14:paraId="728BCD7A" w14:textId="77777777" w:rsidR="00E03EDD" w:rsidRPr="00AE50C3" w:rsidRDefault="00E03EDD" w:rsidP="7D84FC5F">
      <w:pPr>
        <w:spacing w:line="276" w:lineRule="auto"/>
        <w:jc w:val="both"/>
        <w:rPr>
          <w:rFonts w:ascii="Arial" w:hAnsi="Arial" w:cs="Arial"/>
          <w:i/>
          <w:iCs/>
          <w:color w:val="000000" w:themeColor="text1"/>
          <w:sz w:val="22"/>
          <w:szCs w:val="22"/>
        </w:rPr>
      </w:pPr>
    </w:p>
    <w:p w14:paraId="51787E8C" w14:textId="09763666" w:rsidR="00A16EA1" w:rsidRPr="00E11FBD" w:rsidRDefault="00A16EA1" w:rsidP="00A16EA1">
      <w:pPr>
        <w:pStyle w:val="ListParagraph"/>
        <w:spacing w:line="276" w:lineRule="auto"/>
        <w:ind w:left="0"/>
        <w:jc w:val="both"/>
        <w:rPr>
          <w:rFonts w:ascii="Arial" w:hAnsi="Arial" w:cs="Arial"/>
          <w:b/>
          <w:bCs/>
          <w:color w:val="000000" w:themeColor="text1"/>
          <w:sz w:val="22"/>
          <w:szCs w:val="22"/>
        </w:rPr>
      </w:pPr>
      <w:r w:rsidRPr="00E11FBD">
        <w:rPr>
          <w:rFonts w:ascii="Arial" w:hAnsi="Arial" w:cs="Arial"/>
          <w:b/>
          <w:bCs/>
          <w:color w:val="000000" w:themeColor="text1"/>
          <w:sz w:val="22"/>
          <w:szCs w:val="22"/>
        </w:rPr>
        <w:t>CIL</w:t>
      </w:r>
    </w:p>
    <w:p w14:paraId="53F7798B" w14:textId="283BBEF6" w:rsidR="00A16EA1" w:rsidRPr="00E11FBD" w:rsidRDefault="00A16EA1" w:rsidP="00A16EA1">
      <w:pPr>
        <w:spacing w:line="276" w:lineRule="auto"/>
        <w:jc w:val="both"/>
        <w:rPr>
          <w:rFonts w:ascii="Arial" w:hAnsi="Arial" w:cs="Arial"/>
          <w:sz w:val="22"/>
          <w:szCs w:val="22"/>
        </w:rPr>
      </w:pPr>
      <w:r w:rsidRPr="00E11FBD">
        <w:rPr>
          <w:rFonts w:ascii="Arial" w:hAnsi="Arial" w:cs="Arial"/>
          <w:sz w:val="22"/>
          <w:szCs w:val="22"/>
        </w:rPr>
        <w:t>The proposed development</w:t>
      </w:r>
      <w:r w:rsidRPr="00E11FBD">
        <w:rPr>
          <w:rFonts w:ascii="Arial" w:hAnsi="Arial" w:cs="Arial"/>
          <w:color w:val="ED0000"/>
          <w:sz w:val="22"/>
          <w:szCs w:val="22"/>
        </w:rPr>
        <w:t xml:space="preserve"> </w:t>
      </w:r>
      <w:r w:rsidRPr="00E11FBD">
        <w:rPr>
          <w:rFonts w:ascii="Arial" w:hAnsi="Arial" w:cs="Arial"/>
          <w:sz w:val="22"/>
          <w:szCs w:val="22"/>
        </w:rPr>
        <w:t>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The site would fall under CIL charging zone</w:t>
      </w:r>
      <w:r w:rsidR="00F82EB0" w:rsidRPr="00E11FBD">
        <w:rPr>
          <w:rFonts w:ascii="Arial" w:hAnsi="Arial" w:cs="Arial"/>
          <w:sz w:val="22"/>
          <w:szCs w:val="22"/>
        </w:rPr>
        <w:t xml:space="preserve"> 1</w:t>
      </w:r>
      <w:r w:rsidRPr="00E11FBD">
        <w:rPr>
          <w:rFonts w:ascii="Arial" w:hAnsi="Arial" w:cs="Arial"/>
          <w:color w:val="ED0000"/>
          <w:sz w:val="22"/>
          <w:szCs w:val="22"/>
        </w:rPr>
        <w:t xml:space="preserve"> </w:t>
      </w:r>
      <w:r w:rsidRPr="00E11FBD">
        <w:rPr>
          <w:rFonts w:ascii="Arial" w:hAnsi="Arial" w:cs="Arial"/>
          <w:sz w:val="22"/>
          <w:szCs w:val="22"/>
        </w:rPr>
        <w:t>where the sum equates to</w:t>
      </w:r>
      <w:r w:rsidR="00F82EB0" w:rsidRPr="00E11FBD">
        <w:rPr>
          <w:rFonts w:ascii="Arial" w:hAnsi="Arial" w:cs="Arial"/>
          <w:sz w:val="22"/>
          <w:szCs w:val="22"/>
        </w:rPr>
        <w:t xml:space="preserve"> £85.00</w:t>
      </w:r>
      <w:r w:rsidRPr="00E11FBD">
        <w:rPr>
          <w:rFonts w:ascii="Arial" w:hAnsi="Arial" w:cs="Arial"/>
          <w:color w:val="ED0000"/>
          <w:sz w:val="22"/>
          <w:szCs w:val="22"/>
        </w:rPr>
        <w:t xml:space="preserve"> </w:t>
      </w:r>
      <w:r w:rsidRPr="00E11FBD">
        <w:rPr>
          <w:rFonts w:ascii="Arial" w:hAnsi="Arial" w:cs="Arial"/>
          <w:sz w:val="22"/>
          <w:szCs w:val="22"/>
        </w:rPr>
        <w:t xml:space="preserve">per square metre of floor space created. </w:t>
      </w:r>
    </w:p>
    <w:p w14:paraId="57FE9AB8" w14:textId="77777777" w:rsidR="00A16EA1" w:rsidRPr="00E11FBD" w:rsidRDefault="00A16EA1" w:rsidP="00A16EA1">
      <w:pPr>
        <w:spacing w:line="276" w:lineRule="auto"/>
        <w:jc w:val="both"/>
        <w:rPr>
          <w:rFonts w:ascii="Arial" w:hAnsi="Arial" w:cs="Arial"/>
          <w:b/>
          <w:bCs/>
          <w:sz w:val="22"/>
          <w:szCs w:val="22"/>
        </w:rPr>
      </w:pPr>
    </w:p>
    <w:p w14:paraId="3C20ED5E" w14:textId="77777777" w:rsidR="003066D0" w:rsidRPr="004F0D91" w:rsidRDefault="00F7609E" w:rsidP="00943755">
      <w:pPr>
        <w:spacing w:line="276" w:lineRule="auto"/>
        <w:jc w:val="both"/>
        <w:rPr>
          <w:rFonts w:ascii="Arial" w:hAnsi="Arial" w:cs="Arial"/>
          <w:b/>
          <w:bCs/>
          <w:sz w:val="22"/>
          <w:szCs w:val="22"/>
        </w:rPr>
      </w:pPr>
      <w:r w:rsidRPr="004F0D91">
        <w:rPr>
          <w:rFonts w:ascii="Arial" w:hAnsi="Arial" w:cs="Arial"/>
          <w:b/>
          <w:bCs/>
          <w:sz w:val="22"/>
          <w:szCs w:val="22"/>
        </w:rPr>
        <w:t>PLANNING BALANCE AND CONCLUSION</w:t>
      </w:r>
    </w:p>
    <w:p w14:paraId="76C7FA44" w14:textId="2D3FA588" w:rsidR="00E76079"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lastRenderedPageBreak/>
        <w:t>At the heart of the NPPF is a presumption in favour of sustainable development. In this case, the Council is currently unable to demonstrate a five-year housing land supply, and therefore the most important policies for determining the application are considered out-of-date. Paragraph 11(d) of the NPPF is engaged and permission should be granted unless the adverse impacts would significantly and demonstrably outweigh the benefits.</w:t>
      </w:r>
      <w:r w:rsidR="003D0989">
        <w:rPr>
          <w:rFonts w:ascii="Arial" w:hAnsi="Arial" w:cs="Arial"/>
          <w:sz w:val="22"/>
          <w:szCs w:val="22"/>
        </w:rPr>
        <w:t xml:space="preserve"> </w:t>
      </w:r>
      <w:r w:rsidR="003D0989" w:rsidRPr="003D0989">
        <w:rPr>
          <w:rFonts w:ascii="Arial" w:hAnsi="Arial" w:cs="Arial"/>
          <w:sz w:val="22"/>
          <w:szCs w:val="22"/>
        </w:rPr>
        <w:t>Given the current shortfall in housing land supply, paragraph 11(d) of the NPPF is a material consideration. However, the acceptability of the proposal is also strongly supported by the extant Class Q fallback and the reduced intensity of development proposed.</w:t>
      </w:r>
    </w:p>
    <w:p w14:paraId="0939E95B" w14:textId="77777777" w:rsidR="00E76079" w:rsidRPr="004F0D91" w:rsidRDefault="00E76079" w:rsidP="00E76079">
      <w:pPr>
        <w:spacing w:line="276" w:lineRule="auto"/>
        <w:jc w:val="both"/>
        <w:rPr>
          <w:rFonts w:ascii="Arial" w:hAnsi="Arial" w:cs="Arial"/>
          <w:sz w:val="22"/>
          <w:szCs w:val="22"/>
        </w:rPr>
      </w:pPr>
    </w:p>
    <w:p w14:paraId="70D9012E" w14:textId="77777777" w:rsidR="00E76079"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t>In applying the planning balance, significant weight is afforded to the fallback position established under the extant Class Q prior approval (PL/2024/09383), which lawfully permits the conversion of the building into two dwellings. This represents a material fallback that carries substantial weight in decision-making. The current proposal reduces the intensity of development from two units to a single dwelling, whilst retaining the approved built form. This results in a less intensive and more coherent form of development.</w:t>
      </w:r>
    </w:p>
    <w:p w14:paraId="347A76DB" w14:textId="77777777" w:rsidR="00E76079" w:rsidRPr="004F0D91" w:rsidRDefault="00E76079" w:rsidP="00E76079">
      <w:pPr>
        <w:spacing w:line="276" w:lineRule="auto"/>
        <w:jc w:val="both"/>
        <w:rPr>
          <w:rFonts w:ascii="Arial" w:hAnsi="Arial" w:cs="Arial"/>
          <w:sz w:val="22"/>
          <w:szCs w:val="22"/>
        </w:rPr>
      </w:pPr>
    </w:p>
    <w:p w14:paraId="500F32ED" w14:textId="77777777" w:rsidR="00E76079"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t>The proposal delivers modest benefits through the provision of an additional dwelling, contributing to housing supply in the context of a significant housing land supply shortfall. Further weight is given to the reuse of an existing rural building, consistent with the objectives of sustainable development and efficient use of land.</w:t>
      </w:r>
    </w:p>
    <w:p w14:paraId="65C7C8DA" w14:textId="77777777" w:rsidR="00E76079" w:rsidRPr="004F0D91" w:rsidRDefault="00E76079" w:rsidP="00E76079">
      <w:pPr>
        <w:spacing w:line="276" w:lineRule="auto"/>
        <w:jc w:val="both"/>
        <w:rPr>
          <w:rFonts w:ascii="Arial" w:hAnsi="Arial" w:cs="Arial"/>
          <w:sz w:val="22"/>
          <w:szCs w:val="22"/>
        </w:rPr>
      </w:pPr>
    </w:p>
    <w:p w14:paraId="7221999E" w14:textId="2886F982" w:rsidR="00E76079"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t xml:space="preserve">In terms of impacts, the proposal has been found to be acceptable across all key technical considerations. There would be no unacceptable harm to landscape character, design quality, residential amenity, highway safety, ecology or biodiversity, or flood risk and drainage. Subject to </w:t>
      </w:r>
      <w:r w:rsidR="00C94E4A">
        <w:rPr>
          <w:rFonts w:ascii="Arial" w:hAnsi="Arial" w:cs="Arial"/>
          <w:sz w:val="22"/>
          <w:szCs w:val="22"/>
        </w:rPr>
        <w:t xml:space="preserve">appropriate </w:t>
      </w:r>
      <w:r w:rsidRPr="004F0D91">
        <w:rPr>
          <w:rFonts w:ascii="Arial" w:hAnsi="Arial" w:cs="Arial"/>
          <w:sz w:val="22"/>
          <w:szCs w:val="22"/>
        </w:rPr>
        <w:t>conditions, all identified impacts can be appropriately mitigated, and no overriding constraints arise.</w:t>
      </w:r>
    </w:p>
    <w:p w14:paraId="5DB3FA1C" w14:textId="77777777" w:rsidR="00E76079" w:rsidRPr="004F0D91" w:rsidRDefault="00E76079" w:rsidP="00E76079">
      <w:pPr>
        <w:spacing w:line="276" w:lineRule="auto"/>
        <w:jc w:val="both"/>
        <w:rPr>
          <w:rFonts w:ascii="Arial" w:hAnsi="Arial" w:cs="Arial"/>
          <w:sz w:val="22"/>
          <w:szCs w:val="22"/>
        </w:rPr>
      </w:pPr>
    </w:p>
    <w:p w14:paraId="0E0F3558" w14:textId="77777777" w:rsidR="00E76079"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t>Whilst there is a technical conflict with the spatial strategy given the site’s location outside defined settlement boundaries, this harm is limited in this instance and is significantly outweighed by the fallback position, the reduced intensity of development, and the absence of any identifiable adverse impacts.</w:t>
      </w:r>
    </w:p>
    <w:p w14:paraId="74A4F42F" w14:textId="77777777" w:rsidR="00E76079" w:rsidRPr="004F0D91" w:rsidRDefault="00E76079" w:rsidP="00E76079">
      <w:pPr>
        <w:spacing w:line="276" w:lineRule="auto"/>
        <w:jc w:val="both"/>
        <w:rPr>
          <w:rFonts w:ascii="Arial" w:hAnsi="Arial" w:cs="Arial"/>
          <w:sz w:val="22"/>
          <w:szCs w:val="22"/>
        </w:rPr>
      </w:pPr>
    </w:p>
    <w:p w14:paraId="787E16A8" w14:textId="77777777" w:rsidR="00E76079"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t>Accordingly, when assessed against the NPPF as a whole, there are no adverse impacts that would significantly and demonstrably outweigh the benefits of the proposal. The development therefore constitutes sustainable development.</w:t>
      </w:r>
    </w:p>
    <w:p w14:paraId="52AF1F4D" w14:textId="77777777" w:rsidR="00E76079" w:rsidRPr="004F0D91" w:rsidRDefault="00E76079" w:rsidP="00E76079">
      <w:pPr>
        <w:spacing w:line="276" w:lineRule="auto"/>
        <w:jc w:val="both"/>
        <w:rPr>
          <w:rFonts w:ascii="Arial" w:hAnsi="Arial" w:cs="Arial"/>
          <w:sz w:val="22"/>
          <w:szCs w:val="22"/>
        </w:rPr>
      </w:pPr>
    </w:p>
    <w:p w14:paraId="183812E2" w14:textId="77777777" w:rsidR="00E76079" w:rsidRPr="004F0D91" w:rsidRDefault="00E76079" w:rsidP="00E76079">
      <w:pPr>
        <w:spacing w:line="276" w:lineRule="auto"/>
        <w:jc w:val="both"/>
        <w:rPr>
          <w:rFonts w:ascii="Arial" w:hAnsi="Arial" w:cs="Arial"/>
          <w:b/>
          <w:bCs/>
          <w:sz w:val="22"/>
          <w:szCs w:val="22"/>
        </w:rPr>
      </w:pPr>
      <w:r w:rsidRPr="004F0D91">
        <w:rPr>
          <w:rFonts w:ascii="Arial" w:hAnsi="Arial" w:cs="Arial"/>
          <w:b/>
          <w:bCs/>
          <w:sz w:val="22"/>
          <w:szCs w:val="22"/>
        </w:rPr>
        <w:t>Conclusion</w:t>
      </w:r>
    </w:p>
    <w:p w14:paraId="62CF7CBB" w14:textId="3A3938A6" w:rsidR="00951932" w:rsidRPr="004F0D91" w:rsidRDefault="00E76079" w:rsidP="00E76079">
      <w:pPr>
        <w:spacing w:line="276" w:lineRule="auto"/>
        <w:jc w:val="both"/>
        <w:rPr>
          <w:rFonts w:ascii="Arial" w:hAnsi="Arial" w:cs="Arial"/>
          <w:sz w:val="22"/>
          <w:szCs w:val="22"/>
        </w:rPr>
      </w:pPr>
      <w:r w:rsidRPr="004F0D91">
        <w:rPr>
          <w:rFonts w:ascii="Arial" w:hAnsi="Arial" w:cs="Arial"/>
          <w:sz w:val="22"/>
          <w:szCs w:val="22"/>
        </w:rPr>
        <w:t>The proposed development is considered acceptable in planning terms. The benefits of the scheme, including the delivery of a dwelling, the reuse of an existing rural building, and the reduction in development intensity compared to the fallback position, outweigh the limited policy conflict identified. The proposal accords with the Wiltshire Core Strategy, the National Planning Policy Framework, and all other relevant material considerations. Planning permission is therefore recommended for approval, subject to conditions.</w:t>
      </w:r>
    </w:p>
    <w:p w14:paraId="53216AA0" w14:textId="77777777" w:rsidR="00951932" w:rsidRPr="004F0D91" w:rsidRDefault="00951932" w:rsidP="00053F09">
      <w:pPr>
        <w:spacing w:line="276" w:lineRule="auto"/>
        <w:jc w:val="both"/>
        <w:rPr>
          <w:rFonts w:ascii="Arial" w:hAnsi="Arial" w:cs="Arial"/>
          <w:sz w:val="22"/>
          <w:szCs w:val="22"/>
        </w:rPr>
      </w:pPr>
    </w:p>
    <w:p w14:paraId="5F093B38" w14:textId="23985AE1" w:rsidR="00942BFA" w:rsidRPr="004F0D91" w:rsidRDefault="00942BFA" w:rsidP="00942BFA">
      <w:pPr>
        <w:spacing w:line="276" w:lineRule="auto"/>
        <w:jc w:val="both"/>
        <w:rPr>
          <w:rFonts w:ascii="Arial" w:hAnsi="Arial" w:cs="Arial"/>
          <w:b/>
          <w:bCs/>
          <w:color w:val="000000" w:themeColor="text1"/>
          <w:sz w:val="22"/>
          <w:szCs w:val="22"/>
        </w:rPr>
      </w:pPr>
      <w:r w:rsidRPr="004F0D91">
        <w:rPr>
          <w:rFonts w:ascii="Arial" w:hAnsi="Arial" w:cs="Arial"/>
          <w:b/>
          <w:bCs/>
          <w:color w:val="000000" w:themeColor="text1"/>
          <w:sz w:val="22"/>
          <w:szCs w:val="22"/>
        </w:rPr>
        <w:t>RECOMMENDATION</w:t>
      </w:r>
      <w:r w:rsidRPr="004F0D91">
        <w:rPr>
          <w:rFonts w:ascii="Arial" w:hAnsi="Arial" w:cs="Arial"/>
          <w:color w:val="000000" w:themeColor="text1"/>
          <w:sz w:val="22"/>
          <w:szCs w:val="22"/>
        </w:rPr>
        <w:t>:</w:t>
      </w:r>
      <w:r w:rsidRPr="004F0D91">
        <w:rPr>
          <w:rFonts w:ascii="Arial" w:hAnsi="Arial" w:cs="Arial"/>
          <w:color w:val="000000" w:themeColor="text1"/>
          <w:sz w:val="22"/>
          <w:szCs w:val="22"/>
        </w:rPr>
        <w:br/>
      </w:r>
      <w:r w:rsidRPr="004F0D91">
        <w:rPr>
          <w:rFonts w:ascii="Arial" w:hAnsi="Arial" w:cs="Arial"/>
          <w:b/>
          <w:bCs/>
          <w:color w:val="000000" w:themeColor="text1"/>
          <w:sz w:val="22"/>
          <w:szCs w:val="22"/>
        </w:rPr>
        <w:t xml:space="preserve">That Planning Permission be GRANTED, subject </w:t>
      </w:r>
      <w:r w:rsidR="00FD4FDF" w:rsidRPr="004F0D91">
        <w:rPr>
          <w:rFonts w:ascii="Arial" w:hAnsi="Arial" w:cs="Arial"/>
          <w:b/>
          <w:bCs/>
          <w:color w:val="000000" w:themeColor="text1"/>
          <w:sz w:val="22"/>
          <w:szCs w:val="22"/>
        </w:rPr>
        <w:t xml:space="preserve">to </w:t>
      </w:r>
      <w:r w:rsidRPr="004F0D91">
        <w:rPr>
          <w:rFonts w:ascii="Arial" w:hAnsi="Arial" w:cs="Arial"/>
          <w:b/>
          <w:bCs/>
          <w:color w:val="000000" w:themeColor="text1"/>
          <w:sz w:val="22"/>
          <w:szCs w:val="22"/>
        </w:rPr>
        <w:t>conditions:</w:t>
      </w:r>
    </w:p>
    <w:p w14:paraId="063CD868" w14:textId="77777777" w:rsidR="001D72AF" w:rsidRDefault="001D72AF" w:rsidP="00942BFA">
      <w:pPr>
        <w:spacing w:line="276" w:lineRule="auto"/>
        <w:jc w:val="both"/>
        <w:rPr>
          <w:rFonts w:ascii="Arial" w:hAnsi="Arial" w:cs="Arial"/>
          <w:b/>
          <w:bCs/>
          <w:color w:val="000000" w:themeColor="text1"/>
          <w:sz w:val="22"/>
          <w:szCs w:val="22"/>
          <w:highlight w:val="yellow"/>
        </w:rPr>
      </w:pPr>
    </w:p>
    <w:p w14:paraId="7326715A" w14:textId="77777777" w:rsidR="001D72AF" w:rsidRDefault="001D72AF" w:rsidP="00942BFA">
      <w:pPr>
        <w:spacing w:line="276" w:lineRule="auto"/>
        <w:jc w:val="both"/>
        <w:rPr>
          <w:rFonts w:ascii="Arial" w:hAnsi="Arial" w:cs="Arial"/>
          <w:b/>
          <w:bCs/>
          <w:color w:val="ED0000"/>
          <w:sz w:val="22"/>
          <w:szCs w:val="22"/>
          <w:highlight w:val="yellow"/>
        </w:rPr>
      </w:pPr>
    </w:p>
    <w:sectPr w:rsidR="001D72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6"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7D3C67"/>
    <w:multiLevelType w:val="hybridMultilevel"/>
    <w:tmpl w:val="E3166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5"/>
  </w:num>
  <w:num w:numId="2" w16cid:durableId="1542328013">
    <w:abstractNumId w:val="33"/>
  </w:num>
  <w:num w:numId="3" w16cid:durableId="1037051835">
    <w:abstractNumId w:val="27"/>
  </w:num>
  <w:num w:numId="4" w16cid:durableId="2085175374">
    <w:abstractNumId w:val="12"/>
  </w:num>
  <w:num w:numId="5" w16cid:durableId="1488207918">
    <w:abstractNumId w:val="24"/>
  </w:num>
  <w:num w:numId="6" w16cid:durableId="134420376">
    <w:abstractNumId w:val="32"/>
  </w:num>
  <w:num w:numId="7" w16cid:durableId="182673538">
    <w:abstractNumId w:val="7"/>
  </w:num>
  <w:num w:numId="8" w16cid:durableId="1842088480">
    <w:abstractNumId w:val="0"/>
  </w:num>
  <w:num w:numId="9" w16cid:durableId="509877877">
    <w:abstractNumId w:val="4"/>
  </w:num>
  <w:num w:numId="10" w16cid:durableId="658310686">
    <w:abstractNumId w:val="28"/>
  </w:num>
  <w:num w:numId="11" w16cid:durableId="287931387">
    <w:abstractNumId w:val="30"/>
  </w:num>
  <w:num w:numId="12" w16cid:durableId="1676414609">
    <w:abstractNumId w:val="3"/>
  </w:num>
  <w:num w:numId="13" w16cid:durableId="2065711942">
    <w:abstractNumId w:val="8"/>
  </w:num>
  <w:num w:numId="14" w16cid:durableId="1230995185">
    <w:abstractNumId w:val="14"/>
  </w:num>
  <w:num w:numId="15" w16cid:durableId="1475952472">
    <w:abstractNumId w:val="18"/>
  </w:num>
  <w:num w:numId="16" w16cid:durableId="393045125">
    <w:abstractNumId w:val="11"/>
  </w:num>
  <w:num w:numId="17" w16cid:durableId="187529976">
    <w:abstractNumId w:val="26"/>
  </w:num>
  <w:num w:numId="18" w16cid:durableId="1823306521">
    <w:abstractNumId w:val="19"/>
  </w:num>
  <w:num w:numId="19" w16cid:durableId="1750425246">
    <w:abstractNumId w:val="29"/>
  </w:num>
  <w:num w:numId="20" w16cid:durableId="1619068546">
    <w:abstractNumId w:val="13"/>
  </w:num>
  <w:num w:numId="21" w16cid:durableId="1460490708">
    <w:abstractNumId w:val="20"/>
  </w:num>
  <w:num w:numId="22" w16cid:durableId="6713544">
    <w:abstractNumId w:val="39"/>
  </w:num>
  <w:num w:numId="23" w16cid:durableId="526915288">
    <w:abstractNumId w:val="1"/>
  </w:num>
  <w:num w:numId="24" w16cid:durableId="1486235846">
    <w:abstractNumId w:val="5"/>
  </w:num>
  <w:num w:numId="25" w16cid:durableId="415513684">
    <w:abstractNumId w:val="10"/>
  </w:num>
  <w:num w:numId="26" w16cid:durableId="388576858">
    <w:abstractNumId w:val="9"/>
  </w:num>
  <w:num w:numId="27" w16cid:durableId="1975601811">
    <w:abstractNumId w:val="23"/>
  </w:num>
  <w:num w:numId="28" w16cid:durableId="2039310770">
    <w:abstractNumId w:val="35"/>
  </w:num>
  <w:num w:numId="29" w16cid:durableId="1034232417">
    <w:abstractNumId w:val="6"/>
  </w:num>
  <w:num w:numId="30" w16cid:durableId="2062092020">
    <w:abstractNumId w:val="36"/>
  </w:num>
  <w:num w:numId="31" w16cid:durableId="1933783146">
    <w:abstractNumId w:val="2"/>
  </w:num>
  <w:num w:numId="32" w16cid:durableId="1669286882">
    <w:abstractNumId w:val="22"/>
  </w:num>
  <w:num w:numId="33" w16cid:durableId="1237977669">
    <w:abstractNumId w:val="16"/>
  </w:num>
  <w:num w:numId="34" w16cid:durableId="827013789">
    <w:abstractNumId w:val="21"/>
  </w:num>
  <w:num w:numId="35" w16cid:durableId="1451242110">
    <w:abstractNumId w:val="17"/>
  </w:num>
  <w:num w:numId="36" w16cid:durableId="2004117202">
    <w:abstractNumId w:val="25"/>
  </w:num>
  <w:num w:numId="37" w16cid:durableId="2020037795">
    <w:abstractNumId w:val="38"/>
  </w:num>
  <w:num w:numId="38" w16cid:durableId="2053261774">
    <w:abstractNumId w:val="34"/>
  </w:num>
  <w:num w:numId="39" w16cid:durableId="788477969">
    <w:abstractNumId w:val="37"/>
  </w:num>
  <w:num w:numId="40" w16cid:durableId="2133742636">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81544"/>
    <w:rsid w:val="00091E48"/>
    <w:rsid w:val="00097010"/>
    <w:rsid w:val="000A78E4"/>
    <w:rsid w:val="000B4E91"/>
    <w:rsid w:val="000B711A"/>
    <w:rsid w:val="000C0D1A"/>
    <w:rsid w:val="000C773F"/>
    <w:rsid w:val="000D0858"/>
    <w:rsid w:val="000E1C1C"/>
    <w:rsid w:val="000E3FD8"/>
    <w:rsid w:val="000E59B7"/>
    <w:rsid w:val="000E62BA"/>
    <w:rsid w:val="000F1D49"/>
    <w:rsid w:val="000F2BDF"/>
    <w:rsid w:val="000F6BC1"/>
    <w:rsid w:val="00105DCD"/>
    <w:rsid w:val="00107D4F"/>
    <w:rsid w:val="001171CC"/>
    <w:rsid w:val="001217DE"/>
    <w:rsid w:val="001418E4"/>
    <w:rsid w:val="00151532"/>
    <w:rsid w:val="00157709"/>
    <w:rsid w:val="001778D6"/>
    <w:rsid w:val="001808C6"/>
    <w:rsid w:val="00192C94"/>
    <w:rsid w:val="001A12BE"/>
    <w:rsid w:val="001A33F3"/>
    <w:rsid w:val="001A646C"/>
    <w:rsid w:val="001A7332"/>
    <w:rsid w:val="001B5F96"/>
    <w:rsid w:val="001D247A"/>
    <w:rsid w:val="001D72AF"/>
    <w:rsid w:val="001F3B03"/>
    <w:rsid w:val="00200743"/>
    <w:rsid w:val="00204674"/>
    <w:rsid w:val="00204E4E"/>
    <w:rsid w:val="00211B6E"/>
    <w:rsid w:val="0021435E"/>
    <w:rsid w:val="0021750A"/>
    <w:rsid w:val="00222BAA"/>
    <w:rsid w:val="00224EAF"/>
    <w:rsid w:val="00230405"/>
    <w:rsid w:val="002306DF"/>
    <w:rsid w:val="002319A7"/>
    <w:rsid w:val="00237634"/>
    <w:rsid w:val="002438BB"/>
    <w:rsid w:val="00250212"/>
    <w:rsid w:val="00251EBD"/>
    <w:rsid w:val="002529A4"/>
    <w:rsid w:val="002552D4"/>
    <w:rsid w:val="00262CDC"/>
    <w:rsid w:val="00272FFD"/>
    <w:rsid w:val="00286908"/>
    <w:rsid w:val="0029187E"/>
    <w:rsid w:val="0029208D"/>
    <w:rsid w:val="002920BF"/>
    <w:rsid w:val="002927C8"/>
    <w:rsid w:val="002B0BE1"/>
    <w:rsid w:val="002B1F1C"/>
    <w:rsid w:val="002D0976"/>
    <w:rsid w:val="002D63A7"/>
    <w:rsid w:val="002E4B31"/>
    <w:rsid w:val="003007EC"/>
    <w:rsid w:val="003066D0"/>
    <w:rsid w:val="00307886"/>
    <w:rsid w:val="00312C7F"/>
    <w:rsid w:val="0031650A"/>
    <w:rsid w:val="00316C37"/>
    <w:rsid w:val="00327312"/>
    <w:rsid w:val="00336FA4"/>
    <w:rsid w:val="003440E3"/>
    <w:rsid w:val="003500C7"/>
    <w:rsid w:val="0035216D"/>
    <w:rsid w:val="00352A11"/>
    <w:rsid w:val="0035552D"/>
    <w:rsid w:val="00355C32"/>
    <w:rsid w:val="00356906"/>
    <w:rsid w:val="0036286E"/>
    <w:rsid w:val="003905FB"/>
    <w:rsid w:val="00396481"/>
    <w:rsid w:val="003A6EC0"/>
    <w:rsid w:val="003C606B"/>
    <w:rsid w:val="003D0989"/>
    <w:rsid w:val="003D5959"/>
    <w:rsid w:val="003E23ED"/>
    <w:rsid w:val="003E3AA0"/>
    <w:rsid w:val="00402D5C"/>
    <w:rsid w:val="00421231"/>
    <w:rsid w:val="0043749E"/>
    <w:rsid w:val="0046680F"/>
    <w:rsid w:val="00477CC4"/>
    <w:rsid w:val="004817FB"/>
    <w:rsid w:val="00482421"/>
    <w:rsid w:val="00482DB3"/>
    <w:rsid w:val="004901C5"/>
    <w:rsid w:val="00494F0C"/>
    <w:rsid w:val="004964C2"/>
    <w:rsid w:val="004B4A76"/>
    <w:rsid w:val="004C0337"/>
    <w:rsid w:val="004C11EF"/>
    <w:rsid w:val="004C4FA0"/>
    <w:rsid w:val="004D7CD3"/>
    <w:rsid w:val="004E04CE"/>
    <w:rsid w:val="004F0D91"/>
    <w:rsid w:val="0050022F"/>
    <w:rsid w:val="005138AB"/>
    <w:rsid w:val="00515B1F"/>
    <w:rsid w:val="00520340"/>
    <w:rsid w:val="00520AD9"/>
    <w:rsid w:val="00520C95"/>
    <w:rsid w:val="00523D49"/>
    <w:rsid w:val="00532780"/>
    <w:rsid w:val="00533E0C"/>
    <w:rsid w:val="0054068B"/>
    <w:rsid w:val="00543309"/>
    <w:rsid w:val="005509AC"/>
    <w:rsid w:val="0056292E"/>
    <w:rsid w:val="00562C98"/>
    <w:rsid w:val="005720EC"/>
    <w:rsid w:val="005729CC"/>
    <w:rsid w:val="00587773"/>
    <w:rsid w:val="00590F47"/>
    <w:rsid w:val="005A03A2"/>
    <w:rsid w:val="005D3DE8"/>
    <w:rsid w:val="005D6805"/>
    <w:rsid w:val="005D7496"/>
    <w:rsid w:val="005E3937"/>
    <w:rsid w:val="005E6DFC"/>
    <w:rsid w:val="005E7F49"/>
    <w:rsid w:val="005F3C5A"/>
    <w:rsid w:val="005F4A4B"/>
    <w:rsid w:val="0061252A"/>
    <w:rsid w:val="00635BF0"/>
    <w:rsid w:val="006411AB"/>
    <w:rsid w:val="00643C57"/>
    <w:rsid w:val="00646832"/>
    <w:rsid w:val="006477C7"/>
    <w:rsid w:val="00671BC3"/>
    <w:rsid w:val="00680DA9"/>
    <w:rsid w:val="0068132E"/>
    <w:rsid w:val="00683C17"/>
    <w:rsid w:val="00684637"/>
    <w:rsid w:val="006A65F4"/>
    <w:rsid w:val="006B0308"/>
    <w:rsid w:val="006B2E50"/>
    <w:rsid w:val="006C075B"/>
    <w:rsid w:val="006C77FD"/>
    <w:rsid w:val="006C7831"/>
    <w:rsid w:val="006C7EB1"/>
    <w:rsid w:val="006D5C4E"/>
    <w:rsid w:val="006E2FB7"/>
    <w:rsid w:val="006E3EA6"/>
    <w:rsid w:val="006E5E71"/>
    <w:rsid w:val="006F0799"/>
    <w:rsid w:val="006F1FF0"/>
    <w:rsid w:val="006F5BD9"/>
    <w:rsid w:val="006F5FC1"/>
    <w:rsid w:val="00712625"/>
    <w:rsid w:val="0071451A"/>
    <w:rsid w:val="00722BAC"/>
    <w:rsid w:val="0073177E"/>
    <w:rsid w:val="00744E35"/>
    <w:rsid w:val="0076592F"/>
    <w:rsid w:val="00765BC6"/>
    <w:rsid w:val="00765EEE"/>
    <w:rsid w:val="007702C5"/>
    <w:rsid w:val="00776F23"/>
    <w:rsid w:val="00777ADF"/>
    <w:rsid w:val="007842F1"/>
    <w:rsid w:val="00792776"/>
    <w:rsid w:val="00793E19"/>
    <w:rsid w:val="007A6EC7"/>
    <w:rsid w:val="007E67D4"/>
    <w:rsid w:val="007E6A47"/>
    <w:rsid w:val="007E6DC5"/>
    <w:rsid w:val="007F0006"/>
    <w:rsid w:val="007F548E"/>
    <w:rsid w:val="007F695C"/>
    <w:rsid w:val="0080357A"/>
    <w:rsid w:val="00805896"/>
    <w:rsid w:val="00807170"/>
    <w:rsid w:val="0080760A"/>
    <w:rsid w:val="00820D83"/>
    <w:rsid w:val="00831AC7"/>
    <w:rsid w:val="0083315B"/>
    <w:rsid w:val="008410F1"/>
    <w:rsid w:val="00843E1B"/>
    <w:rsid w:val="008443DE"/>
    <w:rsid w:val="00850833"/>
    <w:rsid w:val="00860FB0"/>
    <w:rsid w:val="008651DA"/>
    <w:rsid w:val="00872700"/>
    <w:rsid w:val="0087695A"/>
    <w:rsid w:val="00883BF4"/>
    <w:rsid w:val="008A026F"/>
    <w:rsid w:val="008A6B33"/>
    <w:rsid w:val="008B0B16"/>
    <w:rsid w:val="008C1C18"/>
    <w:rsid w:val="008E0002"/>
    <w:rsid w:val="008E59DE"/>
    <w:rsid w:val="008F31E0"/>
    <w:rsid w:val="008F5BE4"/>
    <w:rsid w:val="00915793"/>
    <w:rsid w:val="00916070"/>
    <w:rsid w:val="009223E2"/>
    <w:rsid w:val="0092586B"/>
    <w:rsid w:val="00940706"/>
    <w:rsid w:val="00942BFA"/>
    <w:rsid w:val="00943755"/>
    <w:rsid w:val="00951932"/>
    <w:rsid w:val="009613A4"/>
    <w:rsid w:val="00970A8A"/>
    <w:rsid w:val="00977209"/>
    <w:rsid w:val="00977FF8"/>
    <w:rsid w:val="00985E84"/>
    <w:rsid w:val="00994116"/>
    <w:rsid w:val="009C3071"/>
    <w:rsid w:val="009D0560"/>
    <w:rsid w:val="009E1642"/>
    <w:rsid w:val="009F7CA7"/>
    <w:rsid w:val="00A118E7"/>
    <w:rsid w:val="00A16EA1"/>
    <w:rsid w:val="00A26FDC"/>
    <w:rsid w:val="00A313CE"/>
    <w:rsid w:val="00A41153"/>
    <w:rsid w:val="00A55DA1"/>
    <w:rsid w:val="00A57783"/>
    <w:rsid w:val="00A60B16"/>
    <w:rsid w:val="00A64314"/>
    <w:rsid w:val="00A71295"/>
    <w:rsid w:val="00A71C3E"/>
    <w:rsid w:val="00A82351"/>
    <w:rsid w:val="00A8302C"/>
    <w:rsid w:val="00A93638"/>
    <w:rsid w:val="00A95A96"/>
    <w:rsid w:val="00AA3786"/>
    <w:rsid w:val="00AA499E"/>
    <w:rsid w:val="00AD41EB"/>
    <w:rsid w:val="00AE1C41"/>
    <w:rsid w:val="00AE43ED"/>
    <w:rsid w:val="00AE50C3"/>
    <w:rsid w:val="00AF45AE"/>
    <w:rsid w:val="00B0100C"/>
    <w:rsid w:val="00B0278F"/>
    <w:rsid w:val="00B0553C"/>
    <w:rsid w:val="00B3025F"/>
    <w:rsid w:val="00B32039"/>
    <w:rsid w:val="00B341CC"/>
    <w:rsid w:val="00B3537D"/>
    <w:rsid w:val="00B445BE"/>
    <w:rsid w:val="00B45C5F"/>
    <w:rsid w:val="00B56EE9"/>
    <w:rsid w:val="00B65B2D"/>
    <w:rsid w:val="00B709E5"/>
    <w:rsid w:val="00B75EF9"/>
    <w:rsid w:val="00B81A07"/>
    <w:rsid w:val="00B913B9"/>
    <w:rsid w:val="00B91F7C"/>
    <w:rsid w:val="00B966AA"/>
    <w:rsid w:val="00BB182D"/>
    <w:rsid w:val="00BB696C"/>
    <w:rsid w:val="00BC251D"/>
    <w:rsid w:val="00BC3471"/>
    <w:rsid w:val="00BC3F9A"/>
    <w:rsid w:val="00BD0FBB"/>
    <w:rsid w:val="00BD52EF"/>
    <w:rsid w:val="00BE6683"/>
    <w:rsid w:val="00BF3DAA"/>
    <w:rsid w:val="00BF4BAB"/>
    <w:rsid w:val="00C00DEB"/>
    <w:rsid w:val="00C15984"/>
    <w:rsid w:val="00C17930"/>
    <w:rsid w:val="00C23F4E"/>
    <w:rsid w:val="00C34DE4"/>
    <w:rsid w:val="00C57041"/>
    <w:rsid w:val="00C60643"/>
    <w:rsid w:val="00C760C4"/>
    <w:rsid w:val="00C842B0"/>
    <w:rsid w:val="00C84F57"/>
    <w:rsid w:val="00C92452"/>
    <w:rsid w:val="00C9270C"/>
    <w:rsid w:val="00C94E4A"/>
    <w:rsid w:val="00C97012"/>
    <w:rsid w:val="00CC51B9"/>
    <w:rsid w:val="00CE6A75"/>
    <w:rsid w:val="00CF2835"/>
    <w:rsid w:val="00CF6393"/>
    <w:rsid w:val="00CF67E2"/>
    <w:rsid w:val="00D030B2"/>
    <w:rsid w:val="00D101B5"/>
    <w:rsid w:val="00D12140"/>
    <w:rsid w:val="00D14841"/>
    <w:rsid w:val="00D3111E"/>
    <w:rsid w:val="00D428D4"/>
    <w:rsid w:val="00D433B9"/>
    <w:rsid w:val="00D45219"/>
    <w:rsid w:val="00D47BE0"/>
    <w:rsid w:val="00D60FF7"/>
    <w:rsid w:val="00D662F9"/>
    <w:rsid w:val="00D859CC"/>
    <w:rsid w:val="00D861D1"/>
    <w:rsid w:val="00D902FA"/>
    <w:rsid w:val="00DA3A4D"/>
    <w:rsid w:val="00DB2721"/>
    <w:rsid w:val="00DC0C8A"/>
    <w:rsid w:val="00DD1AF1"/>
    <w:rsid w:val="00DE1F7D"/>
    <w:rsid w:val="00DE4A40"/>
    <w:rsid w:val="00DF3CCE"/>
    <w:rsid w:val="00E016EF"/>
    <w:rsid w:val="00E02115"/>
    <w:rsid w:val="00E03670"/>
    <w:rsid w:val="00E03EDD"/>
    <w:rsid w:val="00E058EC"/>
    <w:rsid w:val="00E11FBD"/>
    <w:rsid w:val="00E15D98"/>
    <w:rsid w:val="00E21FC2"/>
    <w:rsid w:val="00E24994"/>
    <w:rsid w:val="00E35059"/>
    <w:rsid w:val="00E3526F"/>
    <w:rsid w:val="00E42E64"/>
    <w:rsid w:val="00E45584"/>
    <w:rsid w:val="00E467D5"/>
    <w:rsid w:val="00E70D98"/>
    <w:rsid w:val="00E73668"/>
    <w:rsid w:val="00E75744"/>
    <w:rsid w:val="00E76079"/>
    <w:rsid w:val="00E87BE7"/>
    <w:rsid w:val="00EA19AA"/>
    <w:rsid w:val="00EA2F0D"/>
    <w:rsid w:val="00EA523D"/>
    <w:rsid w:val="00EA7C50"/>
    <w:rsid w:val="00EB3E5C"/>
    <w:rsid w:val="00EC2E4E"/>
    <w:rsid w:val="00EC3964"/>
    <w:rsid w:val="00EC5090"/>
    <w:rsid w:val="00ED33CD"/>
    <w:rsid w:val="00ED6A98"/>
    <w:rsid w:val="00ED79C7"/>
    <w:rsid w:val="00EE41D6"/>
    <w:rsid w:val="00EE4A23"/>
    <w:rsid w:val="00EE5C03"/>
    <w:rsid w:val="00EE6040"/>
    <w:rsid w:val="00EE7C23"/>
    <w:rsid w:val="00F005A4"/>
    <w:rsid w:val="00F02C87"/>
    <w:rsid w:val="00F064D8"/>
    <w:rsid w:val="00F124BA"/>
    <w:rsid w:val="00F1263F"/>
    <w:rsid w:val="00F139F4"/>
    <w:rsid w:val="00F14D13"/>
    <w:rsid w:val="00F15A23"/>
    <w:rsid w:val="00F17B9F"/>
    <w:rsid w:val="00F2151B"/>
    <w:rsid w:val="00F22872"/>
    <w:rsid w:val="00F23742"/>
    <w:rsid w:val="00F2477F"/>
    <w:rsid w:val="00F3259B"/>
    <w:rsid w:val="00F34011"/>
    <w:rsid w:val="00F37FAD"/>
    <w:rsid w:val="00F514A2"/>
    <w:rsid w:val="00F67579"/>
    <w:rsid w:val="00F7017C"/>
    <w:rsid w:val="00F75933"/>
    <w:rsid w:val="00F7609E"/>
    <w:rsid w:val="00F801C2"/>
    <w:rsid w:val="00F81518"/>
    <w:rsid w:val="00F81970"/>
    <w:rsid w:val="00F82EB0"/>
    <w:rsid w:val="00F850DD"/>
    <w:rsid w:val="00F86303"/>
    <w:rsid w:val="00FB0D95"/>
    <w:rsid w:val="00FC7067"/>
    <w:rsid w:val="00FD05E3"/>
    <w:rsid w:val="00FD1936"/>
    <w:rsid w:val="00FD3E4B"/>
    <w:rsid w:val="00FD3EAD"/>
    <w:rsid w:val="00FD4FDF"/>
    <w:rsid w:val="00FD64A0"/>
    <w:rsid w:val="00FE063C"/>
    <w:rsid w:val="00FF52F0"/>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CCE31"/>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13</Pages>
  <Words>5039</Words>
  <Characters>28726</Characters>
  <Application>Microsoft Office Word</Application>
  <DocSecurity>0</DocSecurity>
  <Lines>239</Lines>
  <Paragraphs>67</Paragraphs>
  <ScaleCrop>false</ScaleCrop>
  <Company/>
  <LinksUpToDate>false</LinksUpToDate>
  <CharactersWithSpaces>33698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salesforceId:e53182e5-a991-42cd-b506-e10add74164c</dc:subject>
  <dc:creator>O'Donoghue, Ruaridh</dc:creator>
  <cp:keywords/>
  <dc:description/>
  <cp:lastModifiedBy>Smith, Adrian</cp:lastModifiedBy>
  <cp:revision>6</cp:revision>
  <dcterms:created xsi:type="dcterms:W3CDTF">2026-06-09T09:58:00Z</dcterms:created>
  <dcterms:modified xsi:type="dcterms:W3CDTF">2026-06-09T12:15:00Z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069Q300000P3gu8IAB</vt:lpwstr>
  </property>
</Properties>
</file>