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F26B" w14:textId="2347388F" w:rsidR="00B406DC" w:rsidRDefault="00D97FCF" w:rsidP="00B406DC">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 xml:space="preserve"> </w:t>
      </w:r>
      <w:r w:rsidR="00B406DC" w:rsidRPr="00097010">
        <w:rPr>
          <w:rFonts w:ascii="Arial" w:eastAsia="Times New Roman" w:hAnsi="Arial" w:cs="Arial"/>
          <w:b/>
          <w:bCs/>
          <w:kern w:val="0"/>
          <w:sz w:val="28"/>
          <w:szCs w:val="28"/>
          <w:lang w:eastAsia="en-GB"/>
          <w14:ligatures w14:val="none"/>
        </w:rPr>
        <w:t xml:space="preserve">APPLICATION FOR </w:t>
      </w:r>
      <w:r w:rsidR="00B406DC">
        <w:rPr>
          <w:rFonts w:ascii="Arial" w:eastAsia="Times New Roman" w:hAnsi="Arial" w:cs="Arial"/>
          <w:b/>
          <w:bCs/>
          <w:kern w:val="0"/>
          <w:sz w:val="28"/>
          <w:szCs w:val="28"/>
          <w:lang w:eastAsia="en-GB"/>
          <w14:ligatures w14:val="none"/>
        </w:rPr>
        <w:t xml:space="preserve">A </w:t>
      </w:r>
      <w:r w:rsidR="00B406DC" w:rsidRPr="00B406DC">
        <w:rPr>
          <w:rFonts w:ascii="Arial" w:eastAsia="Times New Roman" w:hAnsi="Arial" w:cs="Arial"/>
          <w:b/>
          <w:bCs/>
          <w:kern w:val="0"/>
          <w:sz w:val="28"/>
          <w:szCs w:val="28"/>
          <w:lang w:eastAsia="en-GB"/>
          <w14:ligatures w14:val="none"/>
        </w:rPr>
        <w:t>CERTIFICATE OF LAWFULNESS FOR EXISTING USE OR DEVELOPMENT</w:t>
      </w:r>
    </w:p>
    <w:p w14:paraId="4B984396"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10206" w:type="dxa"/>
        <w:tblLook w:val="04A0" w:firstRow="1" w:lastRow="0" w:firstColumn="1" w:lastColumn="0" w:noHBand="0" w:noVBand="1"/>
      </w:tblPr>
      <w:tblGrid>
        <w:gridCol w:w="3681"/>
        <w:gridCol w:w="6525"/>
      </w:tblGrid>
      <w:tr w:rsidR="00EC0B52" w14:paraId="703AC64A" w14:textId="77777777" w:rsidTr="00CF52EF">
        <w:trPr>
          <w:trHeight w:hRule="exact" w:val="20"/>
        </w:trPr>
        <w:tc>
          <w:tcPr>
            <w:tcW w:w="3681" w:type="dxa"/>
            <w:tcBorders>
              <w:top w:val="nil"/>
              <w:left w:val="nil"/>
              <w:bottom w:val="nil"/>
              <w:right w:val="nil"/>
            </w:tcBorders>
          </w:tcPr>
          <w:p w14:paraId="139E208A" w14:textId="77777777" w:rsidR="00EC0B52" w:rsidRDefault="00EC0B52">
            <w:pPr>
              <w:rPr>
                <w:sz w:val="2"/>
              </w:rPr>
            </w:pPr>
            <w:bookmarkStart w:id="0" w:name="_d599559d_9ce5_4016_a568_c3b344c98148"/>
            <w:bookmarkStart w:id="1" w:name="_c285095f_dd16_474b_9a0c_3d1e85ce4bdd"/>
            <w:bookmarkEnd w:id="1"/>
          </w:p>
        </w:tc>
        <w:tc>
          <w:tcPr>
            <w:tcW w:w="6525" w:type="dxa"/>
            <w:tcBorders>
              <w:top w:val="nil"/>
              <w:left w:val="nil"/>
              <w:bottom w:val="nil"/>
              <w:right w:val="nil"/>
            </w:tcBorders>
          </w:tcPr>
          <w:p w14:paraId="345306DB" w14:textId="77777777" w:rsidR="00EC0B52" w:rsidRDefault="00EC0B52">
            <w:pPr>
              <w:rPr>
                <w:sz w:val="2"/>
              </w:rPr>
            </w:pPr>
          </w:p>
        </w:tc>
      </w:tr>
      <w:tr w:rsidR="00135B86" w14:paraId="2F3C26C2" w14:textId="77777777" w:rsidTr="00CF52EF">
        <w:tc>
          <w:tcPr>
            <w:tcW w:w="3681" w:type="dxa"/>
          </w:tcPr>
          <w:p w14:paraId="19D5F0B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6525" w:type="dxa"/>
          </w:tcPr>
          <w:p w14:paraId="3F8011EA" w14:textId="67340C0F"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PL/2026/01395</w:t>
            </w:r>
          </w:p>
        </w:tc>
      </w:tr>
      <w:tr w:rsidR="00135B86" w14:paraId="19289331" w14:textId="77777777" w:rsidTr="00CF52EF">
        <w:tc>
          <w:tcPr>
            <w:tcW w:w="3681" w:type="dxa"/>
          </w:tcPr>
          <w:p w14:paraId="31A7B7C5"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6525" w:type="dxa"/>
          </w:tcPr>
          <w:p w14:paraId="0A41CB80" w14:textId="0191ED26"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Existing use</w:t>
            </w:r>
          </w:p>
        </w:tc>
      </w:tr>
      <w:tr w:rsidR="00135B86" w14:paraId="18F00B2D" w14:textId="77777777" w:rsidTr="00CF52EF">
        <w:tc>
          <w:tcPr>
            <w:tcW w:w="3681" w:type="dxa"/>
          </w:tcPr>
          <w:p w14:paraId="44A3804A"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6525" w:type="dxa"/>
          </w:tcPr>
          <w:p w14:paraId="4F7D6748" w14:textId="4A74F9D5"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6 THE DOWN, TROWBRIDGE, BA14 8QW</w:t>
            </w:r>
          </w:p>
        </w:tc>
      </w:tr>
      <w:tr w:rsidR="00135B86" w14:paraId="068DC43E" w14:textId="77777777" w:rsidTr="00CF52EF">
        <w:tc>
          <w:tcPr>
            <w:tcW w:w="3681" w:type="dxa"/>
          </w:tcPr>
          <w:p w14:paraId="4BE984E7"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6525" w:type="dxa"/>
          </w:tcPr>
          <w:p w14:paraId="589C7DAA" w14:textId="4BE275D6" w:rsidR="00135B86" w:rsidRPr="00AA1A1C" w:rsidRDefault="003A25FE" w:rsidP="00135B86">
            <w:pPr>
              <w:spacing w:before="100" w:beforeAutospacing="1" w:after="100" w:afterAutospacing="1" w:line="276" w:lineRule="auto"/>
              <w:rPr>
                <w:rFonts w:ascii="Arial" w:eastAsia="Times New Roman" w:hAnsi="Arial" w:cs="Arial"/>
                <w:kern w:val="0"/>
                <w:sz w:val="22"/>
                <w:szCs w:val="22"/>
                <w:lang w:eastAsia="en-GB"/>
                <w14:ligatures w14:val="none"/>
              </w:rPr>
            </w:pPr>
            <w:r w:rsidRPr="00AA1A1C">
              <w:rPr>
                <w:rFonts w:ascii="Arial" w:eastAsia="Times New Roman" w:hAnsi="Arial" w:cs="Arial"/>
                <w:kern w:val="0"/>
                <w:sz w:val="22"/>
                <w:szCs w:val="22"/>
                <w:lang w:eastAsia="en-GB"/>
                <w14:ligatures w14:val="none"/>
              </w:rPr>
              <w:t>Lawful Development Certificate for an existing roof terrace</w:t>
            </w:r>
          </w:p>
        </w:tc>
      </w:tr>
      <w:tr w:rsidR="00135B86" w14:paraId="66D0931B" w14:textId="77777777" w:rsidTr="00CF52EF">
        <w:tc>
          <w:tcPr>
            <w:tcW w:w="3681" w:type="dxa"/>
          </w:tcPr>
          <w:p w14:paraId="07AE3E11" w14:textId="77777777" w:rsidR="00135B86" w:rsidRDefault="00135B86" w:rsidP="00135B86">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6525" w:type="dxa"/>
          </w:tcPr>
          <w:p w14:paraId="5CA2A63E" w14:textId="6300E524" w:rsidR="00135B86" w:rsidRPr="0088270E" w:rsidRDefault="0088270E" w:rsidP="00135B86">
            <w:pPr>
              <w:spacing w:line="276" w:lineRule="auto"/>
              <w:rPr>
                <w:rFonts w:ascii="Arial" w:eastAsia="Times New Roman" w:hAnsi="Arial" w:cs="Arial"/>
                <w:b/>
                <w:bCs/>
                <w:kern w:val="0"/>
                <w:sz w:val="22"/>
                <w:szCs w:val="22"/>
                <w:lang w:eastAsia="en-GB"/>
                <w14:ligatures w14:val="none"/>
              </w:rPr>
            </w:pPr>
            <w:r w:rsidRPr="0088270E">
              <w:rPr>
                <w:rFonts w:ascii="Arial" w:hAnsi="Arial" w:cs="Arial"/>
                <w:b/>
                <w:bCs/>
                <w:color w:val="000000" w:themeColor="text1"/>
                <w:sz w:val="22"/>
                <w:szCs w:val="22"/>
              </w:rPr>
              <w:t>That a Certificate of Lawfulness for Existing Development be granted</w:t>
            </w:r>
          </w:p>
        </w:tc>
      </w:tr>
      <w:bookmarkEnd w:id="0"/>
    </w:tbl>
    <w:p w14:paraId="42020302" w14:textId="77777777" w:rsidR="00B406DC" w:rsidRDefault="00B406DC" w:rsidP="00A309C8">
      <w:pPr>
        <w:spacing w:after="0" w:line="276" w:lineRule="auto"/>
        <w:jc w:val="both"/>
        <w:rPr>
          <w:rFonts w:ascii="Arial" w:hAnsi="Arial" w:cs="Arial"/>
          <w:b/>
          <w:bCs/>
          <w:sz w:val="22"/>
          <w:szCs w:val="22"/>
        </w:rPr>
      </w:pPr>
    </w:p>
    <w:p w14:paraId="1B487C6F" w14:textId="437A0AD1" w:rsidR="00663E1B" w:rsidRDefault="00663E1B" w:rsidP="00663E1B">
      <w:pPr>
        <w:spacing w:after="0" w:line="276" w:lineRule="auto"/>
        <w:jc w:val="center"/>
        <w:rPr>
          <w:rFonts w:ascii="Arial" w:hAnsi="Arial" w:cs="Arial"/>
          <w:b/>
          <w:bCs/>
          <w:sz w:val="22"/>
          <w:szCs w:val="22"/>
        </w:rPr>
      </w:pPr>
      <w:r w:rsidRPr="00663E1B">
        <w:rPr>
          <w:rFonts w:ascii="Arial" w:hAnsi="Arial" w:cs="Arial"/>
          <w:b/>
          <w:bCs/>
          <w:noProof/>
          <w:sz w:val="22"/>
          <w:szCs w:val="22"/>
        </w:rPr>
        <w:drawing>
          <wp:inline distT="0" distB="0" distL="0" distR="0" wp14:anchorId="3BFDBC15" wp14:editId="0D72BD4A">
            <wp:extent cx="2972557" cy="2324100"/>
            <wp:effectExtent l="0" t="0" r="0" b="0"/>
            <wp:docPr id="1251369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369886" name=""/>
                    <pic:cNvPicPr/>
                  </pic:nvPicPr>
                  <pic:blipFill>
                    <a:blip r:embed="rId10"/>
                    <a:stretch>
                      <a:fillRect/>
                    </a:stretch>
                  </pic:blipFill>
                  <pic:spPr>
                    <a:xfrm>
                      <a:off x="0" y="0"/>
                      <a:ext cx="2987818" cy="2336032"/>
                    </a:xfrm>
                    <a:prstGeom prst="rect">
                      <a:avLst/>
                    </a:prstGeom>
                  </pic:spPr>
                </pic:pic>
              </a:graphicData>
            </a:graphic>
          </wp:inline>
        </w:drawing>
      </w:r>
    </w:p>
    <w:p w14:paraId="468FDCFC" w14:textId="77777777" w:rsidR="00663E1B" w:rsidRPr="00A309C8" w:rsidRDefault="00663E1B" w:rsidP="00A309C8">
      <w:pPr>
        <w:spacing w:after="0" w:line="276" w:lineRule="auto"/>
        <w:jc w:val="both"/>
        <w:rPr>
          <w:rFonts w:ascii="Arial" w:hAnsi="Arial" w:cs="Arial"/>
          <w:b/>
          <w:bCs/>
          <w:sz w:val="22"/>
          <w:szCs w:val="22"/>
        </w:rPr>
      </w:pPr>
    </w:p>
    <w:p w14:paraId="1461D814" w14:textId="7907B031" w:rsidR="00A309C8" w:rsidRDefault="00A46199" w:rsidP="00A309C8">
      <w:pPr>
        <w:spacing w:after="0" w:line="276" w:lineRule="auto"/>
        <w:jc w:val="both"/>
        <w:rPr>
          <w:rFonts w:ascii="Arial" w:hAnsi="Arial" w:cs="Arial"/>
          <w:b/>
          <w:bCs/>
          <w:sz w:val="22"/>
          <w:szCs w:val="22"/>
        </w:rPr>
      </w:pPr>
      <w:r>
        <w:rPr>
          <w:rFonts w:ascii="Arial" w:hAnsi="Arial" w:cs="Arial"/>
          <w:b/>
          <w:bCs/>
          <w:sz w:val="22"/>
          <w:szCs w:val="22"/>
        </w:rPr>
        <w:t xml:space="preserve">SITE DESCRIPTION AND </w:t>
      </w:r>
      <w:r w:rsidR="00CD73AA" w:rsidRPr="00A309C8">
        <w:rPr>
          <w:rFonts w:ascii="Arial" w:hAnsi="Arial" w:cs="Arial"/>
          <w:b/>
          <w:bCs/>
          <w:sz w:val="22"/>
          <w:szCs w:val="22"/>
        </w:rPr>
        <w:t>PROPOSAL</w:t>
      </w:r>
    </w:p>
    <w:p w14:paraId="66DFCCBD" w14:textId="77777777" w:rsidR="002B1134" w:rsidRPr="00A309C8" w:rsidRDefault="002B1134" w:rsidP="00A309C8">
      <w:pPr>
        <w:spacing w:after="0" w:line="276" w:lineRule="auto"/>
        <w:jc w:val="both"/>
        <w:rPr>
          <w:rFonts w:ascii="Arial" w:hAnsi="Arial" w:cs="Arial"/>
          <w:b/>
          <w:bCs/>
          <w:sz w:val="22"/>
          <w:szCs w:val="22"/>
        </w:rPr>
      </w:pPr>
    </w:p>
    <w:p w14:paraId="675DEDDE" w14:textId="58D4D7CD" w:rsidR="002B1134" w:rsidRDefault="002B1134" w:rsidP="002B1134">
      <w:pPr>
        <w:spacing w:after="0" w:line="276" w:lineRule="auto"/>
        <w:jc w:val="both"/>
        <w:rPr>
          <w:rFonts w:ascii="Arial" w:hAnsi="Arial" w:cs="Arial"/>
          <w:sz w:val="22"/>
          <w:szCs w:val="22"/>
        </w:rPr>
      </w:pPr>
      <w:r w:rsidRPr="002B1134">
        <w:rPr>
          <w:rFonts w:ascii="Arial" w:hAnsi="Arial" w:cs="Arial"/>
          <w:sz w:val="22"/>
          <w:szCs w:val="22"/>
        </w:rPr>
        <w:t>This application is for a Certificate of Lawfulness for an Existing Use or Development (CLUED) under Section 191 of the Town and Country Planning Act 1990 (as amended). The applicant seeks to establish the lawfulness of the construction and use of a roof terrace above an existing kitchen extension</w:t>
      </w:r>
      <w:r w:rsidR="008D0C20">
        <w:rPr>
          <w:rFonts w:ascii="Arial" w:hAnsi="Arial" w:cs="Arial"/>
          <w:sz w:val="22"/>
          <w:szCs w:val="22"/>
        </w:rPr>
        <w:t>,</w:t>
      </w:r>
      <w:r w:rsidRPr="002B1134">
        <w:rPr>
          <w:rFonts w:ascii="Arial" w:hAnsi="Arial" w:cs="Arial"/>
          <w:sz w:val="22"/>
          <w:szCs w:val="22"/>
        </w:rPr>
        <w:t xml:space="preserve"> which has been in operation at the site since summer 2020. The application relates to operational development comprising the formation of a roof terrace, including associated structures such as built-in seating and external access, used for purposes incidental to the residential use of the dwellinghouse.</w:t>
      </w:r>
    </w:p>
    <w:p w14:paraId="6F22CEC4" w14:textId="77777777" w:rsidR="002B1134" w:rsidRPr="002B1134" w:rsidRDefault="002B1134" w:rsidP="002B1134">
      <w:pPr>
        <w:spacing w:after="0" w:line="276" w:lineRule="auto"/>
        <w:jc w:val="both"/>
        <w:rPr>
          <w:rFonts w:ascii="Arial" w:hAnsi="Arial" w:cs="Arial"/>
          <w:sz w:val="22"/>
          <w:szCs w:val="22"/>
        </w:rPr>
      </w:pPr>
    </w:p>
    <w:p w14:paraId="197B4C6F" w14:textId="77777777" w:rsidR="002B1134" w:rsidRPr="002B1134" w:rsidRDefault="002B1134" w:rsidP="002B1134">
      <w:pPr>
        <w:spacing w:after="0" w:line="276" w:lineRule="auto"/>
        <w:jc w:val="both"/>
        <w:rPr>
          <w:rFonts w:ascii="Arial" w:hAnsi="Arial" w:cs="Arial"/>
          <w:sz w:val="22"/>
          <w:szCs w:val="22"/>
        </w:rPr>
      </w:pPr>
      <w:r w:rsidRPr="002B1134">
        <w:rPr>
          <w:rFonts w:ascii="Arial" w:hAnsi="Arial" w:cs="Arial"/>
          <w:sz w:val="22"/>
          <w:szCs w:val="22"/>
        </w:rPr>
        <w:t>The application site relates to a residential property at 6 The Down, Trowbridge. The roof terrace is positioned above an existing kitchen extension and is accessed via an external staircase. The applicant states that the terrace was substantially completed in summer 2020, with additional minor works undertaken later in 2020 and a small alteration in 2023, and that it has been used continuously since that time for incidental residential purposes. The submission is supported by dated photographs and third-party statements attesting to the terrace’s continued presence and use. There is no relevant planning history identified for the construction of the terrace or associated works.</w:t>
      </w:r>
    </w:p>
    <w:p w14:paraId="3064F349" w14:textId="3D2184CF" w:rsidR="001A6D70" w:rsidRDefault="001A6D70" w:rsidP="00770B39">
      <w:pPr>
        <w:spacing w:after="0" w:line="276" w:lineRule="auto"/>
        <w:jc w:val="both"/>
        <w:rPr>
          <w:rFonts w:ascii="Arial" w:hAnsi="Arial" w:cs="Arial"/>
          <w:sz w:val="22"/>
          <w:szCs w:val="22"/>
        </w:rPr>
      </w:pPr>
    </w:p>
    <w:p w14:paraId="5C9B212D" w14:textId="383346C1" w:rsidR="00FB3BA4" w:rsidRPr="003B575C" w:rsidRDefault="00FB3BA4" w:rsidP="003B575C">
      <w:pPr>
        <w:spacing w:after="0" w:line="276" w:lineRule="auto"/>
        <w:jc w:val="both"/>
        <w:rPr>
          <w:rFonts w:ascii="Arial" w:eastAsia="Times New Roman" w:hAnsi="Arial" w:cs="Arial"/>
          <w:color w:val="FF0000"/>
          <w:kern w:val="0"/>
          <w:sz w:val="22"/>
          <w:szCs w:val="22"/>
          <w:lang w:eastAsia="en-GB"/>
          <w14:ligatures w14:val="none"/>
        </w:rPr>
      </w:pPr>
      <w:r w:rsidRPr="003B575C">
        <w:rPr>
          <w:rFonts w:ascii="Arial" w:eastAsia="Times New Roman" w:hAnsi="Arial" w:cs="Arial"/>
          <w:b/>
          <w:bCs/>
          <w:kern w:val="0"/>
          <w:sz w:val="22"/>
          <w:szCs w:val="22"/>
          <w:lang w:eastAsia="en-GB"/>
          <w14:ligatures w14:val="none"/>
        </w:rPr>
        <w:t>RELEVANT LEGISLATION</w:t>
      </w:r>
      <w:r w:rsidR="002B37CB" w:rsidRPr="003B575C">
        <w:rPr>
          <w:rFonts w:ascii="Arial" w:eastAsia="Times New Roman" w:hAnsi="Arial" w:cs="Arial"/>
          <w:b/>
          <w:bCs/>
          <w:kern w:val="0"/>
          <w:sz w:val="22"/>
          <w:szCs w:val="22"/>
          <w:lang w:eastAsia="en-GB"/>
          <w14:ligatures w14:val="none"/>
        </w:rPr>
        <w:t xml:space="preserve"> AND CONSIDERATIONS </w:t>
      </w:r>
    </w:p>
    <w:p w14:paraId="4E4DD386" w14:textId="77777777" w:rsidR="002755EC" w:rsidRPr="003B575C" w:rsidRDefault="002755EC" w:rsidP="003B575C">
      <w:pPr>
        <w:pStyle w:val="Report"/>
        <w:numPr>
          <w:ilvl w:val="0"/>
          <w:numId w:val="0"/>
        </w:numPr>
        <w:spacing w:before="0" w:line="276" w:lineRule="auto"/>
        <w:rPr>
          <w:b/>
          <w:sz w:val="22"/>
          <w:szCs w:val="22"/>
        </w:rPr>
      </w:pPr>
    </w:p>
    <w:p w14:paraId="0E2F433D" w14:textId="72418699"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statutory framework governing Certificates of Lawfulness for Existing Use or Development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 xml:space="preserve">D) is primarily set out in Section 191(2) of the Town and Country Planning Act 1990 (as amended). This section establishes that "lawful development" refers to development against which no enforcement action </w:t>
      </w:r>
      <w:r w:rsidRPr="009C49AA">
        <w:rPr>
          <w:rFonts w:ascii="Arial" w:eastAsia="Times New Roman" w:hAnsi="Arial" w:cs="Arial"/>
          <w:kern w:val="0"/>
          <w:sz w:val="22"/>
          <w:szCs w:val="22"/>
          <w:lang w:eastAsia="en-GB"/>
          <w14:ligatures w14:val="none"/>
        </w:rPr>
        <w:lastRenderedPageBreak/>
        <w:t>may be taken and where no enforcement notice is in force, or development for which planning permission is not required.</w:t>
      </w:r>
    </w:p>
    <w:p w14:paraId="2462EC49"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5CDACE86" w14:textId="28D82024" w:rsidR="00117D9F" w:rsidRPr="001502A0"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Section 191(4) of the Town and Country Planning Act 1990 (as amended) further stipulates that a Local Planning Authority (LPA) shall issue a Certificate of Lawfulness upon request, provided that, on the balance of probabilities, the LPA is satisfied that the existing development or use described in the application is lawful.</w:t>
      </w:r>
      <w:r w:rsidR="001502A0">
        <w:rPr>
          <w:rFonts w:ascii="Arial" w:eastAsia="Times New Roman" w:hAnsi="Arial" w:cs="Arial"/>
          <w:kern w:val="0"/>
          <w:sz w:val="22"/>
          <w:szCs w:val="22"/>
          <w:lang w:eastAsia="en-GB"/>
          <w14:ligatures w14:val="none"/>
        </w:rPr>
        <w:t xml:space="preserve"> </w:t>
      </w:r>
      <w:r w:rsidR="00117D9F" w:rsidRPr="001502A0">
        <w:rPr>
          <w:rFonts w:ascii="Arial" w:hAnsi="Arial" w:cs="Arial"/>
          <w:sz w:val="22"/>
          <w:szCs w:val="22"/>
        </w:rPr>
        <w:t>The time limits for taking enforcement action are set out in s171B of the Act.</w:t>
      </w:r>
    </w:p>
    <w:p w14:paraId="2338C76E"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5997D0AA" w14:textId="00F5382A" w:rsid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 xml:space="preserve">The Planning Practice Guidance (PPG) on </w:t>
      </w:r>
      <w:hyperlink r:id="rId11" w:history="1">
        <w:r w:rsidR="006868DB">
          <w:rPr>
            <w:rStyle w:val="Hyperlink"/>
            <w:rFonts w:ascii="Arial" w:eastAsia="Times New Roman" w:hAnsi="Arial" w:cs="Arial"/>
            <w:kern w:val="0"/>
            <w:sz w:val="22"/>
            <w:szCs w:val="22"/>
            <w:lang w:eastAsia="en-GB"/>
            <w14:ligatures w14:val="none"/>
          </w:rPr>
          <w:t>Lawful development certificates</w:t>
        </w:r>
      </w:hyperlink>
      <w:r w:rsidR="003610E6" w:rsidRPr="003610E6">
        <w:rPr>
          <w:rFonts w:ascii="Arial" w:eastAsia="Times New Roman" w:hAnsi="Arial" w:cs="Arial"/>
          <w:kern w:val="0"/>
          <w:sz w:val="22"/>
          <w:szCs w:val="22"/>
          <w:lang w:eastAsia="en-GB"/>
          <w14:ligatures w14:val="none"/>
        </w:rPr>
        <w:t xml:space="preserve"> </w:t>
      </w:r>
      <w:r w:rsidRPr="009C49AA">
        <w:rPr>
          <w:rFonts w:ascii="Arial" w:eastAsia="Times New Roman" w:hAnsi="Arial" w:cs="Arial"/>
          <w:kern w:val="0"/>
          <w:sz w:val="22"/>
          <w:szCs w:val="22"/>
          <w:lang w:eastAsia="en-GB"/>
          <w14:ligatures w14:val="none"/>
        </w:rPr>
        <w:t xml:space="preserve">clarifies that the burden of proof lies with the applicant. It is the applicant's responsibility to provide sufficiently clear, precise, and unambiguous evidence to demonstrate the lawfulness of the existing development or use. </w:t>
      </w:r>
    </w:p>
    <w:p w14:paraId="386B19BB" w14:textId="77777777" w:rsidR="001D191F" w:rsidRPr="009C49AA" w:rsidRDefault="001D191F" w:rsidP="003B575C">
      <w:pPr>
        <w:spacing w:after="0" w:line="276" w:lineRule="auto"/>
        <w:jc w:val="both"/>
        <w:rPr>
          <w:rFonts w:ascii="Arial" w:eastAsia="Times New Roman" w:hAnsi="Arial" w:cs="Arial"/>
          <w:kern w:val="0"/>
          <w:sz w:val="22"/>
          <w:szCs w:val="22"/>
          <w:lang w:eastAsia="en-GB"/>
          <w14:ligatures w14:val="none"/>
        </w:rPr>
      </w:pPr>
    </w:p>
    <w:p w14:paraId="0F49E41E" w14:textId="77777777" w:rsidR="00CA38DB" w:rsidRDefault="009C49AA" w:rsidP="00CA38DB">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In considering whether the use or development has become immune from enforcement action, the test for granting a Certificate of Lawfulness is whether, on the balance of probabilities</w:t>
      </w:r>
      <w:r w:rsidR="00444BF3">
        <w:rPr>
          <w:rFonts w:ascii="Arial" w:eastAsia="Times New Roman" w:hAnsi="Arial" w:cs="Arial"/>
          <w:kern w:val="0"/>
          <w:sz w:val="22"/>
          <w:szCs w:val="22"/>
          <w:lang w:eastAsia="en-GB"/>
          <w14:ligatures w14:val="none"/>
        </w:rPr>
        <w:t>:</w:t>
      </w:r>
    </w:p>
    <w:p w14:paraId="7C1474A8" w14:textId="0E33DC6B" w:rsidR="00CA38DB"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 xml:space="preserve">the </w:t>
      </w:r>
      <w:r w:rsidR="00CA38DB" w:rsidRPr="00FD00B8">
        <w:rPr>
          <w:rFonts w:ascii="Arial" w:eastAsia="Times New Roman" w:hAnsi="Arial" w:cs="Arial"/>
          <w:kern w:val="0"/>
          <w:sz w:val="22"/>
          <w:szCs w:val="22"/>
          <w:lang w:eastAsia="en-GB"/>
          <w14:ligatures w14:val="none"/>
        </w:rPr>
        <w:t xml:space="preserve">works </w:t>
      </w:r>
      <w:r w:rsidRPr="00FD00B8">
        <w:rPr>
          <w:rFonts w:ascii="Arial" w:eastAsia="Times New Roman" w:hAnsi="Arial" w:cs="Arial"/>
          <w:kern w:val="0"/>
          <w:sz w:val="22"/>
          <w:szCs w:val="22"/>
          <w:lang w:eastAsia="en-GB"/>
          <w14:ligatures w14:val="none"/>
        </w:rPr>
        <w:t>were</w:t>
      </w:r>
      <w:r w:rsidR="00CA38DB" w:rsidRPr="00FD00B8">
        <w:rPr>
          <w:rFonts w:ascii="Arial" w:eastAsia="Times New Roman" w:hAnsi="Arial" w:cs="Arial"/>
          <w:kern w:val="0"/>
          <w:sz w:val="22"/>
          <w:szCs w:val="22"/>
          <w:lang w:eastAsia="en-GB"/>
          <w14:ligatures w14:val="none"/>
        </w:rPr>
        <w:t xml:space="preserve"> substantially completed</w:t>
      </w:r>
      <w:r w:rsidR="00FD00B8">
        <w:rPr>
          <w:rFonts w:ascii="Arial" w:eastAsia="Times New Roman" w:hAnsi="Arial" w:cs="Arial"/>
          <w:kern w:val="0"/>
          <w:sz w:val="22"/>
          <w:szCs w:val="22"/>
          <w:lang w:eastAsia="en-GB"/>
          <w14:ligatures w14:val="none"/>
        </w:rPr>
        <w:t>, or,</w:t>
      </w:r>
    </w:p>
    <w:p w14:paraId="58288473" w14:textId="2823FA0C" w:rsidR="001814A3" w:rsidRPr="00FD00B8" w:rsidRDefault="001814A3" w:rsidP="00FD00B8">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FD00B8">
        <w:rPr>
          <w:rFonts w:ascii="Arial" w:eastAsia="Times New Roman" w:hAnsi="Arial" w:cs="Arial"/>
          <w:kern w:val="0"/>
          <w:sz w:val="22"/>
          <w:szCs w:val="22"/>
          <w:lang w:eastAsia="en-GB"/>
          <w14:ligatures w14:val="none"/>
        </w:rPr>
        <w:t>the</w:t>
      </w:r>
      <w:r w:rsidR="00CA38DB" w:rsidRPr="00FD00B8">
        <w:rPr>
          <w:rFonts w:ascii="Arial" w:eastAsia="Times New Roman" w:hAnsi="Arial" w:cs="Arial"/>
          <w:kern w:val="0"/>
          <w:sz w:val="22"/>
          <w:szCs w:val="22"/>
          <w:lang w:eastAsia="en-GB"/>
          <w14:ligatures w14:val="none"/>
        </w:rPr>
        <w:t xml:space="preserve"> use</w:t>
      </w:r>
      <w:r w:rsidRPr="00FD00B8">
        <w:rPr>
          <w:rFonts w:ascii="Arial" w:eastAsia="Times New Roman" w:hAnsi="Arial" w:cs="Arial"/>
          <w:kern w:val="0"/>
          <w:sz w:val="22"/>
          <w:szCs w:val="22"/>
          <w:lang w:eastAsia="en-GB"/>
          <w14:ligatures w14:val="none"/>
        </w:rPr>
        <w:t xml:space="preserve"> has been</w:t>
      </w:r>
      <w:r w:rsidR="00CA38DB" w:rsidRPr="00FD00B8">
        <w:rPr>
          <w:rFonts w:ascii="Arial" w:eastAsia="Times New Roman" w:hAnsi="Arial" w:cs="Arial"/>
          <w:kern w:val="0"/>
          <w:sz w:val="22"/>
          <w:szCs w:val="22"/>
          <w:lang w:eastAsia="en-GB"/>
          <w14:ligatures w14:val="none"/>
        </w:rPr>
        <w:t xml:space="preserve"> continuous for the required </w:t>
      </w:r>
      <w:proofErr w:type="gramStart"/>
      <w:r w:rsidR="00CA38DB" w:rsidRPr="00FD00B8">
        <w:rPr>
          <w:rFonts w:ascii="Arial" w:eastAsia="Times New Roman" w:hAnsi="Arial" w:cs="Arial"/>
          <w:kern w:val="0"/>
          <w:sz w:val="22"/>
          <w:szCs w:val="22"/>
          <w:lang w:eastAsia="en-GB"/>
          <w14:ligatures w14:val="none"/>
        </w:rPr>
        <w:t>time period</w:t>
      </w:r>
      <w:proofErr w:type="gramEnd"/>
      <w:r w:rsidR="00CA38DB" w:rsidRPr="00FD00B8">
        <w:rPr>
          <w:rFonts w:ascii="Arial" w:eastAsia="Times New Roman" w:hAnsi="Arial" w:cs="Arial"/>
          <w:kern w:val="0"/>
          <w:sz w:val="22"/>
          <w:szCs w:val="22"/>
          <w:lang w:eastAsia="en-GB"/>
          <w14:ligatures w14:val="none"/>
        </w:rPr>
        <w:t xml:space="preserve"> without interruption. </w:t>
      </w:r>
    </w:p>
    <w:p w14:paraId="0B00723A" w14:textId="77777777" w:rsidR="001814A3" w:rsidRDefault="001814A3" w:rsidP="00CA38DB">
      <w:pPr>
        <w:spacing w:after="0" w:line="276" w:lineRule="auto"/>
        <w:jc w:val="both"/>
        <w:rPr>
          <w:rFonts w:ascii="Arial" w:eastAsia="Times New Roman" w:hAnsi="Arial" w:cs="Arial"/>
          <w:kern w:val="0"/>
          <w:sz w:val="22"/>
          <w:szCs w:val="22"/>
          <w:lang w:eastAsia="en-GB"/>
          <w14:ligatures w14:val="none"/>
        </w:rPr>
      </w:pPr>
    </w:p>
    <w:p w14:paraId="1DE08FBE" w14:textId="3FEEF64C" w:rsidR="009C49AA" w:rsidRPr="003B575C"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The applicant must prove that the use or development has occurred for the necessary period</w:t>
      </w:r>
      <w:r w:rsidR="003B575C" w:rsidRPr="003B575C">
        <w:rPr>
          <w:rFonts w:ascii="Arial" w:eastAsia="Times New Roman" w:hAnsi="Arial" w:cs="Arial"/>
          <w:kern w:val="0"/>
          <w:sz w:val="22"/>
          <w:szCs w:val="22"/>
          <w:lang w:eastAsia="en-GB"/>
          <w14:ligatures w14:val="none"/>
        </w:rPr>
        <w:t>.</w:t>
      </w:r>
      <w:r w:rsidRPr="009C49AA">
        <w:rPr>
          <w:rFonts w:ascii="Arial" w:eastAsia="Times New Roman" w:hAnsi="Arial" w:cs="Arial"/>
          <w:kern w:val="0"/>
          <w:sz w:val="22"/>
          <w:szCs w:val="22"/>
          <w:lang w:eastAsia="en-GB"/>
          <w14:ligatures w14:val="none"/>
        </w:rPr>
        <w:t xml:space="preserve"> </w:t>
      </w:r>
      <w:r w:rsidR="00E73528">
        <w:rPr>
          <w:rFonts w:ascii="Arial" w:eastAsia="Times New Roman" w:hAnsi="Arial" w:cs="Arial"/>
          <w:kern w:val="0"/>
          <w:sz w:val="22"/>
          <w:szCs w:val="22"/>
          <w:lang w:eastAsia="en-GB"/>
          <w14:ligatures w14:val="none"/>
        </w:rPr>
        <w:t>A</w:t>
      </w:r>
      <w:r w:rsidRPr="009C49AA">
        <w:rPr>
          <w:rFonts w:ascii="Arial" w:eastAsia="Times New Roman" w:hAnsi="Arial" w:cs="Arial"/>
          <w:kern w:val="0"/>
          <w:sz w:val="22"/>
          <w:szCs w:val="22"/>
          <w:lang w:eastAsia="en-GB"/>
          <w14:ligatures w14:val="none"/>
        </w:rPr>
        <w:t xml:space="preserve"> continuous use must be demonstrated without significant interruption.</w:t>
      </w:r>
    </w:p>
    <w:p w14:paraId="48D5EBB5" w14:textId="77777777" w:rsidR="003B575C" w:rsidRPr="009C49AA" w:rsidRDefault="003B575C" w:rsidP="003B575C">
      <w:pPr>
        <w:spacing w:after="0" w:line="276" w:lineRule="auto"/>
        <w:jc w:val="both"/>
        <w:rPr>
          <w:rFonts w:ascii="Arial" w:eastAsia="Times New Roman" w:hAnsi="Arial" w:cs="Arial"/>
          <w:kern w:val="0"/>
          <w:sz w:val="22"/>
          <w:szCs w:val="22"/>
          <w:lang w:eastAsia="en-GB"/>
          <w14:ligatures w14:val="none"/>
        </w:rPr>
      </w:pPr>
    </w:p>
    <w:p w14:paraId="4AF73C0C" w14:textId="76E06DD3" w:rsidR="009C49AA" w:rsidRPr="009C49AA" w:rsidRDefault="009C49AA" w:rsidP="003B575C">
      <w:pPr>
        <w:spacing w:after="0" w:line="276" w:lineRule="auto"/>
        <w:jc w:val="both"/>
        <w:rPr>
          <w:rFonts w:ascii="Arial" w:eastAsia="Times New Roman" w:hAnsi="Arial" w:cs="Arial"/>
          <w:kern w:val="0"/>
          <w:sz w:val="22"/>
          <w:szCs w:val="22"/>
          <w:lang w:eastAsia="en-GB"/>
          <w14:ligatures w14:val="none"/>
        </w:rPr>
      </w:pPr>
      <w:r w:rsidRPr="009C49AA">
        <w:rPr>
          <w:rFonts w:ascii="Arial" w:eastAsia="Times New Roman" w:hAnsi="Arial" w:cs="Arial"/>
          <w:kern w:val="0"/>
          <w:sz w:val="22"/>
          <w:szCs w:val="22"/>
          <w:lang w:eastAsia="en-GB"/>
          <w14:ligatures w14:val="none"/>
        </w:rPr>
        <w:t>It is important to note that when determining a CL</w:t>
      </w:r>
      <w:r w:rsidR="00C03079">
        <w:rPr>
          <w:rFonts w:ascii="Arial" w:eastAsia="Times New Roman" w:hAnsi="Arial" w:cs="Arial"/>
          <w:kern w:val="0"/>
          <w:sz w:val="22"/>
          <w:szCs w:val="22"/>
          <w:lang w:eastAsia="en-GB"/>
          <w14:ligatures w14:val="none"/>
        </w:rPr>
        <w:t>UE</w:t>
      </w:r>
      <w:r w:rsidRPr="009C49AA">
        <w:rPr>
          <w:rFonts w:ascii="Arial" w:eastAsia="Times New Roman" w:hAnsi="Arial" w:cs="Arial"/>
          <w:kern w:val="0"/>
          <w:sz w:val="22"/>
          <w:szCs w:val="22"/>
          <w:lang w:eastAsia="en-GB"/>
          <w14:ligatures w14:val="none"/>
        </w:rPr>
        <w:t xml:space="preserve">D application, the LPA must focus solely on whether, based on the facts and applicable planning law, the specific use or development is lawful. Planning merits or considerations relating to the quality or suitability of the development are not relevant. </w:t>
      </w:r>
    </w:p>
    <w:p w14:paraId="7BA09FAD" w14:textId="77777777" w:rsidR="00F31144" w:rsidRDefault="00F31144" w:rsidP="00770B39">
      <w:pPr>
        <w:pStyle w:val="Report"/>
        <w:numPr>
          <w:ilvl w:val="0"/>
          <w:numId w:val="0"/>
        </w:numPr>
        <w:spacing w:before="0" w:line="276" w:lineRule="auto"/>
        <w:rPr>
          <w:b/>
          <w:sz w:val="22"/>
          <w:szCs w:val="22"/>
        </w:rPr>
      </w:pPr>
    </w:p>
    <w:p w14:paraId="02C97BAD" w14:textId="1AF50769" w:rsidR="001A6D70" w:rsidRDefault="00494DEE" w:rsidP="00A309C8">
      <w:pPr>
        <w:spacing w:after="0" w:line="276" w:lineRule="auto"/>
        <w:jc w:val="both"/>
        <w:rPr>
          <w:rFonts w:ascii="Arial" w:hAnsi="Arial" w:cs="Arial"/>
          <w:b/>
          <w:bCs/>
          <w:sz w:val="22"/>
          <w:szCs w:val="22"/>
        </w:rPr>
      </w:pPr>
      <w:r w:rsidRPr="00494DEE">
        <w:rPr>
          <w:rFonts w:ascii="Arial" w:hAnsi="Arial" w:cs="Arial"/>
          <w:b/>
          <w:bCs/>
          <w:sz w:val="22"/>
          <w:szCs w:val="22"/>
        </w:rPr>
        <w:t>REPRESENTATIONS</w:t>
      </w:r>
    </w:p>
    <w:p w14:paraId="4D6A54F3" w14:textId="77777777" w:rsidR="00DB0D6B" w:rsidRDefault="00DB0D6B" w:rsidP="00A309C8">
      <w:pPr>
        <w:spacing w:after="0" w:line="276" w:lineRule="auto"/>
        <w:jc w:val="both"/>
        <w:rPr>
          <w:rFonts w:ascii="Arial" w:hAnsi="Arial" w:cs="Arial"/>
          <w:sz w:val="22"/>
          <w:szCs w:val="22"/>
        </w:rPr>
      </w:pPr>
    </w:p>
    <w:p w14:paraId="7104E8B9" w14:textId="101B1320" w:rsidR="00675C81" w:rsidRPr="003B575C" w:rsidRDefault="00EE59AE" w:rsidP="00675C81">
      <w:pPr>
        <w:spacing w:after="0" w:line="276" w:lineRule="auto"/>
        <w:jc w:val="both"/>
        <w:rPr>
          <w:rFonts w:ascii="Arial" w:eastAsia="Times New Roman" w:hAnsi="Arial" w:cs="Arial"/>
          <w:kern w:val="0"/>
          <w:sz w:val="22"/>
          <w:szCs w:val="22"/>
          <w:lang w:eastAsia="en-GB"/>
          <w14:ligatures w14:val="none"/>
        </w:rPr>
      </w:pPr>
      <w:r w:rsidRPr="00DB0D6B">
        <w:rPr>
          <w:rFonts w:ascii="Arial" w:hAnsi="Arial" w:cs="Arial"/>
          <w:sz w:val="22"/>
          <w:szCs w:val="22"/>
        </w:rPr>
        <w:t>There is no legal obligation to consult third parties</w:t>
      </w:r>
      <w:r w:rsidR="008B2A08">
        <w:rPr>
          <w:rFonts w:ascii="Arial" w:hAnsi="Arial" w:cs="Arial"/>
          <w:sz w:val="22"/>
          <w:szCs w:val="22"/>
        </w:rPr>
        <w:t xml:space="preserve"> </w:t>
      </w:r>
      <w:r w:rsidR="008B2A08" w:rsidRPr="00DB0D6B">
        <w:rPr>
          <w:rFonts w:ascii="Arial" w:hAnsi="Arial" w:cs="Arial"/>
          <w:sz w:val="22"/>
          <w:szCs w:val="22"/>
        </w:rPr>
        <w:t>for this type of application</w:t>
      </w:r>
      <w:r w:rsidRPr="00DB0D6B">
        <w:rPr>
          <w:rFonts w:ascii="Arial" w:hAnsi="Arial" w:cs="Arial"/>
          <w:sz w:val="22"/>
          <w:szCs w:val="22"/>
        </w:rPr>
        <w:t xml:space="preserve">, including Town/Parish Councils or neighbouring </w:t>
      </w:r>
      <w:r w:rsidR="00613F86" w:rsidRPr="00DB0D6B">
        <w:rPr>
          <w:rFonts w:ascii="Arial" w:hAnsi="Arial" w:cs="Arial"/>
          <w:sz w:val="22"/>
          <w:szCs w:val="22"/>
        </w:rPr>
        <w:t>properties.</w:t>
      </w:r>
      <w:r w:rsidR="00CD018F">
        <w:rPr>
          <w:rFonts w:ascii="Arial" w:hAnsi="Arial" w:cs="Arial"/>
          <w:sz w:val="22"/>
          <w:szCs w:val="22"/>
        </w:rPr>
        <w:t xml:space="preserve"> </w:t>
      </w:r>
      <w:r w:rsidR="00163C51">
        <w:rPr>
          <w:rFonts w:ascii="Arial" w:hAnsi="Arial" w:cs="Arial"/>
          <w:sz w:val="22"/>
          <w:szCs w:val="22"/>
        </w:rPr>
        <w:t>However, the PPG recognises that i</w:t>
      </w:r>
      <w:r w:rsidR="00163C51" w:rsidRPr="00163C51">
        <w:rPr>
          <w:rFonts w:ascii="Arial" w:hAnsi="Arial" w:cs="Arial"/>
          <w:sz w:val="22"/>
          <w:szCs w:val="22"/>
        </w:rPr>
        <w:t xml:space="preserve">t </w:t>
      </w:r>
      <w:r w:rsidR="00613F86" w:rsidRPr="00163C51">
        <w:rPr>
          <w:rFonts w:ascii="Arial" w:hAnsi="Arial" w:cs="Arial"/>
          <w:sz w:val="22"/>
          <w:szCs w:val="22"/>
        </w:rPr>
        <w:t>may be</w:t>
      </w:r>
      <w:r w:rsidR="00163C51" w:rsidRPr="00163C51">
        <w:rPr>
          <w:rFonts w:ascii="Arial" w:hAnsi="Arial" w:cs="Arial"/>
          <w:sz w:val="22"/>
          <w:szCs w:val="22"/>
        </w:rPr>
        <w:t xml:space="preserve"> reasonable for a local planning authority to seek evidence from these sources if there is good reason to believe they may possess relevant information about the content of a specific application. </w:t>
      </w:r>
    </w:p>
    <w:p w14:paraId="77BAA47D" w14:textId="77777777" w:rsidR="00016547" w:rsidRDefault="00016547" w:rsidP="00A309C8">
      <w:pPr>
        <w:spacing w:after="0" w:line="276" w:lineRule="auto"/>
        <w:jc w:val="both"/>
        <w:rPr>
          <w:rFonts w:ascii="Arial" w:hAnsi="Arial" w:cs="Arial"/>
          <w:b/>
          <w:bCs/>
          <w:sz w:val="22"/>
          <w:szCs w:val="22"/>
        </w:rPr>
      </w:pPr>
    </w:p>
    <w:p w14:paraId="115C7BF3" w14:textId="2385B755" w:rsidR="0063275C" w:rsidRPr="00820AD7" w:rsidRDefault="0063275C" w:rsidP="00A309C8">
      <w:pPr>
        <w:spacing w:after="0" w:line="276" w:lineRule="auto"/>
        <w:jc w:val="both"/>
        <w:rPr>
          <w:rFonts w:ascii="Arial" w:hAnsi="Arial" w:cs="Arial"/>
          <w:sz w:val="22"/>
          <w:szCs w:val="22"/>
          <w:u w:val="single"/>
        </w:rPr>
      </w:pPr>
      <w:r w:rsidRPr="00820AD7">
        <w:rPr>
          <w:rFonts w:ascii="Arial" w:hAnsi="Arial" w:cs="Arial"/>
          <w:sz w:val="22"/>
          <w:szCs w:val="22"/>
          <w:u w:val="single"/>
        </w:rPr>
        <w:t>Trowbridge Town Council</w:t>
      </w:r>
      <w:r w:rsidR="00CF52EF" w:rsidRPr="00CF52EF">
        <w:rPr>
          <w:rFonts w:ascii="Arial" w:hAnsi="Arial" w:cs="Arial"/>
          <w:sz w:val="22"/>
          <w:szCs w:val="22"/>
        </w:rPr>
        <w:t>:</w:t>
      </w:r>
      <w:r w:rsidRPr="00CF52EF">
        <w:rPr>
          <w:rFonts w:ascii="Arial" w:hAnsi="Arial" w:cs="Arial"/>
          <w:sz w:val="22"/>
          <w:szCs w:val="22"/>
        </w:rPr>
        <w:t xml:space="preserve"> </w:t>
      </w:r>
      <w:r w:rsidR="008D0C20" w:rsidRPr="008D0C20">
        <w:rPr>
          <w:rFonts w:ascii="Arial" w:hAnsi="Arial" w:cs="Arial"/>
          <w:sz w:val="22"/>
          <w:szCs w:val="22"/>
        </w:rPr>
        <w:t>No Objection, subject to no significant adverse impact on neighbouring amenity.</w:t>
      </w:r>
    </w:p>
    <w:p w14:paraId="77866E12" w14:textId="77777777" w:rsidR="0063275C" w:rsidRPr="00820AD7" w:rsidRDefault="0063275C" w:rsidP="00A309C8">
      <w:pPr>
        <w:spacing w:after="0" w:line="276" w:lineRule="auto"/>
        <w:jc w:val="both"/>
        <w:rPr>
          <w:rFonts w:ascii="Arial" w:hAnsi="Arial" w:cs="Arial"/>
          <w:color w:val="ED0000"/>
          <w:sz w:val="22"/>
          <w:szCs w:val="22"/>
        </w:rPr>
      </w:pPr>
    </w:p>
    <w:p w14:paraId="6D6D7E8F" w14:textId="1F0757A9" w:rsidR="00431422" w:rsidRDefault="00431422" w:rsidP="00A309C8">
      <w:pPr>
        <w:spacing w:after="0" w:line="276" w:lineRule="auto"/>
        <w:jc w:val="both"/>
        <w:rPr>
          <w:rFonts w:ascii="Arial" w:hAnsi="Arial" w:cs="Arial"/>
          <w:b/>
          <w:bCs/>
          <w:sz w:val="22"/>
          <w:szCs w:val="22"/>
        </w:rPr>
      </w:pPr>
      <w:r>
        <w:rPr>
          <w:rFonts w:ascii="Arial" w:hAnsi="Arial" w:cs="Arial"/>
          <w:b/>
          <w:bCs/>
          <w:sz w:val="22"/>
          <w:szCs w:val="22"/>
        </w:rPr>
        <w:t xml:space="preserve">RELEVANT SITE HISTORY </w:t>
      </w:r>
    </w:p>
    <w:p w14:paraId="468FEC48" w14:textId="77777777" w:rsidR="00431422" w:rsidRDefault="00431422" w:rsidP="00A309C8">
      <w:pPr>
        <w:spacing w:after="0" w:line="276" w:lineRule="auto"/>
        <w:jc w:val="both"/>
        <w:rPr>
          <w:rFonts w:ascii="Arial" w:hAnsi="Arial" w:cs="Arial"/>
          <w:sz w:val="22"/>
          <w:szCs w:val="22"/>
        </w:rPr>
      </w:pPr>
    </w:p>
    <w:p w14:paraId="71A505B2" w14:textId="4D417440" w:rsidR="003D481E" w:rsidRPr="003D481E" w:rsidRDefault="003D481E" w:rsidP="003D481E">
      <w:pPr>
        <w:spacing w:line="276" w:lineRule="auto"/>
        <w:rPr>
          <w:rFonts w:ascii="Arial" w:hAnsi="Arial" w:cs="Arial"/>
          <w:sz w:val="22"/>
          <w:szCs w:val="22"/>
        </w:rPr>
      </w:pPr>
      <w:r w:rsidRPr="003D481E">
        <w:rPr>
          <w:rFonts w:ascii="Arial" w:hAnsi="Arial" w:cs="Arial"/>
          <w:sz w:val="22"/>
          <w:szCs w:val="22"/>
        </w:rPr>
        <w:t>No relevant planning history has been identified for the site subject of this application.</w:t>
      </w:r>
    </w:p>
    <w:p w14:paraId="676EA4E8" w14:textId="77777777" w:rsidR="003A25FE" w:rsidRPr="001A6D70" w:rsidRDefault="003A25FE" w:rsidP="00A309C8">
      <w:pPr>
        <w:spacing w:after="0" w:line="276" w:lineRule="auto"/>
        <w:jc w:val="both"/>
        <w:rPr>
          <w:rFonts w:ascii="Arial" w:hAnsi="Arial" w:cs="Arial"/>
          <w:sz w:val="22"/>
          <w:szCs w:val="22"/>
        </w:rPr>
      </w:pPr>
    </w:p>
    <w:p w14:paraId="0411301F" w14:textId="33326208" w:rsidR="001E1A85" w:rsidRPr="001D7BB4" w:rsidRDefault="00494DEE" w:rsidP="00D47B7B">
      <w:pPr>
        <w:spacing w:after="0" w:line="276" w:lineRule="auto"/>
        <w:jc w:val="both"/>
        <w:rPr>
          <w:rFonts w:ascii="Arial" w:hAnsi="Arial" w:cs="Arial"/>
          <w:i/>
          <w:iCs/>
          <w:sz w:val="22"/>
          <w:szCs w:val="22"/>
        </w:rPr>
      </w:pPr>
      <w:r>
        <w:rPr>
          <w:rFonts w:ascii="Arial" w:hAnsi="Arial" w:cs="Arial"/>
          <w:b/>
          <w:bCs/>
          <w:sz w:val="22"/>
          <w:szCs w:val="22"/>
        </w:rPr>
        <w:t>ASSESSMEN</w:t>
      </w:r>
      <w:r w:rsidR="00C71013">
        <w:rPr>
          <w:rFonts w:ascii="Arial" w:hAnsi="Arial" w:cs="Arial"/>
          <w:b/>
          <w:bCs/>
          <w:sz w:val="22"/>
          <w:szCs w:val="22"/>
        </w:rPr>
        <w:t>T</w:t>
      </w:r>
      <w:r w:rsidR="001A6D70" w:rsidRPr="001A6D70">
        <w:rPr>
          <w:rFonts w:ascii="Arial" w:hAnsi="Arial" w:cs="Arial"/>
          <w:i/>
          <w:iCs/>
          <w:sz w:val="22"/>
          <w:szCs w:val="22"/>
        </w:rPr>
        <w:br/>
      </w:r>
    </w:p>
    <w:p w14:paraId="6C6DD3B9" w14:textId="77777777" w:rsidR="001D7BB4" w:rsidRPr="001D7BB4" w:rsidRDefault="001D7BB4" w:rsidP="001D7BB4">
      <w:pPr>
        <w:spacing w:after="0" w:line="276" w:lineRule="auto"/>
        <w:jc w:val="both"/>
        <w:rPr>
          <w:rFonts w:ascii="Arial" w:hAnsi="Arial" w:cs="Arial"/>
          <w:sz w:val="22"/>
          <w:szCs w:val="22"/>
        </w:rPr>
      </w:pPr>
      <w:r w:rsidRPr="001D7BB4">
        <w:rPr>
          <w:rFonts w:ascii="Arial" w:hAnsi="Arial" w:cs="Arial"/>
          <w:sz w:val="22"/>
          <w:szCs w:val="22"/>
        </w:rPr>
        <w:t>The application seeks confirmation that the construction of a roof terrace above an existing extension constitutes lawful development under Section 191 of the Town and Country Planning Act 1990 (as amended).</w:t>
      </w:r>
    </w:p>
    <w:p w14:paraId="107D891B" w14:textId="77777777" w:rsidR="00D47B7B" w:rsidRPr="001D7BB4" w:rsidRDefault="00D47B7B" w:rsidP="00D47B7B">
      <w:pPr>
        <w:spacing w:after="0" w:line="276" w:lineRule="auto"/>
        <w:jc w:val="both"/>
        <w:rPr>
          <w:rFonts w:ascii="Arial" w:hAnsi="Arial" w:cs="Arial"/>
          <w:sz w:val="22"/>
          <w:szCs w:val="22"/>
        </w:rPr>
      </w:pPr>
    </w:p>
    <w:p w14:paraId="7BEF809B" w14:textId="77777777" w:rsidR="001D7BB4" w:rsidRPr="001D7BB4" w:rsidRDefault="001D7BB4" w:rsidP="001D7BB4">
      <w:pPr>
        <w:spacing w:after="0" w:line="276" w:lineRule="auto"/>
        <w:jc w:val="both"/>
        <w:rPr>
          <w:rFonts w:ascii="Arial" w:hAnsi="Arial" w:cs="Arial"/>
          <w:b/>
          <w:bCs/>
          <w:sz w:val="22"/>
          <w:szCs w:val="22"/>
        </w:rPr>
      </w:pPr>
      <w:r w:rsidRPr="001D7BB4">
        <w:rPr>
          <w:rFonts w:ascii="Arial" w:hAnsi="Arial" w:cs="Arial"/>
          <w:b/>
          <w:bCs/>
          <w:sz w:val="22"/>
          <w:szCs w:val="22"/>
        </w:rPr>
        <w:t>Time Limits for Immunity from Enforcement Action</w:t>
      </w:r>
    </w:p>
    <w:p w14:paraId="13764EFD" w14:textId="77777777" w:rsidR="001D7BB4" w:rsidRPr="001D7BB4" w:rsidRDefault="001D7BB4" w:rsidP="001D7BB4">
      <w:pPr>
        <w:spacing w:after="0" w:line="276" w:lineRule="auto"/>
        <w:jc w:val="both"/>
        <w:rPr>
          <w:rFonts w:ascii="Arial" w:hAnsi="Arial" w:cs="Arial"/>
          <w:b/>
          <w:bCs/>
          <w:sz w:val="22"/>
          <w:szCs w:val="22"/>
        </w:rPr>
      </w:pPr>
    </w:p>
    <w:p w14:paraId="2E25C35B" w14:textId="77777777" w:rsidR="001D7BB4" w:rsidRPr="001D7BB4" w:rsidRDefault="001D7BB4" w:rsidP="001D7BB4">
      <w:pPr>
        <w:spacing w:after="0" w:line="276" w:lineRule="auto"/>
        <w:jc w:val="both"/>
        <w:rPr>
          <w:rFonts w:ascii="Arial" w:hAnsi="Arial" w:cs="Arial"/>
          <w:sz w:val="22"/>
          <w:szCs w:val="22"/>
        </w:rPr>
      </w:pPr>
      <w:r w:rsidRPr="001D7BB4">
        <w:rPr>
          <w:rFonts w:ascii="Arial" w:hAnsi="Arial" w:cs="Arial"/>
          <w:sz w:val="22"/>
          <w:szCs w:val="22"/>
        </w:rPr>
        <w:t>Section 171B of the Town and Country Planning Act 1990 (as amended by Section 115 of the Levelling-up and Regeneration Act 2023) now provides a 10-year period for immunity from enforcement in England.</w:t>
      </w:r>
    </w:p>
    <w:p w14:paraId="51CFE86E" w14:textId="77777777" w:rsidR="001D7BB4" w:rsidRPr="001D7BB4" w:rsidRDefault="001D7BB4" w:rsidP="001D7BB4">
      <w:pPr>
        <w:spacing w:after="0" w:line="276" w:lineRule="auto"/>
        <w:jc w:val="both"/>
        <w:rPr>
          <w:rFonts w:ascii="Arial" w:hAnsi="Arial" w:cs="Arial"/>
          <w:sz w:val="22"/>
          <w:szCs w:val="22"/>
        </w:rPr>
      </w:pPr>
    </w:p>
    <w:p w14:paraId="79C44D00" w14:textId="5BD6F312" w:rsidR="001D7BB4" w:rsidRPr="001D7BB4" w:rsidRDefault="001D7BB4" w:rsidP="001D7BB4">
      <w:pPr>
        <w:spacing w:after="0" w:line="276" w:lineRule="auto"/>
        <w:jc w:val="both"/>
        <w:rPr>
          <w:rFonts w:ascii="Arial" w:hAnsi="Arial" w:cs="Arial"/>
          <w:sz w:val="22"/>
          <w:szCs w:val="22"/>
        </w:rPr>
      </w:pPr>
      <w:r w:rsidRPr="001D7BB4">
        <w:rPr>
          <w:rFonts w:ascii="Arial" w:hAnsi="Arial" w:cs="Arial"/>
          <w:sz w:val="22"/>
          <w:szCs w:val="22"/>
        </w:rPr>
        <w:t>However, the Planning Act 2008 (Commencement No. 8) and Levelling-up and Regeneration Act 2023 (Commencement No. 4 and Transitional Provisions) Regulations 2024 (SI 2024/452) introduce</w:t>
      </w:r>
      <w:r w:rsidR="008D0C20">
        <w:rPr>
          <w:rFonts w:ascii="Arial" w:hAnsi="Arial" w:cs="Arial"/>
          <w:sz w:val="22"/>
          <w:szCs w:val="22"/>
        </w:rPr>
        <w:t>d</w:t>
      </w:r>
      <w:r w:rsidRPr="001D7BB4">
        <w:rPr>
          <w:rFonts w:ascii="Arial" w:hAnsi="Arial" w:cs="Arial"/>
          <w:sz w:val="22"/>
          <w:szCs w:val="22"/>
        </w:rPr>
        <w:t xml:space="preserve"> transitional provisions.</w:t>
      </w:r>
    </w:p>
    <w:p w14:paraId="20FF5E45" w14:textId="77777777" w:rsidR="001D7BB4" w:rsidRPr="001D7BB4" w:rsidRDefault="001D7BB4" w:rsidP="001D7BB4">
      <w:pPr>
        <w:spacing w:after="0" w:line="276" w:lineRule="auto"/>
        <w:jc w:val="both"/>
        <w:rPr>
          <w:rFonts w:ascii="Arial" w:hAnsi="Arial" w:cs="Arial"/>
          <w:sz w:val="22"/>
          <w:szCs w:val="22"/>
        </w:rPr>
      </w:pPr>
    </w:p>
    <w:p w14:paraId="7ACAFC1F" w14:textId="77777777" w:rsidR="001D7BB4" w:rsidRPr="001D7BB4" w:rsidRDefault="001D7BB4" w:rsidP="001D7BB4">
      <w:pPr>
        <w:spacing w:after="0" w:line="276" w:lineRule="auto"/>
        <w:jc w:val="both"/>
        <w:rPr>
          <w:rFonts w:ascii="Arial" w:hAnsi="Arial" w:cs="Arial"/>
          <w:sz w:val="22"/>
          <w:szCs w:val="22"/>
        </w:rPr>
      </w:pPr>
      <w:r w:rsidRPr="001D7BB4">
        <w:rPr>
          <w:rFonts w:ascii="Arial" w:hAnsi="Arial" w:cs="Arial"/>
          <w:sz w:val="22"/>
          <w:szCs w:val="22"/>
        </w:rPr>
        <w:t>Regulation 3 confirms that Section 115 (amending Section 171B) came into force on 25 April 2024, and Regulation 5 provides that those amendments do not apply where operational development was substantially completed before that date.</w:t>
      </w:r>
    </w:p>
    <w:p w14:paraId="7230872A" w14:textId="77777777" w:rsidR="001D7BB4" w:rsidRPr="001D7BB4" w:rsidRDefault="001D7BB4" w:rsidP="001D7BB4">
      <w:pPr>
        <w:spacing w:after="0" w:line="276" w:lineRule="auto"/>
        <w:jc w:val="both"/>
        <w:rPr>
          <w:rFonts w:ascii="Arial" w:hAnsi="Arial" w:cs="Arial"/>
          <w:sz w:val="22"/>
          <w:szCs w:val="22"/>
        </w:rPr>
      </w:pPr>
    </w:p>
    <w:p w14:paraId="58372CAB" w14:textId="735F4BA9" w:rsidR="001D7BB4" w:rsidRDefault="001D7BB4" w:rsidP="001D7BB4">
      <w:pPr>
        <w:spacing w:after="0" w:line="276" w:lineRule="auto"/>
        <w:jc w:val="both"/>
        <w:rPr>
          <w:rFonts w:ascii="Arial" w:hAnsi="Arial" w:cs="Arial"/>
          <w:sz w:val="22"/>
          <w:szCs w:val="22"/>
        </w:rPr>
      </w:pPr>
      <w:r w:rsidRPr="001D7BB4">
        <w:rPr>
          <w:rFonts w:ascii="Arial" w:hAnsi="Arial" w:cs="Arial"/>
          <w:sz w:val="22"/>
          <w:szCs w:val="22"/>
        </w:rPr>
        <w:t>In this case, the evidence demonstrates that the operational development was substantially completed prior to 25 April 2024, and therefore</w:t>
      </w:r>
      <w:r w:rsidR="008D0C20">
        <w:rPr>
          <w:rFonts w:ascii="Arial" w:hAnsi="Arial" w:cs="Arial"/>
          <w:sz w:val="22"/>
          <w:szCs w:val="22"/>
        </w:rPr>
        <w:t>,</w:t>
      </w:r>
      <w:r w:rsidRPr="001D7BB4">
        <w:rPr>
          <w:rFonts w:ascii="Arial" w:hAnsi="Arial" w:cs="Arial"/>
          <w:sz w:val="22"/>
          <w:szCs w:val="22"/>
        </w:rPr>
        <w:t xml:space="preserve"> the former 4-year immunity period applies.</w:t>
      </w:r>
    </w:p>
    <w:p w14:paraId="1E7EDB1A" w14:textId="77777777" w:rsidR="00D12D84" w:rsidRPr="001D7BB4" w:rsidRDefault="00D12D84" w:rsidP="001D7BB4">
      <w:pPr>
        <w:spacing w:after="0" w:line="276" w:lineRule="auto"/>
        <w:jc w:val="both"/>
        <w:rPr>
          <w:rFonts w:ascii="Arial" w:hAnsi="Arial" w:cs="Arial"/>
          <w:sz w:val="22"/>
          <w:szCs w:val="22"/>
        </w:rPr>
      </w:pPr>
    </w:p>
    <w:p w14:paraId="57B97C41" w14:textId="77777777" w:rsidR="001D7BB4" w:rsidRDefault="001D7BB4" w:rsidP="001D7BB4">
      <w:pPr>
        <w:spacing w:after="0" w:line="276" w:lineRule="auto"/>
        <w:jc w:val="both"/>
        <w:rPr>
          <w:rFonts w:ascii="Arial" w:hAnsi="Arial" w:cs="Arial"/>
          <w:sz w:val="22"/>
          <w:szCs w:val="22"/>
        </w:rPr>
      </w:pPr>
      <w:r w:rsidRPr="001D7BB4">
        <w:rPr>
          <w:rFonts w:ascii="Arial" w:hAnsi="Arial" w:cs="Arial"/>
          <w:sz w:val="22"/>
          <w:szCs w:val="22"/>
        </w:rPr>
        <w:t>Given that the development was substantially completed in summer 2020, the relevant 4-year period expired in approximately summer 2024, and no enforcement action has been taken. Accordingly, the development is immune from enforcement action.</w:t>
      </w:r>
    </w:p>
    <w:p w14:paraId="4279C93E" w14:textId="77777777" w:rsidR="00AF4912" w:rsidRDefault="00AF4912" w:rsidP="001D7BB4">
      <w:pPr>
        <w:spacing w:after="0" w:line="276" w:lineRule="auto"/>
        <w:jc w:val="both"/>
        <w:rPr>
          <w:rFonts w:ascii="Arial" w:hAnsi="Arial" w:cs="Arial"/>
          <w:sz w:val="22"/>
          <w:szCs w:val="22"/>
        </w:rPr>
      </w:pPr>
    </w:p>
    <w:p w14:paraId="4E36FFAE" w14:textId="77777777" w:rsidR="00AF4912" w:rsidRDefault="00AF4912" w:rsidP="00AF4912">
      <w:pPr>
        <w:spacing w:after="0" w:line="276" w:lineRule="auto"/>
        <w:jc w:val="both"/>
        <w:rPr>
          <w:rFonts w:ascii="Arial" w:hAnsi="Arial" w:cs="Arial"/>
          <w:b/>
          <w:bCs/>
          <w:sz w:val="22"/>
          <w:szCs w:val="22"/>
        </w:rPr>
      </w:pPr>
      <w:r w:rsidRPr="00AF4912">
        <w:rPr>
          <w:rFonts w:ascii="Arial" w:hAnsi="Arial" w:cs="Arial"/>
          <w:b/>
          <w:bCs/>
          <w:sz w:val="22"/>
          <w:szCs w:val="22"/>
        </w:rPr>
        <w:t>Substantial Completion</w:t>
      </w:r>
    </w:p>
    <w:p w14:paraId="3687E16C" w14:textId="77777777" w:rsidR="00AF4912" w:rsidRPr="00AF4912" w:rsidRDefault="00AF4912" w:rsidP="00AF4912">
      <w:pPr>
        <w:spacing w:after="0" w:line="276" w:lineRule="auto"/>
        <w:jc w:val="both"/>
        <w:rPr>
          <w:rFonts w:ascii="Arial" w:hAnsi="Arial" w:cs="Arial"/>
          <w:b/>
          <w:bCs/>
          <w:sz w:val="22"/>
          <w:szCs w:val="22"/>
        </w:rPr>
      </w:pPr>
    </w:p>
    <w:p w14:paraId="2EFB91D9" w14:textId="77777777" w:rsidR="00AF4912" w:rsidRDefault="00AF4912" w:rsidP="00AF4912">
      <w:pPr>
        <w:spacing w:after="0" w:line="276" w:lineRule="auto"/>
        <w:jc w:val="both"/>
        <w:rPr>
          <w:rFonts w:ascii="Arial" w:hAnsi="Arial" w:cs="Arial"/>
          <w:sz w:val="22"/>
          <w:szCs w:val="22"/>
        </w:rPr>
      </w:pPr>
      <w:r w:rsidRPr="00AF4912">
        <w:rPr>
          <w:rFonts w:ascii="Arial" w:hAnsi="Arial" w:cs="Arial"/>
          <w:sz w:val="22"/>
          <w:szCs w:val="22"/>
        </w:rPr>
        <w:t>The assessment of “substantial completion” is a matter of fact and degree, having regard to the principles established in Sage v Secretary of State [2003].</w:t>
      </w:r>
    </w:p>
    <w:p w14:paraId="434329A5" w14:textId="77777777" w:rsidR="00AF4912" w:rsidRPr="00AF4912" w:rsidRDefault="00AF4912" w:rsidP="00AF4912">
      <w:pPr>
        <w:spacing w:after="0" w:line="276" w:lineRule="auto"/>
        <w:jc w:val="both"/>
        <w:rPr>
          <w:rFonts w:ascii="Arial" w:hAnsi="Arial" w:cs="Arial"/>
          <w:sz w:val="22"/>
          <w:szCs w:val="22"/>
        </w:rPr>
      </w:pPr>
    </w:p>
    <w:p w14:paraId="0417114B" w14:textId="77777777" w:rsidR="00AF4912" w:rsidRDefault="00AF4912" w:rsidP="00AF4912">
      <w:pPr>
        <w:spacing w:after="0" w:line="276" w:lineRule="auto"/>
        <w:jc w:val="both"/>
        <w:rPr>
          <w:rFonts w:ascii="Arial" w:hAnsi="Arial" w:cs="Arial"/>
          <w:sz w:val="22"/>
          <w:szCs w:val="22"/>
        </w:rPr>
      </w:pPr>
      <w:r w:rsidRPr="00AF4912">
        <w:rPr>
          <w:rFonts w:ascii="Arial" w:hAnsi="Arial" w:cs="Arial"/>
          <w:sz w:val="22"/>
          <w:szCs w:val="22"/>
        </w:rPr>
        <w:t>The operational development in this case comprises the formation of a roof terrace, including the installation of decking, a turfed area, and enclosing balustrade.</w:t>
      </w:r>
    </w:p>
    <w:p w14:paraId="089A9736" w14:textId="77777777" w:rsidR="00AF4912" w:rsidRPr="00AF4912" w:rsidRDefault="00AF4912" w:rsidP="00AF4912">
      <w:pPr>
        <w:spacing w:after="0" w:line="276" w:lineRule="auto"/>
        <w:jc w:val="both"/>
        <w:rPr>
          <w:rFonts w:ascii="Arial" w:hAnsi="Arial" w:cs="Arial"/>
          <w:sz w:val="22"/>
          <w:szCs w:val="22"/>
        </w:rPr>
      </w:pPr>
    </w:p>
    <w:p w14:paraId="03FF2D76" w14:textId="77777777" w:rsidR="00AF4912" w:rsidRDefault="00AF4912" w:rsidP="00AF4912">
      <w:pPr>
        <w:spacing w:after="0" w:line="276" w:lineRule="auto"/>
        <w:jc w:val="both"/>
        <w:rPr>
          <w:rFonts w:ascii="Arial" w:hAnsi="Arial" w:cs="Arial"/>
          <w:sz w:val="22"/>
          <w:szCs w:val="22"/>
        </w:rPr>
      </w:pPr>
      <w:r w:rsidRPr="00AF4912">
        <w:rPr>
          <w:rFonts w:ascii="Arial" w:hAnsi="Arial" w:cs="Arial"/>
          <w:sz w:val="22"/>
          <w:szCs w:val="22"/>
        </w:rPr>
        <w:t xml:space="preserve">Photographic evidence dated 16 July 2020 shows the terrace in situ, including the decked area, turf, and boundary railings. Whilst built-in seating is not present </w:t>
      </w:r>
      <w:proofErr w:type="gramStart"/>
      <w:r w:rsidRPr="00AF4912">
        <w:rPr>
          <w:rFonts w:ascii="Arial" w:hAnsi="Arial" w:cs="Arial"/>
          <w:sz w:val="22"/>
          <w:szCs w:val="22"/>
        </w:rPr>
        <w:t>at this time</w:t>
      </w:r>
      <w:proofErr w:type="gramEnd"/>
      <w:r w:rsidRPr="00AF4912">
        <w:rPr>
          <w:rFonts w:ascii="Arial" w:hAnsi="Arial" w:cs="Arial"/>
          <w:sz w:val="22"/>
          <w:szCs w:val="22"/>
        </w:rPr>
        <w:t>, the terrace is clearly physically complete and capable of functioning for its intended purpose.</w:t>
      </w:r>
    </w:p>
    <w:p w14:paraId="122BDFF1" w14:textId="77777777" w:rsidR="00AF4912" w:rsidRPr="00AF4912" w:rsidRDefault="00AF4912" w:rsidP="00AF4912">
      <w:pPr>
        <w:spacing w:after="0" w:line="276" w:lineRule="auto"/>
        <w:jc w:val="both"/>
        <w:rPr>
          <w:rFonts w:ascii="Arial" w:hAnsi="Arial" w:cs="Arial"/>
          <w:sz w:val="22"/>
          <w:szCs w:val="22"/>
        </w:rPr>
      </w:pPr>
    </w:p>
    <w:p w14:paraId="6F7FB8B8" w14:textId="77777777" w:rsidR="00AF4912" w:rsidRDefault="00AF4912" w:rsidP="00AF4912">
      <w:pPr>
        <w:spacing w:after="0" w:line="276" w:lineRule="auto"/>
        <w:jc w:val="both"/>
        <w:rPr>
          <w:rFonts w:ascii="Arial" w:hAnsi="Arial" w:cs="Arial"/>
          <w:sz w:val="22"/>
          <w:szCs w:val="22"/>
        </w:rPr>
      </w:pPr>
      <w:r w:rsidRPr="00AF4912">
        <w:rPr>
          <w:rFonts w:ascii="Arial" w:hAnsi="Arial" w:cs="Arial"/>
          <w:sz w:val="22"/>
          <w:szCs w:val="22"/>
        </w:rPr>
        <w:t>The later addition of a built-in seating area (evidenced in January 2021) is not considered integral to the completion of the operational development. The terrace was already capable of being used as a roof terrace without the seating, as evidenced by the presence of a decked and enclosed surface. The seating is therefore considered an ancillary addition relating to the enjoyment of the space, rather than part of the operational development required to achieve substantial completion.</w:t>
      </w:r>
    </w:p>
    <w:p w14:paraId="447EAB4C" w14:textId="77777777" w:rsidR="00AF4912" w:rsidRPr="00AF4912" w:rsidRDefault="00AF4912" w:rsidP="00AF4912">
      <w:pPr>
        <w:spacing w:after="0" w:line="276" w:lineRule="auto"/>
        <w:jc w:val="both"/>
        <w:rPr>
          <w:rFonts w:ascii="Arial" w:hAnsi="Arial" w:cs="Arial"/>
          <w:sz w:val="22"/>
          <w:szCs w:val="22"/>
        </w:rPr>
      </w:pPr>
    </w:p>
    <w:p w14:paraId="4BFDAEEB" w14:textId="11DE552C" w:rsidR="00AF4912" w:rsidRPr="001D7BB4" w:rsidRDefault="00AF4912" w:rsidP="00AF4912">
      <w:pPr>
        <w:spacing w:after="0" w:line="276" w:lineRule="auto"/>
        <w:jc w:val="both"/>
        <w:rPr>
          <w:rFonts w:ascii="Arial" w:hAnsi="Arial" w:cs="Arial"/>
          <w:sz w:val="22"/>
          <w:szCs w:val="22"/>
        </w:rPr>
      </w:pPr>
      <w:r w:rsidRPr="00AF4912">
        <w:rPr>
          <w:rFonts w:ascii="Arial" w:hAnsi="Arial" w:cs="Arial"/>
          <w:sz w:val="22"/>
          <w:szCs w:val="22"/>
        </w:rPr>
        <w:t>On this basis, it is concluded that the operational development was substantially completed in summer 2020.</w:t>
      </w:r>
    </w:p>
    <w:p w14:paraId="4C09FA96" w14:textId="77777777" w:rsidR="001D7BB4" w:rsidRPr="00AF4912" w:rsidRDefault="001D7BB4" w:rsidP="00D47B7B">
      <w:pPr>
        <w:spacing w:after="0" w:line="276" w:lineRule="auto"/>
        <w:jc w:val="both"/>
        <w:rPr>
          <w:rFonts w:ascii="Arial" w:hAnsi="Arial" w:cs="Arial"/>
          <w:sz w:val="22"/>
          <w:szCs w:val="22"/>
        </w:rPr>
      </w:pPr>
    </w:p>
    <w:p w14:paraId="16460994" w14:textId="77777777" w:rsidR="00AF4912" w:rsidRPr="00AF4912" w:rsidRDefault="00AF4912" w:rsidP="00AF4912">
      <w:pPr>
        <w:spacing w:after="0" w:line="276" w:lineRule="auto"/>
        <w:jc w:val="both"/>
        <w:rPr>
          <w:rFonts w:ascii="Arial" w:hAnsi="Arial" w:cs="Arial"/>
          <w:b/>
          <w:bCs/>
          <w:sz w:val="22"/>
          <w:szCs w:val="22"/>
        </w:rPr>
      </w:pPr>
      <w:r w:rsidRPr="00AF4912">
        <w:rPr>
          <w:rFonts w:ascii="Arial" w:hAnsi="Arial" w:cs="Arial"/>
          <w:b/>
          <w:bCs/>
          <w:sz w:val="22"/>
          <w:szCs w:val="22"/>
        </w:rPr>
        <w:t>Continuous Use</w:t>
      </w:r>
    </w:p>
    <w:p w14:paraId="373FAFB0" w14:textId="77777777" w:rsidR="00AF4912" w:rsidRPr="00AF4912" w:rsidRDefault="00AF4912" w:rsidP="00AF4912">
      <w:pPr>
        <w:spacing w:after="0" w:line="276" w:lineRule="auto"/>
        <w:jc w:val="both"/>
        <w:rPr>
          <w:rFonts w:ascii="Arial" w:hAnsi="Arial" w:cs="Arial"/>
          <w:b/>
          <w:bCs/>
          <w:sz w:val="22"/>
          <w:szCs w:val="22"/>
        </w:rPr>
      </w:pPr>
    </w:p>
    <w:p w14:paraId="17EA33CE" w14:textId="77777777" w:rsidR="00AF4912" w:rsidRDefault="00AF4912" w:rsidP="00AF4912">
      <w:pPr>
        <w:spacing w:after="0" w:line="276" w:lineRule="auto"/>
        <w:jc w:val="both"/>
        <w:rPr>
          <w:rFonts w:ascii="Arial" w:hAnsi="Arial" w:cs="Arial"/>
          <w:sz w:val="22"/>
          <w:szCs w:val="22"/>
        </w:rPr>
      </w:pPr>
      <w:r w:rsidRPr="00AF4912">
        <w:rPr>
          <w:rFonts w:ascii="Arial" w:hAnsi="Arial" w:cs="Arial"/>
          <w:sz w:val="22"/>
          <w:szCs w:val="22"/>
        </w:rPr>
        <w:t>Whilst the application concerns operational development rather than a material change of use, the applicant has provided evidence to demonstrate the continued presence and use of the terrace since its construction.</w:t>
      </w:r>
    </w:p>
    <w:p w14:paraId="61A73C69" w14:textId="77777777" w:rsidR="008D0C20" w:rsidRPr="00AF4912" w:rsidRDefault="008D0C20" w:rsidP="00AF4912">
      <w:pPr>
        <w:spacing w:after="0" w:line="276" w:lineRule="auto"/>
        <w:jc w:val="both"/>
        <w:rPr>
          <w:rFonts w:ascii="Arial" w:hAnsi="Arial" w:cs="Arial"/>
          <w:sz w:val="22"/>
          <w:szCs w:val="22"/>
        </w:rPr>
      </w:pPr>
    </w:p>
    <w:p w14:paraId="0ED232CA" w14:textId="3DC001F5" w:rsidR="00AF4912" w:rsidRPr="00AF4912" w:rsidRDefault="00AF4912" w:rsidP="00AF4912">
      <w:pPr>
        <w:spacing w:after="0" w:line="276" w:lineRule="auto"/>
        <w:jc w:val="both"/>
        <w:rPr>
          <w:rFonts w:ascii="Arial" w:hAnsi="Arial" w:cs="Arial"/>
          <w:sz w:val="22"/>
          <w:szCs w:val="22"/>
        </w:rPr>
      </w:pPr>
      <w:r w:rsidRPr="00AF4912">
        <w:rPr>
          <w:rFonts w:ascii="Arial" w:hAnsi="Arial" w:cs="Arial"/>
          <w:sz w:val="22"/>
          <w:szCs w:val="22"/>
        </w:rPr>
        <w:t xml:space="preserve">A series of photographs spanning from 2020 onwards </w:t>
      </w:r>
      <w:r w:rsidR="008D0C20">
        <w:rPr>
          <w:rFonts w:ascii="Arial" w:hAnsi="Arial" w:cs="Arial"/>
          <w:sz w:val="22"/>
          <w:szCs w:val="22"/>
        </w:rPr>
        <w:t>demonstrates</w:t>
      </w:r>
      <w:r w:rsidRPr="00AF4912">
        <w:rPr>
          <w:rFonts w:ascii="Arial" w:hAnsi="Arial" w:cs="Arial"/>
          <w:sz w:val="22"/>
          <w:szCs w:val="22"/>
        </w:rPr>
        <w:t xml:space="preserve"> the ongoing existence of the terrace. In addition, </w:t>
      </w:r>
      <w:r w:rsidR="001A12FC">
        <w:rPr>
          <w:rFonts w:ascii="Arial" w:hAnsi="Arial" w:cs="Arial"/>
          <w:sz w:val="22"/>
          <w:szCs w:val="22"/>
        </w:rPr>
        <w:t>two</w:t>
      </w:r>
      <w:r w:rsidRPr="00AF4912">
        <w:rPr>
          <w:rFonts w:ascii="Arial" w:hAnsi="Arial" w:cs="Arial"/>
          <w:sz w:val="22"/>
          <w:szCs w:val="22"/>
        </w:rPr>
        <w:t xml:space="preserve"> written statements from neighbouring occupiers confirm that the terrace has been present since 2020.</w:t>
      </w:r>
    </w:p>
    <w:p w14:paraId="405048C2" w14:textId="77777777" w:rsidR="00AF4912" w:rsidRPr="00AF4912" w:rsidRDefault="00AF4912" w:rsidP="00AF4912">
      <w:pPr>
        <w:spacing w:after="0" w:line="276" w:lineRule="auto"/>
        <w:jc w:val="both"/>
        <w:rPr>
          <w:rFonts w:ascii="Arial" w:hAnsi="Arial" w:cs="Arial"/>
          <w:sz w:val="22"/>
          <w:szCs w:val="22"/>
        </w:rPr>
      </w:pPr>
    </w:p>
    <w:p w14:paraId="30F337C4" w14:textId="77777777" w:rsidR="00AF4912" w:rsidRDefault="00AF4912" w:rsidP="00AF4912">
      <w:pPr>
        <w:spacing w:after="0" w:line="276" w:lineRule="auto"/>
        <w:jc w:val="both"/>
        <w:rPr>
          <w:rFonts w:ascii="Arial" w:hAnsi="Arial" w:cs="Arial"/>
          <w:sz w:val="22"/>
          <w:szCs w:val="22"/>
        </w:rPr>
      </w:pPr>
      <w:r w:rsidRPr="00AF4912">
        <w:rPr>
          <w:rFonts w:ascii="Arial" w:hAnsi="Arial" w:cs="Arial"/>
          <w:sz w:val="22"/>
          <w:szCs w:val="22"/>
        </w:rPr>
        <w:lastRenderedPageBreak/>
        <w:t>There is no evidence to indicate that the terrace has been removed or altered in a manner that would interrupt its continued existence.</w:t>
      </w:r>
    </w:p>
    <w:p w14:paraId="0185C508" w14:textId="77777777" w:rsidR="002E3052" w:rsidRDefault="002E3052" w:rsidP="00AF4912">
      <w:pPr>
        <w:spacing w:after="0" w:line="276" w:lineRule="auto"/>
        <w:jc w:val="both"/>
        <w:rPr>
          <w:rFonts w:ascii="Arial" w:hAnsi="Arial" w:cs="Arial"/>
          <w:sz w:val="22"/>
          <w:szCs w:val="22"/>
        </w:rPr>
      </w:pPr>
    </w:p>
    <w:p w14:paraId="6DE6235D" w14:textId="77777777" w:rsidR="002E3052" w:rsidRPr="002E3052" w:rsidRDefault="002E3052" w:rsidP="002E3052">
      <w:pPr>
        <w:spacing w:after="0" w:line="276" w:lineRule="auto"/>
        <w:jc w:val="both"/>
        <w:rPr>
          <w:rFonts w:ascii="Arial" w:hAnsi="Arial" w:cs="Arial"/>
          <w:b/>
          <w:bCs/>
          <w:sz w:val="22"/>
          <w:szCs w:val="22"/>
        </w:rPr>
      </w:pPr>
      <w:r w:rsidRPr="002E3052">
        <w:rPr>
          <w:rFonts w:ascii="Arial" w:hAnsi="Arial" w:cs="Arial"/>
          <w:b/>
          <w:bCs/>
          <w:sz w:val="22"/>
          <w:szCs w:val="22"/>
        </w:rPr>
        <w:t>Planning Permission Conditions or Permitted Development</w:t>
      </w:r>
    </w:p>
    <w:p w14:paraId="4F2A91B4" w14:textId="77777777" w:rsidR="002E3052" w:rsidRPr="002E3052" w:rsidRDefault="002E3052" w:rsidP="002E3052">
      <w:pPr>
        <w:spacing w:after="0" w:line="276" w:lineRule="auto"/>
        <w:jc w:val="both"/>
        <w:rPr>
          <w:rFonts w:ascii="Arial" w:hAnsi="Arial" w:cs="Arial"/>
          <w:sz w:val="22"/>
          <w:szCs w:val="22"/>
        </w:rPr>
      </w:pPr>
    </w:p>
    <w:p w14:paraId="30E7880B" w14:textId="77777777" w:rsidR="002E3052" w:rsidRPr="002E3052" w:rsidRDefault="002E3052" w:rsidP="002E3052">
      <w:pPr>
        <w:spacing w:after="0" w:line="276" w:lineRule="auto"/>
        <w:jc w:val="both"/>
        <w:rPr>
          <w:rFonts w:ascii="Arial" w:hAnsi="Arial" w:cs="Arial"/>
          <w:sz w:val="22"/>
          <w:szCs w:val="22"/>
        </w:rPr>
      </w:pPr>
      <w:r w:rsidRPr="002E3052">
        <w:rPr>
          <w:rFonts w:ascii="Arial" w:hAnsi="Arial" w:cs="Arial"/>
          <w:sz w:val="22"/>
          <w:szCs w:val="22"/>
        </w:rPr>
        <w:t>There is no evidence before the Council to indicate that the development is in breach of any planning condition which would remove permitted development rights or otherwise alter the applicable immunity period.</w:t>
      </w:r>
    </w:p>
    <w:p w14:paraId="284972BC" w14:textId="77777777" w:rsidR="002E3052" w:rsidRPr="002E3052" w:rsidRDefault="002E3052" w:rsidP="002E3052">
      <w:pPr>
        <w:spacing w:after="0" w:line="276" w:lineRule="auto"/>
        <w:jc w:val="both"/>
        <w:rPr>
          <w:rFonts w:ascii="Arial" w:hAnsi="Arial" w:cs="Arial"/>
          <w:sz w:val="22"/>
          <w:szCs w:val="22"/>
        </w:rPr>
      </w:pPr>
    </w:p>
    <w:p w14:paraId="6D6BCBCB" w14:textId="3D5AEA88" w:rsidR="002E3052" w:rsidRPr="00AF4912" w:rsidRDefault="002E3052" w:rsidP="002E3052">
      <w:pPr>
        <w:spacing w:after="0" w:line="276" w:lineRule="auto"/>
        <w:jc w:val="both"/>
        <w:rPr>
          <w:rFonts w:ascii="Arial" w:hAnsi="Arial" w:cs="Arial"/>
          <w:sz w:val="22"/>
          <w:szCs w:val="22"/>
        </w:rPr>
      </w:pPr>
      <w:r w:rsidRPr="002E3052">
        <w:rPr>
          <w:rFonts w:ascii="Arial" w:hAnsi="Arial" w:cs="Arial"/>
          <w:sz w:val="22"/>
          <w:szCs w:val="22"/>
        </w:rPr>
        <w:t>The development is therefore assessed solely as operational development subject to the relevant time limits under Section 171B.</w:t>
      </w:r>
    </w:p>
    <w:p w14:paraId="6B2F2AA6" w14:textId="77777777" w:rsidR="00AF4912" w:rsidRDefault="00AF4912" w:rsidP="00D47B7B">
      <w:pPr>
        <w:spacing w:after="0" w:line="276" w:lineRule="auto"/>
        <w:jc w:val="both"/>
        <w:rPr>
          <w:rFonts w:ascii="Arial" w:hAnsi="Arial" w:cs="Arial"/>
          <w:color w:val="ED0000"/>
          <w:sz w:val="22"/>
          <w:szCs w:val="22"/>
        </w:rPr>
      </w:pPr>
    </w:p>
    <w:p w14:paraId="7E30FB7D" w14:textId="77777777" w:rsidR="002E3052" w:rsidRPr="002E3052" w:rsidRDefault="002E3052" w:rsidP="002E3052">
      <w:pPr>
        <w:spacing w:after="0" w:line="276" w:lineRule="auto"/>
        <w:jc w:val="both"/>
        <w:rPr>
          <w:rFonts w:ascii="Arial" w:hAnsi="Arial" w:cs="Arial"/>
          <w:b/>
          <w:bCs/>
          <w:sz w:val="22"/>
          <w:szCs w:val="22"/>
        </w:rPr>
      </w:pPr>
      <w:r w:rsidRPr="002E3052">
        <w:rPr>
          <w:rFonts w:ascii="Arial" w:hAnsi="Arial" w:cs="Arial"/>
          <w:b/>
          <w:bCs/>
          <w:sz w:val="22"/>
          <w:szCs w:val="22"/>
        </w:rPr>
        <w:t>Evidence Submitted by the Applicant</w:t>
      </w:r>
    </w:p>
    <w:p w14:paraId="78A542A4" w14:textId="77777777" w:rsidR="002E3052" w:rsidRPr="002E3052" w:rsidRDefault="002E3052" w:rsidP="002E3052">
      <w:pPr>
        <w:spacing w:after="0" w:line="276" w:lineRule="auto"/>
        <w:jc w:val="both"/>
        <w:rPr>
          <w:rFonts w:ascii="Arial" w:hAnsi="Arial" w:cs="Arial"/>
          <w:b/>
          <w:bCs/>
          <w:sz w:val="22"/>
          <w:szCs w:val="22"/>
        </w:rPr>
      </w:pPr>
    </w:p>
    <w:p w14:paraId="382CE31F" w14:textId="77777777" w:rsidR="002E3052" w:rsidRPr="002E3052" w:rsidRDefault="002E3052" w:rsidP="002E3052">
      <w:pPr>
        <w:spacing w:after="0" w:line="276" w:lineRule="auto"/>
        <w:jc w:val="both"/>
        <w:rPr>
          <w:rFonts w:ascii="Arial" w:hAnsi="Arial" w:cs="Arial"/>
          <w:sz w:val="22"/>
          <w:szCs w:val="22"/>
        </w:rPr>
      </w:pPr>
      <w:r w:rsidRPr="002E3052">
        <w:rPr>
          <w:rFonts w:ascii="Arial" w:hAnsi="Arial" w:cs="Arial"/>
          <w:sz w:val="22"/>
          <w:szCs w:val="22"/>
        </w:rPr>
        <w:t>The applicant has submitted the following evidence in support of the application:</w:t>
      </w:r>
    </w:p>
    <w:p w14:paraId="035D9795" w14:textId="77777777" w:rsidR="002E3052" w:rsidRPr="002E3052" w:rsidRDefault="002E3052" w:rsidP="002E3052">
      <w:pPr>
        <w:spacing w:after="0" w:line="276" w:lineRule="auto"/>
        <w:jc w:val="both"/>
        <w:rPr>
          <w:rFonts w:ascii="Arial" w:hAnsi="Arial" w:cs="Arial"/>
          <w:sz w:val="22"/>
          <w:szCs w:val="22"/>
        </w:rPr>
      </w:pPr>
    </w:p>
    <w:p w14:paraId="2D11E7B7" w14:textId="77777777" w:rsidR="002E3052" w:rsidRPr="002E3052" w:rsidRDefault="002E3052" w:rsidP="002E3052">
      <w:pPr>
        <w:numPr>
          <w:ilvl w:val="0"/>
          <w:numId w:val="20"/>
        </w:numPr>
        <w:spacing w:after="0" w:line="276" w:lineRule="auto"/>
        <w:jc w:val="both"/>
        <w:rPr>
          <w:rFonts w:ascii="Arial" w:hAnsi="Arial" w:cs="Arial"/>
          <w:sz w:val="22"/>
          <w:szCs w:val="22"/>
        </w:rPr>
      </w:pPr>
      <w:r w:rsidRPr="002E3052">
        <w:rPr>
          <w:rFonts w:ascii="Arial" w:hAnsi="Arial" w:cs="Arial"/>
          <w:sz w:val="22"/>
          <w:szCs w:val="22"/>
        </w:rPr>
        <w:t xml:space="preserve">Dated photographs of the terrace, including: </w:t>
      </w:r>
    </w:p>
    <w:p w14:paraId="22F32DF3" w14:textId="77777777" w:rsidR="002E3052" w:rsidRPr="002E3052" w:rsidRDefault="002E3052" w:rsidP="002E3052">
      <w:pPr>
        <w:numPr>
          <w:ilvl w:val="1"/>
          <w:numId w:val="20"/>
        </w:numPr>
        <w:spacing w:after="0" w:line="276" w:lineRule="auto"/>
        <w:jc w:val="both"/>
        <w:rPr>
          <w:rFonts w:ascii="Arial" w:hAnsi="Arial" w:cs="Arial"/>
          <w:sz w:val="22"/>
          <w:szCs w:val="22"/>
        </w:rPr>
      </w:pPr>
      <w:r w:rsidRPr="002E3052">
        <w:rPr>
          <w:rFonts w:ascii="Arial" w:hAnsi="Arial" w:cs="Arial"/>
          <w:sz w:val="22"/>
          <w:szCs w:val="22"/>
        </w:rPr>
        <w:t>An image dated 16 July 2020 showing the terrace with decking, turf, and boundary railings in place</w:t>
      </w:r>
    </w:p>
    <w:p w14:paraId="66368E47" w14:textId="77777777" w:rsidR="002E3052" w:rsidRPr="002E3052" w:rsidRDefault="002E3052" w:rsidP="002E3052">
      <w:pPr>
        <w:numPr>
          <w:ilvl w:val="1"/>
          <w:numId w:val="20"/>
        </w:numPr>
        <w:spacing w:after="0" w:line="276" w:lineRule="auto"/>
        <w:jc w:val="both"/>
        <w:rPr>
          <w:rFonts w:ascii="Arial" w:hAnsi="Arial" w:cs="Arial"/>
          <w:sz w:val="22"/>
          <w:szCs w:val="22"/>
        </w:rPr>
      </w:pPr>
      <w:r w:rsidRPr="002E3052">
        <w:rPr>
          <w:rFonts w:ascii="Arial" w:hAnsi="Arial" w:cs="Arial"/>
          <w:sz w:val="22"/>
          <w:szCs w:val="22"/>
        </w:rPr>
        <w:t>An image dated 31 January 2021 showing the addition of seating and the finished arrangement of the terrace</w:t>
      </w:r>
    </w:p>
    <w:p w14:paraId="55FD332D" w14:textId="77777777" w:rsidR="002E3052" w:rsidRPr="002E3052" w:rsidRDefault="002E3052" w:rsidP="002E3052">
      <w:pPr>
        <w:numPr>
          <w:ilvl w:val="1"/>
          <w:numId w:val="20"/>
        </w:numPr>
        <w:spacing w:after="0" w:line="276" w:lineRule="auto"/>
        <w:jc w:val="both"/>
        <w:rPr>
          <w:rFonts w:ascii="Arial" w:hAnsi="Arial" w:cs="Arial"/>
          <w:sz w:val="22"/>
          <w:szCs w:val="22"/>
        </w:rPr>
      </w:pPr>
      <w:r w:rsidRPr="002E3052">
        <w:rPr>
          <w:rFonts w:ascii="Arial" w:hAnsi="Arial" w:cs="Arial"/>
          <w:sz w:val="22"/>
          <w:szCs w:val="22"/>
        </w:rPr>
        <w:t>Additional photographs covering the intervening period to demonstrate continued existence and use</w:t>
      </w:r>
    </w:p>
    <w:p w14:paraId="6DA12913" w14:textId="21FF7342" w:rsidR="002E3052" w:rsidRPr="002E3052" w:rsidRDefault="002E3052" w:rsidP="002E3052">
      <w:pPr>
        <w:numPr>
          <w:ilvl w:val="0"/>
          <w:numId w:val="20"/>
        </w:numPr>
        <w:spacing w:after="0" w:line="276" w:lineRule="auto"/>
        <w:jc w:val="both"/>
        <w:rPr>
          <w:rFonts w:ascii="Arial" w:hAnsi="Arial" w:cs="Arial"/>
          <w:sz w:val="22"/>
          <w:szCs w:val="22"/>
        </w:rPr>
      </w:pPr>
      <w:r w:rsidRPr="002E3052">
        <w:rPr>
          <w:rFonts w:ascii="Arial" w:hAnsi="Arial" w:cs="Arial"/>
          <w:sz w:val="22"/>
          <w:szCs w:val="22"/>
        </w:rPr>
        <w:t xml:space="preserve">Written statements from </w:t>
      </w:r>
      <w:r w:rsidR="001A12FC">
        <w:rPr>
          <w:rFonts w:ascii="Arial" w:hAnsi="Arial" w:cs="Arial"/>
          <w:sz w:val="22"/>
          <w:szCs w:val="22"/>
        </w:rPr>
        <w:t>two</w:t>
      </w:r>
      <w:r w:rsidRPr="002E3052">
        <w:rPr>
          <w:rFonts w:ascii="Arial" w:hAnsi="Arial" w:cs="Arial"/>
          <w:sz w:val="22"/>
          <w:szCs w:val="22"/>
        </w:rPr>
        <w:t xml:space="preserve"> neighbouring occupiers, confirming that the terrace has existed since 2020</w:t>
      </w:r>
    </w:p>
    <w:p w14:paraId="5AB1B509" w14:textId="77777777" w:rsidR="002E3052" w:rsidRPr="002E3052" w:rsidRDefault="002E3052" w:rsidP="002E3052">
      <w:pPr>
        <w:numPr>
          <w:ilvl w:val="0"/>
          <w:numId w:val="20"/>
        </w:numPr>
        <w:spacing w:after="0" w:line="276" w:lineRule="auto"/>
        <w:jc w:val="both"/>
        <w:rPr>
          <w:rFonts w:ascii="Arial" w:hAnsi="Arial" w:cs="Arial"/>
          <w:sz w:val="22"/>
          <w:szCs w:val="22"/>
        </w:rPr>
      </w:pPr>
      <w:r w:rsidRPr="002E3052">
        <w:rPr>
          <w:rFonts w:ascii="Arial" w:hAnsi="Arial" w:cs="Arial"/>
          <w:sz w:val="22"/>
          <w:szCs w:val="22"/>
        </w:rPr>
        <w:t>A personal statement confirming the construction timeline and ongoing use of the terrace</w:t>
      </w:r>
    </w:p>
    <w:p w14:paraId="0F76AAA4" w14:textId="77777777" w:rsidR="002E3052" w:rsidRPr="002E3052" w:rsidRDefault="002E3052" w:rsidP="002E3052">
      <w:pPr>
        <w:spacing w:after="0" w:line="276" w:lineRule="auto"/>
        <w:ind w:left="720"/>
        <w:jc w:val="both"/>
        <w:rPr>
          <w:rFonts w:ascii="Arial" w:hAnsi="Arial" w:cs="Arial"/>
          <w:sz w:val="22"/>
          <w:szCs w:val="22"/>
        </w:rPr>
      </w:pPr>
    </w:p>
    <w:p w14:paraId="6E7B1347" w14:textId="7341679E" w:rsidR="002E3052" w:rsidRPr="002E3052" w:rsidRDefault="002E3052" w:rsidP="002E3052">
      <w:pPr>
        <w:spacing w:after="0" w:line="276" w:lineRule="auto"/>
        <w:jc w:val="both"/>
        <w:rPr>
          <w:rFonts w:ascii="Arial" w:hAnsi="Arial" w:cs="Arial"/>
          <w:sz w:val="22"/>
          <w:szCs w:val="22"/>
        </w:rPr>
      </w:pPr>
      <w:r w:rsidRPr="002E3052">
        <w:rPr>
          <w:rFonts w:ascii="Arial" w:hAnsi="Arial" w:cs="Arial"/>
          <w:sz w:val="22"/>
          <w:szCs w:val="22"/>
        </w:rPr>
        <w:t xml:space="preserve">In addition to the submitted material, the </w:t>
      </w:r>
      <w:r w:rsidR="001A12FC">
        <w:rPr>
          <w:rFonts w:ascii="Arial" w:hAnsi="Arial" w:cs="Arial"/>
          <w:sz w:val="22"/>
          <w:szCs w:val="22"/>
        </w:rPr>
        <w:t>LPA</w:t>
      </w:r>
      <w:r w:rsidRPr="002E3052">
        <w:rPr>
          <w:rFonts w:ascii="Arial" w:hAnsi="Arial" w:cs="Arial"/>
          <w:sz w:val="22"/>
          <w:szCs w:val="22"/>
        </w:rPr>
        <w:t xml:space="preserve"> has</w:t>
      </w:r>
      <w:r w:rsidR="001A12FC">
        <w:rPr>
          <w:rFonts w:ascii="Arial" w:hAnsi="Arial" w:cs="Arial"/>
          <w:sz w:val="22"/>
          <w:szCs w:val="22"/>
        </w:rPr>
        <w:t xml:space="preserve"> also</w:t>
      </w:r>
      <w:r w:rsidRPr="002E3052">
        <w:rPr>
          <w:rFonts w:ascii="Arial" w:hAnsi="Arial" w:cs="Arial"/>
          <w:sz w:val="22"/>
          <w:szCs w:val="22"/>
        </w:rPr>
        <w:t xml:space="preserve"> reviewed:</w:t>
      </w:r>
    </w:p>
    <w:p w14:paraId="029F720C" w14:textId="593CEB3C" w:rsidR="002E3052" w:rsidRPr="002E3052" w:rsidRDefault="002E3052" w:rsidP="002E3052">
      <w:pPr>
        <w:numPr>
          <w:ilvl w:val="0"/>
          <w:numId w:val="21"/>
        </w:numPr>
        <w:spacing w:after="0" w:line="276" w:lineRule="auto"/>
        <w:jc w:val="both"/>
        <w:rPr>
          <w:rFonts w:ascii="Arial" w:hAnsi="Arial" w:cs="Arial"/>
          <w:sz w:val="22"/>
          <w:szCs w:val="22"/>
        </w:rPr>
      </w:pPr>
      <w:r w:rsidRPr="002E3052">
        <w:rPr>
          <w:rFonts w:ascii="Arial" w:hAnsi="Arial" w:cs="Arial"/>
          <w:sz w:val="22"/>
          <w:szCs w:val="22"/>
        </w:rPr>
        <w:t xml:space="preserve">Google Earth historical imagery, which shows no terrace present in May 2018 and the terrace </w:t>
      </w:r>
      <w:r w:rsidR="001A12FC">
        <w:rPr>
          <w:rFonts w:ascii="Arial" w:hAnsi="Arial" w:cs="Arial"/>
          <w:sz w:val="22"/>
          <w:szCs w:val="22"/>
        </w:rPr>
        <w:t xml:space="preserve">being </w:t>
      </w:r>
      <w:r w:rsidRPr="002E3052">
        <w:rPr>
          <w:rFonts w:ascii="Arial" w:hAnsi="Arial" w:cs="Arial"/>
          <w:sz w:val="22"/>
          <w:szCs w:val="22"/>
        </w:rPr>
        <w:t>visible by September 2020</w:t>
      </w:r>
    </w:p>
    <w:p w14:paraId="39E6F586" w14:textId="77777777" w:rsidR="002E3052" w:rsidRPr="002E3052" w:rsidRDefault="002E3052" w:rsidP="002E3052">
      <w:pPr>
        <w:numPr>
          <w:ilvl w:val="0"/>
          <w:numId w:val="21"/>
        </w:numPr>
        <w:spacing w:after="0" w:line="276" w:lineRule="auto"/>
        <w:jc w:val="both"/>
        <w:rPr>
          <w:rFonts w:ascii="Arial" w:hAnsi="Arial" w:cs="Arial"/>
          <w:sz w:val="22"/>
          <w:szCs w:val="22"/>
        </w:rPr>
      </w:pPr>
      <w:r w:rsidRPr="002E3052">
        <w:rPr>
          <w:rFonts w:ascii="Arial" w:hAnsi="Arial" w:cs="Arial"/>
          <w:sz w:val="22"/>
          <w:szCs w:val="22"/>
        </w:rPr>
        <w:t>Council aerial imagery (Get Mapping 2020), which indicates that the terrace was not present at the time of capture, supporting the conclusion that construction occurred during 2020</w:t>
      </w:r>
    </w:p>
    <w:p w14:paraId="754507D4" w14:textId="77777777" w:rsidR="002E3052" w:rsidRDefault="002E3052" w:rsidP="00D47B7B">
      <w:pPr>
        <w:spacing w:after="0" w:line="276" w:lineRule="auto"/>
        <w:jc w:val="both"/>
        <w:rPr>
          <w:rFonts w:ascii="Arial" w:hAnsi="Arial" w:cs="Arial"/>
          <w:color w:val="ED0000"/>
          <w:sz w:val="22"/>
          <w:szCs w:val="22"/>
        </w:rPr>
      </w:pPr>
    </w:p>
    <w:p w14:paraId="69AE2A6D" w14:textId="77777777" w:rsidR="002A5C0C" w:rsidRPr="002A5C0C" w:rsidRDefault="002A5C0C" w:rsidP="002A5C0C">
      <w:pPr>
        <w:spacing w:after="0" w:line="276" w:lineRule="auto"/>
        <w:jc w:val="both"/>
        <w:rPr>
          <w:rFonts w:ascii="Arial" w:hAnsi="Arial" w:cs="Arial"/>
          <w:b/>
          <w:bCs/>
          <w:sz w:val="22"/>
          <w:szCs w:val="22"/>
        </w:rPr>
      </w:pPr>
      <w:r w:rsidRPr="002A5C0C">
        <w:rPr>
          <w:rFonts w:ascii="Arial" w:hAnsi="Arial" w:cs="Arial"/>
          <w:b/>
          <w:bCs/>
          <w:sz w:val="22"/>
          <w:szCs w:val="22"/>
        </w:rPr>
        <w:t>Assessment</w:t>
      </w:r>
    </w:p>
    <w:p w14:paraId="0933BEEF" w14:textId="77777777" w:rsidR="002A5C0C" w:rsidRPr="002A5C0C" w:rsidRDefault="002A5C0C" w:rsidP="002A5C0C">
      <w:pPr>
        <w:spacing w:after="0" w:line="276" w:lineRule="auto"/>
        <w:jc w:val="both"/>
        <w:rPr>
          <w:rFonts w:ascii="Arial" w:hAnsi="Arial" w:cs="Arial"/>
          <w:b/>
          <w:bCs/>
          <w:sz w:val="22"/>
          <w:szCs w:val="22"/>
        </w:rPr>
      </w:pPr>
    </w:p>
    <w:p w14:paraId="599E79AD" w14:textId="77777777" w:rsidR="002A5C0C" w:rsidRPr="002A5C0C" w:rsidRDefault="002A5C0C" w:rsidP="002A5C0C">
      <w:pPr>
        <w:spacing w:after="0" w:line="276" w:lineRule="auto"/>
        <w:jc w:val="both"/>
        <w:rPr>
          <w:rFonts w:ascii="Arial" w:hAnsi="Arial" w:cs="Arial"/>
          <w:sz w:val="22"/>
          <w:szCs w:val="22"/>
        </w:rPr>
      </w:pPr>
      <w:r w:rsidRPr="00692AC8">
        <w:rPr>
          <w:rFonts w:ascii="Arial" w:hAnsi="Arial" w:cs="Arial"/>
          <w:sz w:val="22"/>
          <w:szCs w:val="22"/>
        </w:rPr>
        <w:t>Having regard to the evidence submitted and that available to the Local Planning Authority, it is considered that:</w:t>
      </w:r>
    </w:p>
    <w:p w14:paraId="2FAED923" w14:textId="77777777" w:rsidR="002A5C0C" w:rsidRPr="002A5C0C" w:rsidRDefault="002A5C0C" w:rsidP="002A5C0C">
      <w:pPr>
        <w:spacing w:after="0" w:line="276" w:lineRule="auto"/>
        <w:jc w:val="both"/>
        <w:rPr>
          <w:rFonts w:ascii="Arial" w:hAnsi="Arial" w:cs="Arial"/>
          <w:sz w:val="22"/>
          <w:szCs w:val="22"/>
        </w:rPr>
      </w:pPr>
    </w:p>
    <w:p w14:paraId="61CCCDC8" w14:textId="77777777" w:rsidR="002A5C0C" w:rsidRPr="002A5C0C" w:rsidRDefault="002A5C0C" w:rsidP="002A5C0C">
      <w:pPr>
        <w:pStyle w:val="ListParagraph"/>
        <w:numPr>
          <w:ilvl w:val="0"/>
          <w:numId w:val="22"/>
        </w:numPr>
        <w:spacing w:after="0" w:line="276" w:lineRule="auto"/>
        <w:jc w:val="both"/>
        <w:rPr>
          <w:rFonts w:ascii="Arial" w:hAnsi="Arial" w:cs="Arial"/>
          <w:sz w:val="22"/>
          <w:szCs w:val="22"/>
        </w:rPr>
      </w:pPr>
      <w:r w:rsidRPr="002A5C0C">
        <w:rPr>
          <w:rFonts w:ascii="Arial" w:hAnsi="Arial" w:cs="Arial"/>
          <w:sz w:val="22"/>
          <w:szCs w:val="22"/>
        </w:rPr>
        <w:t>The terrace is clearly visible in aerial imagery by late 2020</w:t>
      </w:r>
    </w:p>
    <w:p w14:paraId="08FF6918" w14:textId="77777777" w:rsidR="002A5C0C" w:rsidRPr="002A5C0C" w:rsidRDefault="002A5C0C" w:rsidP="002A5C0C">
      <w:pPr>
        <w:pStyle w:val="ListParagraph"/>
        <w:numPr>
          <w:ilvl w:val="0"/>
          <w:numId w:val="22"/>
        </w:numPr>
        <w:spacing w:after="0" w:line="276" w:lineRule="auto"/>
        <w:jc w:val="both"/>
        <w:rPr>
          <w:rFonts w:ascii="Arial" w:hAnsi="Arial" w:cs="Arial"/>
          <w:sz w:val="22"/>
          <w:szCs w:val="22"/>
        </w:rPr>
      </w:pPr>
      <w:r w:rsidRPr="002A5C0C">
        <w:rPr>
          <w:rFonts w:ascii="Arial" w:hAnsi="Arial" w:cs="Arial"/>
          <w:sz w:val="22"/>
          <w:szCs w:val="22"/>
        </w:rPr>
        <w:t>Dated photographs demonstrate the terrace in a substantially complete form by July 2020</w:t>
      </w:r>
    </w:p>
    <w:p w14:paraId="496F85B9" w14:textId="77777777" w:rsidR="002A5C0C" w:rsidRPr="002A5C0C" w:rsidRDefault="002A5C0C" w:rsidP="002A5C0C">
      <w:pPr>
        <w:pStyle w:val="ListParagraph"/>
        <w:numPr>
          <w:ilvl w:val="0"/>
          <w:numId w:val="22"/>
        </w:numPr>
        <w:spacing w:after="0" w:line="276" w:lineRule="auto"/>
        <w:jc w:val="both"/>
        <w:rPr>
          <w:rFonts w:ascii="Arial" w:hAnsi="Arial" w:cs="Arial"/>
          <w:sz w:val="22"/>
          <w:szCs w:val="22"/>
        </w:rPr>
      </w:pPr>
      <w:r w:rsidRPr="002A5C0C">
        <w:rPr>
          <w:rFonts w:ascii="Arial" w:hAnsi="Arial" w:cs="Arial"/>
          <w:sz w:val="22"/>
          <w:szCs w:val="22"/>
        </w:rPr>
        <w:t>The later addition of built-in seating does not form part of the substantial completion of the operational development, as the terrace was already capable of functioning for its intended purpose</w:t>
      </w:r>
    </w:p>
    <w:p w14:paraId="5669F966" w14:textId="77777777" w:rsidR="002A5C0C" w:rsidRPr="002A5C0C" w:rsidRDefault="002A5C0C" w:rsidP="002A5C0C">
      <w:pPr>
        <w:pStyle w:val="ListParagraph"/>
        <w:numPr>
          <w:ilvl w:val="0"/>
          <w:numId w:val="22"/>
        </w:numPr>
        <w:spacing w:after="0" w:line="276" w:lineRule="auto"/>
        <w:jc w:val="both"/>
        <w:rPr>
          <w:rFonts w:ascii="Arial" w:hAnsi="Arial" w:cs="Arial"/>
          <w:sz w:val="22"/>
          <w:szCs w:val="22"/>
        </w:rPr>
      </w:pPr>
      <w:r w:rsidRPr="002A5C0C">
        <w:rPr>
          <w:rFonts w:ascii="Arial" w:hAnsi="Arial" w:cs="Arial"/>
          <w:sz w:val="22"/>
          <w:szCs w:val="22"/>
        </w:rPr>
        <w:t>Independent neighbour statements corroborate the existence of the terrace since 2020</w:t>
      </w:r>
    </w:p>
    <w:p w14:paraId="3A91AD2D" w14:textId="77777777" w:rsidR="002A5C0C" w:rsidRPr="002A5C0C" w:rsidRDefault="002A5C0C" w:rsidP="002A5C0C">
      <w:pPr>
        <w:pStyle w:val="ListParagraph"/>
        <w:numPr>
          <w:ilvl w:val="0"/>
          <w:numId w:val="22"/>
        </w:numPr>
        <w:spacing w:after="0" w:line="276" w:lineRule="auto"/>
        <w:jc w:val="both"/>
        <w:rPr>
          <w:rFonts w:ascii="Arial" w:hAnsi="Arial" w:cs="Arial"/>
          <w:sz w:val="22"/>
          <w:szCs w:val="22"/>
        </w:rPr>
      </w:pPr>
      <w:r w:rsidRPr="002A5C0C">
        <w:rPr>
          <w:rFonts w:ascii="Arial" w:hAnsi="Arial" w:cs="Arial"/>
          <w:sz w:val="22"/>
          <w:szCs w:val="22"/>
        </w:rPr>
        <w:t>There is no evidence of interruption to the existence of the development</w:t>
      </w:r>
    </w:p>
    <w:p w14:paraId="01AD5924" w14:textId="77777777" w:rsidR="002A5C0C" w:rsidRPr="002A5C0C" w:rsidRDefault="002A5C0C" w:rsidP="002A5C0C">
      <w:pPr>
        <w:pStyle w:val="ListParagraph"/>
        <w:numPr>
          <w:ilvl w:val="0"/>
          <w:numId w:val="22"/>
        </w:numPr>
        <w:spacing w:after="0" w:line="276" w:lineRule="auto"/>
        <w:jc w:val="both"/>
        <w:rPr>
          <w:rFonts w:ascii="Arial" w:hAnsi="Arial" w:cs="Arial"/>
          <w:sz w:val="22"/>
          <w:szCs w:val="22"/>
        </w:rPr>
      </w:pPr>
      <w:r w:rsidRPr="002A5C0C">
        <w:rPr>
          <w:rFonts w:ascii="Arial" w:hAnsi="Arial" w:cs="Arial"/>
          <w:sz w:val="22"/>
          <w:szCs w:val="22"/>
        </w:rPr>
        <w:t>There is no evidence of enforcement action having been taken within the relevant period</w:t>
      </w:r>
    </w:p>
    <w:p w14:paraId="7241599F" w14:textId="77777777" w:rsidR="002A5C0C" w:rsidRPr="002A5C0C" w:rsidRDefault="002A5C0C" w:rsidP="002A5C0C">
      <w:pPr>
        <w:spacing w:after="0" w:line="276" w:lineRule="auto"/>
        <w:jc w:val="both"/>
        <w:rPr>
          <w:rFonts w:ascii="Arial" w:hAnsi="Arial" w:cs="Arial"/>
          <w:sz w:val="22"/>
          <w:szCs w:val="22"/>
        </w:rPr>
      </w:pPr>
    </w:p>
    <w:p w14:paraId="1BEAB6E6" w14:textId="501814A9" w:rsidR="002A5C0C" w:rsidRPr="002A5C0C" w:rsidRDefault="002A5C0C" w:rsidP="002A5C0C">
      <w:pPr>
        <w:spacing w:after="0" w:line="276" w:lineRule="auto"/>
        <w:jc w:val="both"/>
        <w:rPr>
          <w:rFonts w:ascii="Arial" w:hAnsi="Arial" w:cs="Arial"/>
          <w:sz w:val="22"/>
          <w:szCs w:val="22"/>
        </w:rPr>
      </w:pPr>
      <w:r w:rsidRPr="002A5C0C">
        <w:rPr>
          <w:rFonts w:ascii="Arial" w:hAnsi="Arial" w:cs="Arial"/>
          <w:sz w:val="22"/>
          <w:szCs w:val="22"/>
        </w:rPr>
        <w:lastRenderedPageBreak/>
        <w:t>On the balance of probabilities, the evidence is consistent, coherent, and mutually reinforcing. There are no apparent contradictions or gaps which would undermine the claimed timeline.</w:t>
      </w:r>
    </w:p>
    <w:p w14:paraId="1F5600AC" w14:textId="77777777" w:rsidR="00E03EEF" w:rsidRDefault="00E03EEF" w:rsidP="00A309C8">
      <w:pPr>
        <w:spacing w:after="0" w:line="276" w:lineRule="auto"/>
        <w:jc w:val="both"/>
        <w:rPr>
          <w:rFonts w:ascii="Arial" w:hAnsi="Arial" w:cs="Arial"/>
          <w:sz w:val="22"/>
          <w:szCs w:val="22"/>
        </w:rPr>
      </w:pPr>
    </w:p>
    <w:p w14:paraId="47C1575D" w14:textId="568DC4DD" w:rsidR="00E03EEF" w:rsidRDefault="00E03EEF" w:rsidP="00A309C8">
      <w:pPr>
        <w:spacing w:after="0" w:line="276" w:lineRule="auto"/>
        <w:jc w:val="both"/>
        <w:rPr>
          <w:rFonts w:ascii="Arial" w:hAnsi="Arial" w:cs="Arial"/>
          <w:sz w:val="22"/>
          <w:szCs w:val="22"/>
        </w:rPr>
      </w:pPr>
      <w:r>
        <w:rPr>
          <w:rFonts w:ascii="Arial" w:hAnsi="Arial" w:cs="Arial"/>
          <w:noProof/>
          <w:sz w:val="22"/>
          <w:szCs w:val="22"/>
        </w:rPr>
        <w:drawing>
          <wp:inline distT="0" distB="0" distL="0" distR="0" wp14:anchorId="75B45755" wp14:editId="1E8BACDE">
            <wp:extent cx="5718175" cy="2060575"/>
            <wp:effectExtent l="0" t="0" r="0" b="0"/>
            <wp:docPr id="14068057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18175" cy="2060575"/>
                    </a:xfrm>
                    <a:prstGeom prst="rect">
                      <a:avLst/>
                    </a:prstGeom>
                    <a:noFill/>
                    <a:ln>
                      <a:noFill/>
                    </a:ln>
                  </pic:spPr>
                </pic:pic>
              </a:graphicData>
            </a:graphic>
          </wp:inline>
        </w:drawing>
      </w:r>
    </w:p>
    <w:p w14:paraId="299D2D88" w14:textId="6A356C61" w:rsidR="00E03EEF" w:rsidRPr="00E03EEF" w:rsidRDefault="00E03EEF" w:rsidP="00E03EEF">
      <w:pPr>
        <w:spacing w:after="0" w:line="276" w:lineRule="auto"/>
        <w:jc w:val="center"/>
        <w:rPr>
          <w:rFonts w:ascii="Arial" w:hAnsi="Arial" w:cs="Arial"/>
          <w:i/>
          <w:iCs/>
          <w:sz w:val="22"/>
          <w:szCs w:val="22"/>
        </w:rPr>
      </w:pPr>
      <w:r w:rsidRPr="00E03EEF">
        <w:rPr>
          <w:rFonts w:ascii="Arial" w:hAnsi="Arial" w:cs="Arial"/>
          <w:i/>
          <w:iCs/>
          <w:sz w:val="22"/>
          <w:szCs w:val="22"/>
        </w:rPr>
        <w:t>Floor Plan and Side Elevation</w:t>
      </w:r>
    </w:p>
    <w:p w14:paraId="6D648146" w14:textId="77777777" w:rsidR="00E03EEF" w:rsidRDefault="00E03EEF" w:rsidP="00A309C8">
      <w:pPr>
        <w:spacing w:after="0" w:line="276" w:lineRule="auto"/>
        <w:jc w:val="both"/>
        <w:rPr>
          <w:rFonts w:ascii="Arial" w:hAnsi="Arial" w:cs="Arial"/>
          <w:sz w:val="22"/>
          <w:szCs w:val="22"/>
        </w:rPr>
      </w:pPr>
    </w:p>
    <w:p w14:paraId="5899938A" w14:textId="4164814E" w:rsidR="009109A4" w:rsidRDefault="007A7C5D" w:rsidP="00A309C8">
      <w:pPr>
        <w:spacing w:after="0" w:line="276" w:lineRule="auto"/>
        <w:jc w:val="both"/>
        <w:rPr>
          <w:rFonts w:ascii="Arial" w:hAnsi="Arial" w:cs="Arial"/>
          <w:sz w:val="22"/>
          <w:szCs w:val="22"/>
        </w:rPr>
      </w:pPr>
      <w:r>
        <w:rPr>
          <w:rFonts w:ascii="Arial" w:hAnsi="Arial" w:cs="Arial"/>
          <w:noProof/>
          <w:sz w:val="22"/>
          <w:szCs w:val="22"/>
        </w:rPr>
        <w:drawing>
          <wp:inline distT="0" distB="0" distL="0" distR="0" wp14:anchorId="0E83BF0F" wp14:editId="26B4D4F3">
            <wp:extent cx="5731510" cy="2360295"/>
            <wp:effectExtent l="0" t="0" r="2540" b="1905"/>
            <wp:docPr id="174983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2360295"/>
                    </a:xfrm>
                    <a:prstGeom prst="rect">
                      <a:avLst/>
                    </a:prstGeom>
                    <a:noFill/>
                    <a:ln>
                      <a:noFill/>
                    </a:ln>
                  </pic:spPr>
                </pic:pic>
              </a:graphicData>
            </a:graphic>
          </wp:inline>
        </w:drawing>
      </w:r>
    </w:p>
    <w:p w14:paraId="5E27D5F8" w14:textId="08E3A95B" w:rsidR="007A7C5D" w:rsidRPr="00EE1EC1" w:rsidRDefault="00EE1EC1" w:rsidP="00EE1EC1">
      <w:pPr>
        <w:spacing w:after="0" w:line="276" w:lineRule="auto"/>
        <w:jc w:val="center"/>
        <w:rPr>
          <w:rFonts w:ascii="Arial" w:hAnsi="Arial" w:cs="Arial"/>
          <w:i/>
          <w:iCs/>
          <w:sz w:val="22"/>
          <w:szCs w:val="22"/>
        </w:rPr>
      </w:pPr>
      <w:r w:rsidRPr="00EE1EC1">
        <w:rPr>
          <w:rFonts w:ascii="Arial" w:hAnsi="Arial" w:cs="Arial"/>
          <w:i/>
          <w:iCs/>
          <w:sz w:val="22"/>
          <w:szCs w:val="22"/>
        </w:rPr>
        <w:t>Google Earth Aerial Images May 2018 and September 2020</w:t>
      </w:r>
    </w:p>
    <w:p w14:paraId="01491077" w14:textId="77777777" w:rsidR="00EE1EC1" w:rsidRDefault="00EE1EC1" w:rsidP="00A309C8">
      <w:pPr>
        <w:spacing w:after="0" w:line="276" w:lineRule="auto"/>
        <w:jc w:val="both"/>
        <w:rPr>
          <w:rFonts w:ascii="Arial" w:hAnsi="Arial" w:cs="Arial"/>
          <w:sz w:val="22"/>
          <w:szCs w:val="22"/>
        </w:rPr>
      </w:pPr>
    </w:p>
    <w:p w14:paraId="4E7BD1F0" w14:textId="0D9FE00C" w:rsidR="00902F63" w:rsidRDefault="00902F63" w:rsidP="00902F63">
      <w:pPr>
        <w:spacing w:after="0" w:line="276" w:lineRule="auto"/>
        <w:jc w:val="center"/>
        <w:rPr>
          <w:rFonts w:ascii="Arial" w:hAnsi="Arial" w:cs="Arial"/>
          <w:sz w:val="22"/>
          <w:szCs w:val="22"/>
        </w:rPr>
      </w:pPr>
      <w:r w:rsidRPr="00902F63">
        <w:rPr>
          <w:rFonts w:ascii="Arial" w:hAnsi="Arial" w:cs="Arial"/>
          <w:noProof/>
          <w:sz w:val="22"/>
          <w:szCs w:val="22"/>
        </w:rPr>
        <w:drawing>
          <wp:inline distT="0" distB="0" distL="0" distR="0" wp14:anchorId="4962E18F" wp14:editId="3F2DFBFC">
            <wp:extent cx="5718412" cy="1982516"/>
            <wp:effectExtent l="0" t="0" r="0" b="0"/>
            <wp:docPr id="500803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03506" name=""/>
                    <pic:cNvPicPr/>
                  </pic:nvPicPr>
                  <pic:blipFill>
                    <a:blip r:embed="rId14"/>
                    <a:stretch>
                      <a:fillRect/>
                    </a:stretch>
                  </pic:blipFill>
                  <pic:spPr>
                    <a:xfrm>
                      <a:off x="0" y="0"/>
                      <a:ext cx="5746164" cy="1992137"/>
                    </a:xfrm>
                    <a:prstGeom prst="rect">
                      <a:avLst/>
                    </a:prstGeom>
                  </pic:spPr>
                </pic:pic>
              </a:graphicData>
            </a:graphic>
          </wp:inline>
        </w:drawing>
      </w:r>
    </w:p>
    <w:p w14:paraId="5537FF71" w14:textId="07F3DACB" w:rsidR="00902F63" w:rsidRPr="00902F63" w:rsidRDefault="00902F63" w:rsidP="00902F63">
      <w:pPr>
        <w:spacing w:after="0" w:line="276" w:lineRule="auto"/>
        <w:jc w:val="center"/>
        <w:rPr>
          <w:rFonts w:ascii="Arial" w:hAnsi="Arial" w:cs="Arial"/>
          <w:i/>
          <w:iCs/>
          <w:sz w:val="22"/>
          <w:szCs w:val="22"/>
        </w:rPr>
      </w:pPr>
      <w:r w:rsidRPr="00902F63">
        <w:rPr>
          <w:rFonts w:ascii="Arial" w:hAnsi="Arial" w:cs="Arial"/>
          <w:i/>
          <w:iCs/>
          <w:sz w:val="22"/>
          <w:szCs w:val="22"/>
        </w:rPr>
        <w:t>Get Mapping 2020 Aerial Image</w:t>
      </w:r>
    </w:p>
    <w:p w14:paraId="1C2FAE7E" w14:textId="77777777" w:rsidR="00902F63" w:rsidRDefault="00902F63" w:rsidP="00A309C8">
      <w:pPr>
        <w:spacing w:after="0" w:line="276" w:lineRule="auto"/>
        <w:jc w:val="both"/>
        <w:rPr>
          <w:rFonts w:ascii="Arial" w:hAnsi="Arial" w:cs="Arial"/>
          <w:sz w:val="22"/>
          <w:szCs w:val="22"/>
        </w:rPr>
      </w:pPr>
    </w:p>
    <w:p w14:paraId="28EF8A06" w14:textId="2AEF7B39" w:rsidR="001502C5" w:rsidRDefault="001502C5" w:rsidP="00A309C8">
      <w:pPr>
        <w:spacing w:after="0" w:line="276" w:lineRule="auto"/>
        <w:jc w:val="both"/>
        <w:rPr>
          <w:rFonts w:ascii="Arial" w:hAnsi="Arial" w:cs="Arial"/>
          <w:sz w:val="22"/>
          <w:szCs w:val="22"/>
        </w:rPr>
      </w:pPr>
      <w:r>
        <w:rPr>
          <w:rFonts w:ascii="Arial" w:hAnsi="Arial" w:cs="Arial"/>
          <w:noProof/>
          <w:sz w:val="22"/>
          <w:szCs w:val="22"/>
        </w:rPr>
        <w:lastRenderedPageBreak/>
        <w:drawing>
          <wp:inline distT="0" distB="0" distL="0" distR="0" wp14:anchorId="1F3FE4C5" wp14:editId="3CABEEA8">
            <wp:extent cx="5731510" cy="4632960"/>
            <wp:effectExtent l="0" t="0" r="2540" b="0"/>
            <wp:docPr id="1916804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632960"/>
                    </a:xfrm>
                    <a:prstGeom prst="rect">
                      <a:avLst/>
                    </a:prstGeom>
                    <a:noFill/>
                    <a:ln>
                      <a:noFill/>
                    </a:ln>
                  </pic:spPr>
                </pic:pic>
              </a:graphicData>
            </a:graphic>
          </wp:inline>
        </w:drawing>
      </w:r>
    </w:p>
    <w:p w14:paraId="6662215E" w14:textId="07DC7019" w:rsidR="001502C5" w:rsidRPr="00A21F22" w:rsidRDefault="001502C5" w:rsidP="00A21F22">
      <w:pPr>
        <w:spacing w:after="0" w:line="276" w:lineRule="auto"/>
        <w:jc w:val="center"/>
        <w:rPr>
          <w:rFonts w:ascii="Arial" w:hAnsi="Arial" w:cs="Arial"/>
          <w:i/>
          <w:iCs/>
          <w:sz w:val="22"/>
          <w:szCs w:val="22"/>
        </w:rPr>
      </w:pPr>
      <w:r w:rsidRPr="00A21F22">
        <w:rPr>
          <w:rFonts w:ascii="Arial" w:hAnsi="Arial" w:cs="Arial"/>
          <w:i/>
          <w:iCs/>
          <w:sz w:val="22"/>
          <w:szCs w:val="22"/>
        </w:rPr>
        <w:t xml:space="preserve">Photographic Evidence </w:t>
      </w:r>
      <w:r w:rsidR="00A21F22" w:rsidRPr="00A21F22">
        <w:rPr>
          <w:rFonts w:ascii="Arial" w:hAnsi="Arial" w:cs="Arial"/>
          <w:i/>
          <w:iCs/>
          <w:sz w:val="22"/>
          <w:szCs w:val="22"/>
        </w:rPr>
        <w:t>July 2020 and January 2021</w:t>
      </w:r>
    </w:p>
    <w:p w14:paraId="6AA477A3" w14:textId="77777777" w:rsidR="001502C5" w:rsidRDefault="001502C5" w:rsidP="00A309C8">
      <w:pPr>
        <w:spacing w:after="0" w:line="276" w:lineRule="auto"/>
        <w:jc w:val="both"/>
        <w:rPr>
          <w:rFonts w:ascii="Arial" w:hAnsi="Arial" w:cs="Arial"/>
          <w:sz w:val="22"/>
          <w:szCs w:val="22"/>
        </w:rPr>
      </w:pPr>
    </w:p>
    <w:p w14:paraId="6BE0BBB7" w14:textId="77777777" w:rsidR="00A00C7F" w:rsidRDefault="00A00C7F" w:rsidP="00A00C7F">
      <w:pPr>
        <w:spacing w:after="0" w:line="276" w:lineRule="auto"/>
        <w:jc w:val="both"/>
        <w:rPr>
          <w:rFonts w:ascii="Arial" w:hAnsi="Arial" w:cs="Arial"/>
          <w:sz w:val="22"/>
          <w:szCs w:val="22"/>
        </w:rPr>
      </w:pPr>
      <w:r w:rsidRPr="00A00C7F">
        <w:rPr>
          <w:rFonts w:ascii="Arial" w:hAnsi="Arial" w:cs="Arial"/>
          <w:sz w:val="22"/>
          <w:szCs w:val="22"/>
        </w:rPr>
        <w:t>The evidence submitted by the applicant demonstrates, on the balance of probabilities, that the development (including associated building works forming the roof terrace) was substantially completed at least 4 years prior to the application date, and that the development is not in breach of any planning conditions or restrictions.</w:t>
      </w:r>
    </w:p>
    <w:p w14:paraId="257178F1" w14:textId="77777777" w:rsidR="00A00C7F" w:rsidRPr="00A00C7F" w:rsidRDefault="00A00C7F" w:rsidP="00A00C7F">
      <w:pPr>
        <w:spacing w:after="0" w:line="276" w:lineRule="auto"/>
        <w:jc w:val="both"/>
        <w:rPr>
          <w:rFonts w:ascii="Arial" w:hAnsi="Arial" w:cs="Arial"/>
          <w:sz w:val="22"/>
          <w:szCs w:val="22"/>
        </w:rPr>
      </w:pPr>
    </w:p>
    <w:p w14:paraId="278E4282" w14:textId="7BA61BED" w:rsidR="00A00C7F" w:rsidRDefault="00A00C7F" w:rsidP="00A00C7F">
      <w:pPr>
        <w:spacing w:after="0" w:line="276" w:lineRule="auto"/>
        <w:jc w:val="both"/>
        <w:rPr>
          <w:rFonts w:ascii="Arial" w:hAnsi="Arial" w:cs="Arial"/>
          <w:sz w:val="22"/>
          <w:szCs w:val="22"/>
        </w:rPr>
      </w:pPr>
      <w:r w:rsidRPr="00A00C7F">
        <w:rPr>
          <w:rFonts w:ascii="Arial" w:hAnsi="Arial" w:cs="Arial"/>
          <w:sz w:val="22"/>
          <w:szCs w:val="22"/>
        </w:rPr>
        <w:t xml:space="preserve">Specifically, the evidence confirms that the roof terrace, </w:t>
      </w:r>
      <w:r w:rsidR="00692AC8" w:rsidRPr="00A00C7F">
        <w:rPr>
          <w:rFonts w:ascii="Arial" w:hAnsi="Arial" w:cs="Arial"/>
          <w:sz w:val="22"/>
          <w:szCs w:val="22"/>
        </w:rPr>
        <w:t>comprising</w:t>
      </w:r>
      <w:r w:rsidRPr="00A00C7F">
        <w:rPr>
          <w:rFonts w:ascii="Arial" w:hAnsi="Arial" w:cs="Arial"/>
          <w:sz w:val="22"/>
          <w:szCs w:val="22"/>
        </w:rPr>
        <w:t xml:space="preserve"> decking, a turfed area, and boundary railings, was substantially complete by summer 2020, as demonstrated by dated photographic evidence. Subsequent additions, including built-in seating, are not considered to form part of the substantial completion of the operational development.</w:t>
      </w:r>
    </w:p>
    <w:p w14:paraId="721F7971" w14:textId="77777777" w:rsidR="00A00C7F" w:rsidRPr="00A00C7F" w:rsidRDefault="00A00C7F" w:rsidP="00A00C7F">
      <w:pPr>
        <w:spacing w:after="0" w:line="276" w:lineRule="auto"/>
        <w:jc w:val="both"/>
        <w:rPr>
          <w:rFonts w:ascii="Arial" w:hAnsi="Arial" w:cs="Arial"/>
          <w:sz w:val="22"/>
          <w:szCs w:val="22"/>
        </w:rPr>
      </w:pPr>
    </w:p>
    <w:p w14:paraId="179A45C7" w14:textId="77777777" w:rsidR="00A00C7F" w:rsidRDefault="00A00C7F" w:rsidP="00A00C7F">
      <w:pPr>
        <w:spacing w:after="0" w:line="276" w:lineRule="auto"/>
        <w:jc w:val="both"/>
        <w:rPr>
          <w:rFonts w:ascii="Arial" w:hAnsi="Arial" w:cs="Arial"/>
          <w:sz w:val="22"/>
          <w:szCs w:val="22"/>
        </w:rPr>
      </w:pPr>
      <w:r w:rsidRPr="00A00C7F">
        <w:rPr>
          <w:rFonts w:ascii="Arial" w:hAnsi="Arial" w:cs="Arial"/>
          <w:sz w:val="22"/>
          <w:szCs w:val="22"/>
        </w:rPr>
        <w:t>Further evidence, including aerial imagery and neighbour statements, corroborates the timeline and confirms the continued existence of the terrace since that date. There are no apparent gaps in the evidence or contradictions that would cast doubt on the lawfulness of the development.</w:t>
      </w:r>
    </w:p>
    <w:p w14:paraId="0067F23C" w14:textId="77777777" w:rsidR="00A00C7F" w:rsidRPr="00A00C7F" w:rsidRDefault="00A00C7F" w:rsidP="00A00C7F">
      <w:pPr>
        <w:spacing w:after="0" w:line="276" w:lineRule="auto"/>
        <w:jc w:val="both"/>
        <w:rPr>
          <w:rFonts w:ascii="Arial" w:hAnsi="Arial" w:cs="Arial"/>
          <w:sz w:val="22"/>
          <w:szCs w:val="22"/>
        </w:rPr>
      </w:pPr>
    </w:p>
    <w:p w14:paraId="1473A0E3" w14:textId="77777777" w:rsidR="00A00C7F" w:rsidRDefault="00A00C7F" w:rsidP="00A00C7F">
      <w:pPr>
        <w:spacing w:after="0" w:line="276" w:lineRule="auto"/>
        <w:jc w:val="both"/>
        <w:rPr>
          <w:rFonts w:ascii="Arial" w:hAnsi="Arial" w:cs="Arial"/>
          <w:sz w:val="22"/>
          <w:szCs w:val="22"/>
        </w:rPr>
      </w:pPr>
      <w:r w:rsidRPr="00A00C7F">
        <w:rPr>
          <w:rFonts w:ascii="Arial" w:hAnsi="Arial" w:cs="Arial"/>
          <w:sz w:val="22"/>
          <w:szCs w:val="22"/>
        </w:rPr>
        <w:t>Given that the development was substantially completed prior to 25 April 2024, the transitional provisions apply, and the relevant immunity period remains four years. That period has elapsed without enforcement action being taken.</w:t>
      </w:r>
    </w:p>
    <w:p w14:paraId="476BBF44" w14:textId="77777777" w:rsidR="00A00C7F" w:rsidRPr="00A00C7F" w:rsidRDefault="00A00C7F" w:rsidP="00A00C7F">
      <w:pPr>
        <w:spacing w:after="0" w:line="276" w:lineRule="auto"/>
        <w:jc w:val="both"/>
        <w:rPr>
          <w:rFonts w:ascii="Arial" w:hAnsi="Arial" w:cs="Arial"/>
          <w:sz w:val="22"/>
          <w:szCs w:val="22"/>
        </w:rPr>
      </w:pPr>
    </w:p>
    <w:p w14:paraId="32EFE3C8" w14:textId="77777777" w:rsidR="00A00C7F" w:rsidRPr="00A00C7F" w:rsidRDefault="00A00C7F" w:rsidP="00A00C7F">
      <w:pPr>
        <w:spacing w:after="0" w:line="276" w:lineRule="auto"/>
        <w:jc w:val="both"/>
        <w:rPr>
          <w:rFonts w:ascii="Arial" w:hAnsi="Arial" w:cs="Arial"/>
          <w:sz w:val="22"/>
          <w:szCs w:val="22"/>
        </w:rPr>
      </w:pPr>
      <w:r w:rsidRPr="00A00C7F">
        <w:rPr>
          <w:rFonts w:ascii="Arial" w:hAnsi="Arial" w:cs="Arial"/>
          <w:sz w:val="22"/>
          <w:szCs w:val="22"/>
        </w:rPr>
        <w:t>The development is therefore lawful under the provisions of the Town and Country Planning Act 1990 (as amended).</w:t>
      </w:r>
    </w:p>
    <w:p w14:paraId="1E954CFE" w14:textId="77777777" w:rsidR="00A00C7F" w:rsidRPr="001A6D70" w:rsidRDefault="00A00C7F" w:rsidP="00A309C8">
      <w:pPr>
        <w:spacing w:after="0" w:line="276" w:lineRule="auto"/>
        <w:jc w:val="both"/>
        <w:rPr>
          <w:rFonts w:ascii="Arial" w:hAnsi="Arial" w:cs="Arial"/>
          <w:sz w:val="22"/>
          <w:szCs w:val="22"/>
        </w:rPr>
      </w:pPr>
    </w:p>
    <w:p w14:paraId="037A030F" w14:textId="4EDA1AEB" w:rsidR="001A6D70" w:rsidRDefault="00F255C9" w:rsidP="00A309C8">
      <w:pPr>
        <w:spacing w:after="0" w:line="276" w:lineRule="auto"/>
        <w:jc w:val="both"/>
        <w:rPr>
          <w:rFonts w:ascii="Arial" w:hAnsi="Arial" w:cs="Arial"/>
          <w:b/>
          <w:bCs/>
          <w:sz w:val="22"/>
          <w:szCs w:val="22"/>
        </w:rPr>
      </w:pPr>
      <w:r w:rsidRPr="001A6D70">
        <w:rPr>
          <w:rFonts w:ascii="Arial" w:hAnsi="Arial" w:cs="Arial"/>
          <w:b/>
          <w:bCs/>
          <w:sz w:val="22"/>
          <w:szCs w:val="22"/>
        </w:rPr>
        <w:lastRenderedPageBreak/>
        <w:t xml:space="preserve">CONCLUSION </w:t>
      </w:r>
    </w:p>
    <w:p w14:paraId="26DD8FAD" w14:textId="77777777" w:rsidR="00900244" w:rsidRPr="001A6D70" w:rsidRDefault="00900244" w:rsidP="00A309C8">
      <w:pPr>
        <w:spacing w:after="0" w:line="276" w:lineRule="auto"/>
        <w:jc w:val="both"/>
        <w:rPr>
          <w:rFonts w:ascii="Arial" w:hAnsi="Arial" w:cs="Arial"/>
          <w:b/>
          <w:bCs/>
          <w:sz w:val="22"/>
          <w:szCs w:val="22"/>
        </w:rPr>
      </w:pPr>
    </w:p>
    <w:p w14:paraId="2B193EEB" w14:textId="77777777" w:rsidR="0065778B" w:rsidRDefault="0065778B" w:rsidP="0065778B">
      <w:pPr>
        <w:spacing w:after="0" w:line="276" w:lineRule="auto"/>
        <w:jc w:val="both"/>
        <w:rPr>
          <w:rFonts w:ascii="Arial" w:hAnsi="Arial" w:cs="Arial"/>
          <w:bCs/>
          <w:sz w:val="22"/>
          <w:szCs w:val="22"/>
          <w:lang w:val="en-AU"/>
        </w:rPr>
      </w:pPr>
      <w:r w:rsidRPr="0065778B">
        <w:rPr>
          <w:rFonts w:ascii="Arial" w:hAnsi="Arial" w:cs="Arial"/>
          <w:bCs/>
          <w:sz w:val="22"/>
          <w:szCs w:val="22"/>
          <w:lang w:val="en-AU"/>
        </w:rPr>
        <w:t xml:space="preserve">On the balance of probability, sufficient evidence has been provided to demonstrate that the construction of the roof terrace, including the decked surface, turfed area and enclosing balustrade, identified on the site plan, was substantially complete in summer 2020 and has remained in situ for a continuous period </w:t>
      </w:r>
      <w:proofErr w:type="gramStart"/>
      <w:r w:rsidRPr="0065778B">
        <w:rPr>
          <w:rFonts w:ascii="Arial" w:hAnsi="Arial" w:cs="Arial"/>
          <w:bCs/>
          <w:sz w:val="22"/>
          <w:szCs w:val="22"/>
          <w:lang w:val="en-AU"/>
        </w:rPr>
        <w:t>in excess of</w:t>
      </w:r>
      <w:proofErr w:type="gramEnd"/>
      <w:r w:rsidRPr="0065778B">
        <w:rPr>
          <w:rFonts w:ascii="Arial" w:hAnsi="Arial" w:cs="Arial"/>
          <w:bCs/>
          <w:sz w:val="22"/>
          <w:szCs w:val="22"/>
          <w:lang w:val="en-AU"/>
        </w:rPr>
        <w:t xml:space="preserve"> four years.</w:t>
      </w:r>
    </w:p>
    <w:p w14:paraId="2B05E5AA" w14:textId="77777777" w:rsidR="0065778B" w:rsidRPr="0065778B" w:rsidRDefault="0065778B" w:rsidP="0065778B">
      <w:pPr>
        <w:spacing w:after="0" w:line="276" w:lineRule="auto"/>
        <w:jc w:val="both"/>
        <w:rPr>
          <w:rFonts w:ascii="Arial" w:hAnsi="Arial" w:cs="Arial"/>
          <w:bCs/>
          <w:sz w:val="22"/>
          <w:szCs w:val="22"/>
          <w:lang w:val="en-AU"/>
        </w:rPr>
      </w:pPr>
    </w:p>
    <w:p w14:paraId="6BA27913" w14:textId="028F83CF" w:rsidR="00D07478" w:rsidRDefault="0065778B" w:rsidP="0065778B">
      <w:pPr>
        <w:spacing w:after="0" w:line="276" w:lineRule="auto"/>
        <w:jc w:val="both"/>
        <w:rPr>
          <w:rFonts w:ascii="Arial" w:hAnsi="Arial" w:cs="Arial"/>
          <w:bCs/>
          <w:sz w:val="22"/>
          <w:szCs w:val="22"/>
          <w:lang w:val="en-AU"/>
        </w:rPr>
      </w:pPr>
      <w:r w:rsidRPr="0065778B">
        <w:rPr>
          <w:rFonts w:ascii="Arial" w:hAnsi="Arial" w:cs="Arial"/>
          <w:bCs/>
          <w:sz w:val="22"/>
          <w:szCs w:val="22"/>
          <w:lang w:val="en-AU"/>
        </w:rPr>
        <w:t>As there is no clear or unambiguous evidence to the contrary, and no record of formal enforcement action having been taken by the Council within that period, it is concluded that the development is lawful.</w:t>
      </w:r>
    </w:p>
    <w:p w14:paraId="6F44F1FB" w14:textId="77777777" w:rsidR="00632D12" w:rsidRPr="001A6D70" w:rsidRDefault="00632D12" w:rsidP="00A309C8">
      <w:pPr>
        <w:spacing w:after="0" w:line="276" w:lineRule="auto"/>
        <w:jc w:val="both"/>
        <w:rPr>
          <w:rFonts w:ascii="Arial" w:hAnsi="Arial" w:cs="Arial"/>
          <w:i/>
          <w:iCs/>
          <w:color w:val="ED0000"/>
          <w:sz w:val="22"/>
          <w:szCs w:val="22"/>
        </w:rPr>
      </w:pPr>
    </w:p>
    <w:p w14:paraId="1EFA510E" w14:textId="7C33EB4D" w:rsidR="001A6D70" w:rsidRDefault="00632D12" w:rsidP="00A309C8">
      <w:pPr>
        <w:spacing w:after="0" w:line="276" w:lineRule="auto"/>
        <w:jc w:val="both"/>
        <w:rPr>
          <w:rFonts w:ascii="Arial" w:hAnsi="Arial" w:cs="Arial"/>
          <w:b/>
          <w:bCs/>
          <w:sz w:val="22"/>
          <w:szCs w:val="22"/>
        </w:rPr>
      </w:pPr>
      <w:r w:rsidRPr="001A6D70">
        <w:rPr>
          <w:rFonts w:ascii="Arial" w:hAnsi="Arial" w:cs="Arial"/>
          <w:b/>
          <w:bCs/>
          <w:sz w:val="22"/>
          <w:szCs w:val="22"/>
        </w:rPr>
        <w:t>RECOMMENDATION</w:t>
      </w:r>
    </w:p>
    <w:p w14:paraId="7C669D71" w14:textId="77777777" w:rsidR="00900244" w:rsidRPr="001A6D70" w:rsidRDefault="00900244" w:rsidP="00A309C8">
      <w:pPr>
        <w:spacing w:after="0" w:line="276" w:lineRule="auto"/>
        <w:jc w:val="both"/>
        <w:rPr>
          <w:rFonts w:ascii="Arial" w:hAnsi="Arial" w:cs="Arial"/>
          <w:sz w:val="22"/>
          <w:szCs w:val="22"/>
        </w:rPr>
      </w:pPr>
    </w:p>
    <w:p w14:paraId="37378410" w14:textId="77777777" w:rsidR="0065778B" w:rsidRPr="0065778B" w:rsidRDefault="0065778B" w:rsidP="0065778B">
      <w:pPr>
        <w:spacing w:after="0" w:line="276" w:lineRule="auto"/>
        <w:jc w:val="both"/>
        <w:rPr>
          <w:rFonts w:ascii="Arial" w:hAnsi="Arial" w:cs="Arial"/>
          <w:color w:val="000000" w:themeColor="text1"/>
          <w:sz w:val="22"/>
          <w:szCs w:val="22"/>
        </w:rPr>
      </w:pPr>
      <w:r w:rsidRPr="0065778B">
        <w:rPr>
          <w:rFonts w:ascii="Arial" w:hAnsi="Arial" w:cs="Arial"/>
          <w:color w:val="000000" w:themeColor="text1"/>
          <w:sz w:val="22"/>
          <w:szCs w:val="22"/>
        </w:rPr>
        <w:t>It is recommended that a Certificate of Lawfulness for Existing Development be granted for the following development:</w:t>
      </w:r>
    </w:p>
    <w:p w14:paraId="545141D2" w14:textId="77777777" w:rsidR="0065778B" w:rsidRPr="0065778B" w:rsidRDefault="0065778B" w:rsidP="0065778B">
      <w:pPr>
        <w:spacing w:after="0" w:line="276" w:lineRule="auto"/>
        <w:jc w:val="both"/>
        <w:rPr>
          <w:rFonts w:ascii="Arial" w:hAnsi="Arial" w:cs="Arial"/>
          <w:b/>
          <w:bCs/>
          <w:color w:val="000000" w:themeColor="text1"/>
          <w:sz w:val="22"/>
          <w:szCs w:val="22"/>
        </w:rPr>
      </w:pPr>
    </w:p>
    <w:p w14:paraId="67D22C62" w14:textId="77777777" w:rsidR="0065778B" w:rsidRPr="0065778B" w:rsidRDefault="0065778B" w:rsidP="0065778B">
      <w:pPr>
        <w:spacing w:after="0" w:line="276" w:lineRule="auto"/>
        <w:jc w:val="both"/>
        <w:rPr>
          <w:rFonts w:ascii="Arial" w:hAnsi="Arial" w:cs="Arial"/>
          <w:b/>
          <w:bCs/>
          <w:i/>
          <w:iCs/>
          <w:color w:val="000000" w:themeColor="text1"/>
          <w:sz w:val="22"/>
          <w:szCs w:val="22"/>
        </w:rPr>
      </w:pPr>
      <w:r w:rsidRPr="0065778B">
        <w:rPr>
          <w:rFonts w:ascii="Arial" w:hAnsi="Arial" w:cs="Arial"/>
          <w:b/>
          <w:bCs/>
          <w:i/>
          <w:iCs/>
          <w:color w:val="000000" w:themeColor="text1"/>
          <w:sz w:val="22"/>
          <w:szCs w:val="22"/>
        </w:rPr>
        <w:t>The construction and use of a roof terrace above the existing extension, including associated decking, turfed area and enclosing balustrade.</w:t>
      </w:r>
    </w:p>
    <w:p w14:paraId="49EDD61A" w14:textId="77777777" w:rsidR="0065778B" w:rsidRDefault="0065778B" w:rsidP="0065778B">
      <w:pPr>
        <w:spacing w:after="0" w:line="276" w:lineRule="auto"/>
        <w:jc w:val="both"/>
        <w:rPr>
          <w:rFonts w:ascii="Arial" w:hAnsi="Arial" w:cs="Arial"/>
          <w:b/>
          <w:bCs/>
          <w:color w:val="000000" w:themeColor="text1"/>
          <w:sz w:val="22"/>
          <w:szCs w:val="22"/>
        </w:rPr>
      </w:pPr>
    </w:p>
    <w:p w14:paraId="3CBC26B2" w14:textId="19256058" w:rsidR="0065778B" w:rsidRDefault="0065778B" w:rsidP="0065778B">
      <w:pPr>
        <w:spacing w:after="0" w:line="276" w:lineRule="auto"/>
        <w:jc w:val="both"/>
        <w:rPr>
          <w:rFonts w:ascii="Arial" w:hAnsi="Arial" w:cs="Arial"/>
          <w:b/>
          <w:bCs/>
          <w:color w:val="000000" w:themeColor="text1"/>
          <w:sz w:val="22"/>
          <w:szCs w:val="22"/>
        </w:rPr>
      </w:pPr>
      <w:r w:rsidRPr="0065778B">
        <w:rPr>
          <w:rFonts w:ascii="Arial" w:hAnsi="Arial" w:cs="Arial"/>
          <w:b/>
          <w:bCs/>
          <w:color w:val="000000" w:themeColor="text1"/>
          <w:sz w:val="22"/>
          <w:szCs w:val="22"/>
        </w:rPr>
        <w:t>Reason for approval:</w:t>
      </w:r>
    </w:p>
    <w:p w14:paraId="04FD8BE3" w14:textId="2D6005CA" w:rsidR="0065778B" w:rsidRPr="0065778B" w:rsidRDefault="0065778B" w:rsidP="0065778B">
      <w:pPr>
        <w:spacing w:after="0" w:line="276" w:lineRule="auto"/>
        <w:jc w:val="both"/>
        <w:rPr>
          <w:rFonts w:ascii="Arial" w:hAnsi="Arial" w:cs="Arial"/>
          <w:color w:val="000000" w:themeColor="text1"/>
          <w:sz w:val="22"/>
          <w:szCs w:val="22"/>
        </w:rPr>
      </w:pPr>
      <w:r w:rsidRPr="0065778B">
        <w:rPr>
          <w:rFonts w:ascii="Arial" w:hAnsi="Arial" w:cs="Arial"/>
          <w:b/>
          <w:bCs/>
          <w:color w:val="000000" w:themeColor="text1"/>
          <w:sz w:val="22"/>
          <w:szCs w:val="22"/>
        </w:rPr>
        <w:br/>
      </w:r>
      <w:r w:rsidRPr="0065778B">
        <w:rPr>
          <w:rFonts w:ascii="Arial" w:hAnsi="Arial" w:cs="Arial"/>
          <w:color w:val="000000" w:themeColor="text1"/>
          <w:sz w:val="22"/>
          <w:szCs w:val="22"/>
        </w:rPr>
        <w:t>The evidence submitted satisfies the requirements of Section 191 of the Town and Country Planning Act 1990 (as amended). The development was substantially completed more than four years prior to the date of the application and benefits from the transitional provisions introduced by SI 2024/452. The development is therefore immune from enforcement action and</w:t>
      </w:r>
      <w:r w:rsidR="003A4DD6">
        <w:rPr>
          <w:rFonts w:ascii="Arial" w:hAnsi="Arial" w:cs="Arial"/>
          <w:color w:val="000000" w:themeColor="text1"/>
          <w:sz w:val="22"/>
          <w:szCs w:val="22"/>
        </w:rPr>
        <w:t xml:space="preserve"> is</w:t>
      </w:r>
      <w:r w:rsidR="00436D7D">
        <w:rPr>
          <w:rFonts w:ascii="Arial" w:hAnsi="Arial" w:cs="Arial"/>
          <w:color w:val="000000" w:themeColor="text1"/>
          <w:sz w:val="22"/>
          <w:szCs w:val="22"/>
        </w:rPr>
        <w:t xml:space="preserve"> considered</w:t>
      </w:r>
      <w:r w:rsidRPr="0065778B">
        <w:rPr>
          <w:rFonts w:ascii="Arial" w:hAnsi="Arial" w:cs="Arial"/>
          <w:color w:val="000000" w:themeColor="text1"/>
          <w:sz w:val="22"/>
          <w:szCs w:val="22"/>
        </w:rPr>
        <w:t xml:space="preserve"> lawful.</w:t>
      </w:r>
    </w:p>
    <w:p w14:paraId="20381041" w14:textId="06D868C2" w:rsidR="00114661" w:rsidRPr="00C12466" w:rsidRDefault="00114661" w:rsidP="0065778B">
      <w:pPr>
        <w:spacing w:after="0" w:line="276" w:lineRule="auto"/>
        <w:jc w:val="both"/>
        <w:rPr>
          <w:rFonts w:ascii="Arial" w:hAnsi="Arial" w:cs="Arial"/>
          <w:color w:val="ED0000"/>
          <w:sz w:val="22"/>
          <w:szCs w:val="22"/>
        </w:rPr>
      </w:pPr>
    </w:p>
    <w:sectPr w:rsidR="00114661" w:rsidRPr="00C12466" w:rsidSect="00CF52EF">
      <w:pgSz w:w="11906" w:h="16838"/>
      <w:pgMar w:top="1418" w:right="851" w:bottom="141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BC1B0" w14:textId="77777777" w:rsidR="001A597D" w:rsidRDefault="001A597D" w:rsidP="003876EB">
      <w:pPr>
        <w:spacing w:after="0" w:line="240" w:lineRule="auto"/>
      </w:pPr>
      <w:r>
        <w:separator/>
      </w:r>
    </w:p>
  </w:endnote>
  <w:endnote w:type="continuationSeparator" w:id="0">
    <w:p w14:paraId="14F5BEDE" w14:textId="77777777" w:rsidR="001A597D" w:rsidRDefault="001A597D"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D8564" w14:textId="77777777" w:rsidR="001A597D" w:rsidRDefault="001A597D" w:rsidP="003876EB">
      <w:pPr>
        <w:spacing w:after="0" w:line="240" w:lineRule="auto"/>
      </w:pPr>
      <w:r>
        <w:separator/>
      </w:r>
    </w:p>
  </w:footnote>
  <w:footnote w:type="continuationSeparator" w:id="0">
    <w:p w14:paraId="3444AA87" w14:textId="77777777" w:rsidR="001A597D" w:rsidRDefault="001A597D"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A7D90"/>
    <w:multiLevelType w:val="multilevel"/>
    <w:tmpl w:val="C58E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147C0D"/>
    <w:multiLevelType w:val="hybridMultilevel"/>
    <w:tmpl w:val="A5C61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5"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BC7802"/>
    <w:multiLevelType w:val="multilevel"/>
    <w:tmpl w:val="4DAE8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AD142C"/>
    <w:multiLevelType w:val="multilevel"/>
    <w:tmpl w:val="FE324E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212289">
    <w:abstractNumId w:val="9"/>
  </w:num>
  <w:num w:numId="2" w16cid:durableId="448860153">
    <w:abstractNumId w:val="7"/>
  </w:num>
  <w:num w:numId="3" w16cid:durableId="928152092">
    <w:abstractNumId w:val="18"/>
  </w:num>
  <w:num w:numId="4" w16cid:durableId="479854862">
    <w:abstractNumId w:val="15"/>
  </w:num>
  <w:num w:numId="5" w16cid:durableId="2095584213">
    <w:abstractNumId w:val="2"/>
  </w:num>
  <w:num w:numId="6" w16cid:durableId="1561752133">
    <w:abstractNumId w:val="19"/>
  </w:num>
  <w:num w:numId="7" w16cid:durableId="917639095">
    <w:abstractNumId w:val="6"/>
  </w:num>
  <w:num w:numId="8" w16cid:durableId="1987663273">
    <w:abstractNumId w:val="1"/>
  </w:num>
  <w:num w:numId="9" w16cid:durableId="84695374">
    <w:abstractNumId w:val="20"/>
  </w:num>
  <w:num w:numId="10" w16cid:durableId="865874701">
    <w:abstractNumId w:val="11"/>
  </w:num>
  <w:num w:numId="11" w16cid:durableId="682518506">
    <w:abstractNumId w:val="10"/>
  </w:num>
  <w:num w:numId="12" w16cid:durableId="88738637">
    <w:abstractNumId w:val="14"/>
  </w:num>
  <w:num w:numId="13" w16cid:durableId="1355156807">
    <w:abstractNumId w:val="16"/>
  </w:num>
  <w:num w:numId="14" w16cid:durableId="1040780930">
    <w:abstractNumId w:val="0"/>
  </w:num>
  <w:num w:numId="15" w16cid:durableId="1227381110">
    <w:abstractNumId w:val="13"/>
  </w:num>
  <w:num w:numId="16" w16cid:durableId="896664943">
    <w:abstractNumId w:val="12"/>
  </w:num>
  <w:num w:numId="17" w16cid:durableId="299580018">
    <w:abstractNumId w:val="4"/>
  </w:num>
  <w:num w:numId="18" w16cid:durableId="1652253833">
    <w:abstractNumId w:val="5"/>
  </w:num>
  <w:num w:numId="19" w16cid:durableId="1678731861">
    <w:abstractNumId w:val="17"/>
  </w:num>
  <w:num w:numId="20" w16cid:durableId="1973780035">
    <w:abstractNumId w:val="21"/>
  </w:num>
  <w:num w:numId="21" w16cid:durableId="569655317">
    <w:abstractNumId w:val="3"/>
  </w:num>
  <w:num w:numId="22" w16cid:durableId="21345950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16547"/>
    <w:rsid w:val="0001711B"/>
    <w:rsid w:val="00021AE0"/>
    <w:rsid w:val="0002485B"/>
    <w:rsid w:val="00033702"/>
    <w:rsid w:val="0003407A"/>
    <w:rsid w:val="00070546"/>
    <w:rsid w:val="00072042"/>
    <w:rsid w:val="00081278"/>
    <w:rsid w:val="0008763A"/>
    <w:rsid w:val="000911B7"/>
    <w:rsid w:val="000B3EBA"/>
    <w:rsid w:val="000D10D0"/>
    <w:rsid w:val="000D334E"/>
    <w:rsid w:val="000E45B0"/>
    <w:rsid w:val="000F6323"/>
    <w:rsid w:val="000F7638"/>
    <w:rsid w:val="0010657E"/>
    <w:rsid w:val="00106B03"/>
    <w:rsid w:val="00111796"/>
    <w:rsid w:val="00114661"/>
    <w:rsid w:val="00117D9F"/>
    <w:rsid w:val="00133269"/>
    <w:rsid w:val="00135B86"/>
    <w:rsid w:val="0014794F"/>
    <w:rsid w:val="001502A0"/>
    <w:rsid w:val="001502C5"/>
    <w:rsid w:val="00154712"/>
    <w:rsid w:val="00161105"/>
    <w:rsid w:val="00163C51"/>
    <w:rsid w:val="0016716B"/>
    <w:rsid w:val="00177859"/>
    <w:rsid w:val="001814A3"/>
    <w:rsid w:val="00191964"/>
    <w:rsid w:val="00193925"/>
    <w:rsid w:val="0019599D"/>
    <w:rsid w:val="001A014E"/>
    <w:rsid w:val="001A12FC"/>
    <w:rsid w:val="001A1826"/>
    <w:rsid w:val="001A597D"/>
    <w:rsid w:val="001A6D70"/>
    <w:rsid w:val="001B136F"/>
    <w:rsid w:val="001C25C1"/>
    <w:rsid w:val="001C554F"/>
    <w:rsid w:val="001C647A"/>
    <w:rsid w:val="001D191F"/>
    <w:rsid w:val="001D2484"/>
    <w:rsid w:val="001D7BB4"/>
    <w:rsid w:val="001E1A85"/>
    <w:rsid w:val="001F69D5"/>
    <w:rsid w:val="00203553"/>
    <w:rsid w:val="002266E1"/>
    <w:rsid w:val="00233DA0"/>
    <w:rsid w:val="00235114"/>
    <w:rsid w:val="00236F5A"/>
    <w:rsid w:val="002755EC"/>
    <w:rsid w:val="002A0AF0"/>
    <w:rsid w:val="002A1778"/>
    <w:rsid w:val="002A5C0C"/>
    <w:rsid w:val="002A6C13"/>
    <w:rsid w:val="002A7B48"/>
    <w:rsid w:val="002B1134"/>
    <w:rsid w:val="002B37CB"/>
    <w:rsid w:val="002C1B04"/>
    <w:rsid w:val="002E3052"/>
    <w:rsid w:val="00314182"/>
    <w:rsid w:val="00325595"/>
    <w:rsid w:val="00327844"/>
    <w:rsid w:val="00344915"/>
    <w:rsid w:val="003610E6"/>
    <w:rsid w:val="00365A0A"/>
    <w:rsid w:val="0036636C"/>
    <w:rsid w:val="0037122A"/>
    <w:rsid w:val="00381589"/>
    <w:rsid w:val="003876EB"/>
    <w:rsid w:val="003917D9"/>
    <w:rsid w:val="003922FC"/>
    <w:rsid w:val="003A25FE"/>
    <w:rsid w:val="003A4DD6"/>
    <w:rsid w:val="003B575C"/>
    <w:rsid w:val="003D015C"/>
    <w:rsid w:val="003D0B20"/>
    <w:rsid w:val="003D481E"/>
    <w:rsid w:val="003D641B"/>
    <w:rsid w:val="00400662"/>
    <w:rsid w:val="00431422"/>
    <w:rsid w:val="004338F9"/>
    <w:rsid w:val="00436D7D"/>
    <w:rsid w:val="00444BF3"/>
    <w:rsid w:val="00460A0B"/>
    <w:rsid w:val="00472DE8"/>
    <w:rsid w:val="00484762"/>
    <w:rsid w:val="00491FFC"/>
    <w:rsid w:val="00494DEE"/>
    <w:rsid w:val="004B4E28"/>
    <w:rsid w:val="004C3B6B"/>
    <w:rsid w:val="004E2CA8"/>
    <w:rsid w:val="004F0F35"/>
    <w:rsid w:val="004F4AB6"/>
    <w:rsid w:val="004F78B8"/>
    <w:rsid w:val="00512B20"/>
    <w:rsid w:val="00542190"/>
    <w:rsid w:val="005745A8"/>
    <w:rsid w:val="00580BEE"/>
    <w:rsid w:val="005871D3"/>
    <w:rsid w:val="005A11A6"/>
    <w:rsid w:val="005A39D9"/>
    <w:rsid w:val="005C067C"/>
    <w:rsid w:val="005C74A2"/>
    <w:rsid w:val="005D248C"/>
    <w:rsid w:val="005D7254"/>
    <w:rsid w:val="005F019D"/>
    <w:rsid w:val="005F187F"/>
    <w:rsid w:val="00604927"/>
    <w:rsid w:val="00605B08"/>
    <w:rsid w:val="0060707F"/>
    <w:rsid w:val="00610906"/>
    <w:rsid w:val="00613F86"/>
    <w:rsid w:val="0063275C"/>
    <w:rsid w:val="00632D12"/>
    <w:rsid w:val="006425C0"/>
    <w:rsid w:val="00651C1E"/>
    <w:rsid w:val="0065778B"/>
    <w:rsid w:val="00663E1B"/>
    <w:rsid w:val="00667659"/>
    <w:rsid w:val="00675C81"/>
    <w:rsid w:val="00680B17"/>
    <w:rsid w:val="006868DB"/>
    <w:rsid w:val="00687F18"/>
    <w:rsid w:val="006908C2"/>
    <w:rsid w:val="00692AC8"/>
    <w:rsid w:val="00695C15"/>
    <w:rsid w:val="006C5926"/>
    <w:rsid w:val="006E064F"/>
    <w:rsid w:val="006E15AD"/>
    <w:rsid w:val="006F6DC1"/>
    <w:rsid w:val="007120D8"/>
    <w:rsid w:val="0072748C"/>
    <w:rsid w:val="00752199"/>
    <w:rsid w:val="00770B39"/>
    <w:rsid w:val="007718EB"/>
    <w:rsid w:val="007A7C5D"/>
    <w:rsid w:val="007B24E4"/>
    <w:rsid w:val="007B3C05"/>
    <w:rsid w:val="007B6CDF"/>
    <w:rsid w:val="007C149B"/>
    <w:rsid w:val="007C5177"/>
    <w:rsid w:val="007E091C"/>
    <w:rsid w:val="007E19A0"/>
    <w:rsid w:val="007E3FF7"/>
    <w:rsid w:val="00803A51"/>
    <w:rsid w:val="008127F2"/>
    <w:rsid w:val="00820AD7"/>
    <w:rsid w:val="008368B4"/>
    <w:rsid w:val="00843D23"/>
    <w:rsid w:val="0088270E"/>
    <w:rsid w:val="008B2A08"/>
    <w:rsid w:val="008B49D0"/>
    <w:rsid w:val="008C6393"/>
    <w:rsid w:val="008D0C20"/>
    <w:rsid w:val="008D625B"/>
    <w:rsid w:val="00900244"/>
    <w:rsid w:val="00902F63"/>
    <w:rsid w:val="009109A4"/>
    <w:rsid w:val="00911428"/>
    <w:rsid w:val="00912847"/>
    <w:rsid w:val="00924CDA"/>
    <w:rsid w:val="00925C6B"/>
    <w:rsid w:val="00972D17"/>
    <w:rsid w:val="009910F9"/>
    <w:rsid w:val="00991587"/>
    <w:rsid w:val="009948FF"/>
    <w:rsid w:val="009A17AD"/>
    <w:rsid w:val="009A3660"/>
    <w:rsid w:val="009C49AA"/>
    <w:rsid w:val="009D0FCB"/>
    <w:rsid w:val="009D1A28"/>
    <w:rsid w:val="009D365B"/>
    <w:rsid w:val="009E5B45"/>
    <w:rsid w:val="009F0BF4"/>
    <w:rsid w:val="009F45E9"/>
    <w:rsid w:val="00A00C7F"/>
    <w:rsid w:val="00A10971"/>
    <w:rsid w:val="00A12814"/>
    <w:rsid w:val="00A21F22"/>
    <w:rsid w:val="00A23635"/>
    <w:rsid w:val="00A309C8"/>
    <w:rsid w:val="00A46199"/>
    <w:rsid w:val="00A55410"/>
    <w:rsid w:val="00A662AD"/>
    <w:rsid w:val="00A863C2"/>
    <w:rsid w:val="00A93E70"/>
    <w:rsid w:val="00A9487A"/>
    <w:rsid w:val="00A97E67"/>
    <w:rsid w:val="00AA1A1C"/>
    <w:rsid w:val="00AB1570"/>
    <w:rsid w:val="00AC3F21"/>
    <w:rsid w:val="00AD36E1"/>
    <w:rsid w:val="00AF3A6E"/>
    <w:rsid w:val="00AF4912"/>
    <w:rsid w:val="00B01EF4"/>
    <w:rsid w:val="00B06BCD"/>
    <w:rsid w:val="00B10921"/>
    <w:rsid w:val="00B31268"/>
    <w:rsid w:val="00B37AFC"/>
    <w:rsid w:val="00B406DC"/>
    <w:rsid w:val="00B45F18"/>
    <w:rsid w:val="00B51A63"/>
    <w:rsid w:val="00B54A4F"/>
    <w:rsid w:val="00B57D38"/>
    <w:rsid w:val="00B625FB"/>
    <w:rsid w:val="00B63BDF"/>
    <w:rsid w:val="00B63F3D"/>
    <w:rsid w:val="00B668C4"/>
    <w:rsid w:val="00B67913"/>
    <w:rsid w:val="00B7504E"/>
    <w:rsid w:val="00B80FFB"/>
    <w:rsid w:val="00B86DA8"/>
    <w:rsid w:val="00B96102"/>
    <w:rsid w:val="00B96634"/>
    <w:rsid w:val="00BA3FC7"/>
    <w:rsid w:val="00BC2FC1"/>
    <w:rsid w:val="00BC5111"/>
    <w:rsid w:val="00BD57A1"/>
    <w:rsid w:val="00BE40CF"/>
    <w:rsid w:val="00BE5CA6"/>
    <w:rsid w:val="00C03079"/>
    <w:rsid w:val="00C031DE"/>
    <w:rsid w:val="00C12466"/>
    <w:rsid w:val="00C34472"/>
    <w:rsid w:val="00C364F7"/>
    <w:rsid w:val="00C569CA"/>
    <w:rsid w:val="00C71013"/>
    <w:rsid w:val="00C74C38"/>
    <w:rsid w:val="00C85DF3"/>
    <w:rsid w:val="00C878EA"/>
    <w:rsid w:val="00CA38DB"/>
    <w:rsid w:val="00CA462E"/>
    <w:rsid w:val="00CC36BA"/>
    <w:rsid w:val="00CC51B9"/>
    <w:rsid w:val="00CD018F"/>
    <w:rsid w:val="00CD73AA"/>
    <w:rsid w:val="00CF4EB9"/>
    <w:rsid w:val="00CF52EF"/>
    <w:rsid w:val="00D07478"/>
    <w:rsid w:val="00D07D55"/>
    <w:rsid w:val="00D12D84"/>
    <w:rsid w:val="00D2543F"/>
    <w:rsid w:val="00D266DC"/>
    <w:rsid w:val="00D27AE1"/>
    <w:rsid w:val="00D47B7B"/>
    <w:rsid w:val="00D505F1"/>
    <w:rsid w:val="00D578F3"/>
    <w:rsid w:val="00D63131"/>
    <w:rsid w:val="00D666D7"/>
    <w:rsid w:val="00D71AA6"/>
    <w:rsid w:val="00D8524C"/>
    <w:rsid w:val="00D87579"/>
    <w:rsid w:val="00D922FE"/>
    <w:rsid w:val="00D95BAB"/>
    <w:rsid w:val="00D97FCF"/>
    <w:rsid w:val="00DB0D6B"/>
    <w:rsid w:val="00DB5589"/>
    <w:rsid w:val="00DC3766"/>
    <w:rsid w:val="00DD1574"/>
    <w:rsid w:val="00DD60D5"/>
    <w:rsid w:val="00DD6E2D"/>
    <w:rsid w:val="00DE44CA"/>
    <w:rsid w:val="00DE4B25"/>
    <w:rsid w:val="00DF58B6"/>
    <w:rsid w:val="00E03EEF"/>
    <w:rsid w:val="00E2600C"/>
    <w:rsid w:val="00E52632"/>
    <w:rsid w:val="00E52DD3"/>
    <w:rsid w:val="00E57BBB"/>
    <w:rsid w:val="00E73528"/>
    <w:rsid w:val="00E74FFA"/>
    <w:rsid w:val="00E956B8"/>
    <w:rsid w:val="00EA257E"/>
    <w:rsid w:val="00EC0B52"/>
    <w:rsid w:val="00ED1958"/>
    <w:rsid w:val="00EE1EC1"/>
    <w:rsid w:val="00EE36D7"/>
    <w:rsid w:val="00EE4984"/>
    <w:rsid w:val="00EE59AE"/>
    <w:rsid w:val="00EF5EE9"/>
    <w:rsid w:val="00F0267F"/>
    <w:rsid w:val="00F0296F"/>
    <w:rsid w:val="00F24A84"/>
    <w:rsid w:val="00F255C9"/>
    <w:rsid w:val="00F31144"/>
    <w:rsid w:val="00F50DD1"/>
    <w:rsid w:val="00F705C0"/>
    <w:rsid w:val="00F70C34"/>
    <w:rsid w:val="00F75647"/>
    <w:rsid w:val="00F84464"/>
    <w:rsid w:val="00F87709"/>
    <w:rsid w:val="00FA167D"/>
    <w:rsid w:val="00FA256B"/>
    <w:rsid w:val="00FB3B29"/>
    <w:rsid w:val="00FB3BA4"/>
    <w:rsid w:val="00FB73A0"/>
    <w:rsid w:val="00FD00B8"/>
    <w:rsid w:val="00FF7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DA4E2"/>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9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Hyperlink">
    <w:name w:val="Hyperlink"/>
    <w:basedOn w:val="DefaultParagraphFont"/>
    <w:uiPriority w:val="99"/>
    <w:unhideWhenUsed/>
    <w:rsid w:val="00991587"/>
    <w:rPr>
      <w:color w:val="467886" w:themeColor="hyperlink"/>
      <w:u w:val="single"/>
    </w:rPr>
  </w:style>
  <w:style w:type="character" w:styleId="UnresolvedMention">
    <w:name w:val="Unresolved Mention"/>
    <w:basedOn w:val="DefaultParagraphFont"/>
    <w:uiPriority w:val="99"/>
    <w:semiHidden/>
    <w:unhideWhenUsed/>
    <w:rsid w:val="00991587"/>
    <w:rPr>
      <w:color w:val="605E5C"/>
      <w:shd w:val="clear" w:color="auto" w:fill="E1DFDD"/>
    </w:rPr>
  </w:style>
  <w:style w:type="character" w:styleId="CommentReference">
    <w:name w:val="annotation reference"/>
    <w:basedOn w:val="DefaultParagraphFont"/>
    <w:uiPriority w:val="99"/>
    <w:semiHidden/>
    <w:unhideWhenUsed/>
    <w:rsid w:val="00235114"/>
    <w:rPr>
      <w:sz w:val="16"/>
      <w:szCs w:val="16"/>
    </w:rPr>
  </w:style>
  <w:style w:type="paragraph" w:styleId="CommentText">
    <w:name w:val="annotation text"/>
    <w:basedOn w:val="Normal"/>
    <w:link w:val="CommentTextChar"/>
    <w:uiPriority w:val="99"/>
    <w:unhideWhenUsed/>
    <w:rsid w:val="00235114"/>
    <w:pPr>
      <w:spacing w:line="240" w:lineRule="auto"/>
    </w:pPr>
    <w:rPr>
      <w:sz w:val="20"/>
      <w:szCs w:val="20"/>
    </w:rPr>
  </w:style>
  <w:style w:type="character" w:customStyle="1" w:styleId="CommentTextChar">
    <w:name w:val="Comment Text Char"/>
    <w:basedOn w:val="DefaultParagraphFont"/>
    <w:link w:val="CommentText"/>
    <w:uiPriority w:val="99"/>
    <w:rsid w:val="00235114"/>
    <w:rPr>
      <w:sz w:val="20"/>
      <w:szCs w:val="20"/>
    </w:rPr>
  </w:style>
  <w:style w:type="paragraph" w:styleId="CommentSubject">
    <w:name w:val="annotation subject"/>
    <w:basedOn w:val="CommentText"/>
    <w:next w:val="CommentText"/>
    <w:link w:val="CommentSubjectChar"/>
    <w:uiPriority w:val="99"/>
    <w:semiHidden/>
    <w:unhideWhenUsed/>
    <w:rsid w:val="00235114"/>
    <w:rPr>
      <w:b/>
      <w:bCs/>
    </w:rPr>
  </w:style>
  <w:style w:type="character" w:customStyle="1" w:styleId="CommentSubjectChar">
    <w:name w:val="Comment Subject Char"/>
    <w:basedOn w:val="CommentTextChar"/>
    <w:link w:val="CommentSubject"/>
    <w:uiPriority w:val="99"/>
    <w:semiHidden/>
    <w:rsid w:val="00235114"/>
    <w:rPr>
      <w:b/>
      <w:bCs/>
      <w:sz w:val="20"/>
      <w:szCs w:val="20"/>
    </w:rPr>
  </w:style>
  <w:style w:type="paragraph" w:styleId="Header">
    <w:name w:val="header"/>
    <w:basedOn w:val="Normal"/>
    <w:link w:val="HeaderChar"/>
    <w:uiPriority w:val="99"/>
    <w:semiHidden/>
    <w:unhideWhenUsed/>
    <w:rsid w:val="007E19A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19A0"/>
  </w:style>
  <w:style w:type="paragraph" w:styleId="Footer">
    <w:name w:val="footer"/>
    <w:basedOn w:val="Normal"/>
    <w:link w:val="FooterChar"/>
    <w:uiPriority w:val="99"/>
    <w:semiHidden/>
    <w:unhideWhenUsed/>
    <w:rsid w:val="007E19A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19A0"/>
  </w:style>
  <w:style w:type="character" w:customStyle="1" w:styleId="normaltextrun">
    <w:name w:val="normaltextrun"/>
    <w:basedOn w:val="DefaultParagraphFont"/>
    <w:rsid w:val="00135B86"/>
  </w:style>
  <w:style w:type="character" w:customStyle="1" w:styleId="eop">
    <w:name w:val="eop"/>
    <w:basedOn w:val="DefaultParagraphFont"/>
    <w:rsid w:val="0013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5101">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900290162">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568878329">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uidance/lawful-development-certificates" TargetMode="Externa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3efcf805efa40c4027cc67c82e0a15db">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cb5b2169d5ecc499cfa0256ff77a93d0"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789A9-7278-4A31-9F21-9F45BD92BE9C}">
  <ds:schemaRefs>
    <ds:schemaRef ds:uri="http://schemas.microsoft.com/sharepoint/v3/contenttype/forms"/>
  </ds:schemaRefs>
</ds:datastoreItem>
</file>

<file path=customXml/itemProps2.xml><?xml version="1.0" encoding="utf-8"?>
<ds:datastoreItem xmlns:ds="http://schemas.openxmlformats.org/officeDocument/2006/customXml" ds:itemID="{0DC96C62-2BD4-48C7-9AE9-C756F0BA941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E06E174-9D53-43C9-BF15-7B7324394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7</Pages>
  <Words>1882</Words>
  <Characters>10731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salesforceId:1a75f222-8b12-4bca-9ac8-1955eee35bd6</dc:subject>
  <dc:creator>O'Donoghue, Ruaridh</dc:creator>
  <cp:keywords/>
  <dc:description/>
  <cp:lastModifiedBy>Giles-Franklin, Verity</cp:lastModifiedBy>
  <cp:revision>2</cp:revision>
  <dcterms:created xsi:type="dcterms:W3CDTF">2026-06-02T12:08:00Z</dcterms:created>
  <dcterms:modified xsi:type="dcterms:W3CDTF">2026-06-02T12:08:00Z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069Q300000Pa3qeIAB</vt:lpwstr>
  </property>
  <property fmtid="{D5CDD505-2E9C-101B-9397-08002B2CF9AE}" pid="5" name="GrammarlyDocumentId">
    <vt:lpwstr>a8d12e6c-1767-4fc0-b50c-c4bad307c650</vt:lpwstr>
  </property>
</Properties>
</file>