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3A241" w14:textId="39DAD31B"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I note Highway’s response and their stance “No Objection – Subject to condition”</w:t>
      </w:r>
    </w:p>
    <w:p w14:paraId="11B474C1" w14:textId="77777777" w:rsidR="002C0FBB" w:rsidRPr="002C0FBB" w:rsidRDefault="002C0FBB" w:rsidP="002C0FBB">
      <w:pPr>
        <w:spacing w:after="0" w:line="240" w:lineRule="auto"/>
        <w:rPr>
          <w:rFonts w:ascii="Arial" w:hAnsi="Arial" w:cs="Arial"/>
          <w:sz w:val="22"/>
          <w:szCs w:val="22"/>
        </w:rPr>
      </w:pPr>
    </w:p>
    <w:p w14:paraId="52EFBB1F" w14:textId="77777777"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Wessex Water is completing a short form S278 Highway agreement to confirm highway detail.  We are in acceptance of the proposed planning conditions. Regarding the recommendations listed in the summary, I can advise for your consideration:</w:t>
      </w:r>
    </w:p>
    <w:p w14:paraId="51EA7824" w14:textId="77777777" w:rsidR="002C0FBB" w:rsidRPr="002C0FBB" w:rsidRDefault="002C0FBB" w:rsidP="002C0FBB">
      <w:pPr>
        <w:spacing w:after="0" w:line="240" w:lineRule="auto"/>
        <w:rPr>
          <w:rFonts w:ascii="Arial" w:hAnsi="Arial" w:cs="Arial"/>
          <w:b/>
          <w:bCs/>
          <w:sz w:val="22"/>
          <w:szCs w:val="22"/>
          <w:u w:val="single"/>
        </w:rPr>
      </w:pPr>
    </w:p>
    <w:p w14:paraId="2B0FDBCA" w14:textId="77777777" w:rsidR="002C0FBB" w:rsidRPr="002C0FBB" w:rsidRDefault="002C0FBB" w:rsidP="002C0FBB">
      <w:pPr>
        <w:spacing w:after="0" w:line="240" w:lineRule="auto"/>
        <w:rPr>
          <w:rFonts w:ascii="Arial" w:hAnsi="Arial" w:cs="Arial"/>
          <w:b/>
          <w:bCs/>
          <w:sz w:val="22"/>
          <w:szCs w:val="22"/>
          <w:u w:val="single"/>
        </w:rPr>
      </w:pPr>
      <w:r w:rsidRPr="002C0FBB">
        <w:rPr>
          <w:rFonts w:ascii="Arial" w:hAnsi="Arial" w:cs="Arial"/>
          <w:b/>
          <w:bCs/>
          <w:sz w:val="22"/>
          <w:szCs w:val="22"/>
          <w:u w:val="single"/>
        </w:rPr>
        <w:t>Swept Path Analysis and parking and manoeuvring within the compound</w:t>
      </w:r>
    </w:p>
    <w:p w14:paraId="1A6F9EA4" w14:textId="77777777"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 xml:space="preserve">Please find attached drawings SK05, SK06 and SK07 showing safe access and exit (and manoeuvrability) of the largest </w:t>
      </w:r>
      <w:proofErr w:type="spellStart"/>
      <w:r w:rsidRPr="002C0FBB">
        <w:rPr>
          <w:rFonts w:ascii="Arial" w:hAnsi="Arial" w:cs="Arial"/>
          <w:sz w:val="22"/>
          <w:szCs w:val="22"/>
        </w:rPr>
        <w:t>artic</w:t>
      </w:r>
      <w:proofErr w:type="spellEnd"/>
      <w:r w:rsidRPr="002C0FBB">
        <w:rPr>
          <w:rFonts w:ascii="Arial" w:hAnsi="Arial" w:cs="Arial"/>
          <w:sz w:val="22"/>
          <w:szCs w:val="22"/>
        </w:rPr>
        <w:t xml:space="preserve"> delivering to site compound</w:t>
      </w:r>
    </w:p>
    <w:p w14:paraId="4725AD47" w14:textId="77777777"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 xml:space="preserve">Version 3 of the Transport Management Plan is also included, incorporating the revised compound drawing, appropriately scaled with </w:t>
      </w:r>
      <w:proofErr w:type="spellStart"/>
      <w:r w:rsidRPr="002C0FBB">
        <w:rPr>
          <w:rFonts w:ascii="Arial" w:hAnsi="Arial" w:cs="Arial"/>
          <w:sz w:val="22"/>
          <w:szCs w:val="22"/>
        </w:rPr>
        <w:t>artic</w:t>
      </w:r>
      <w:proofErr w:type="spellEnd"/>
      <w:r w:rsidRPr="002C0FBB">
        <w:rPr>
          <w:rFonts w:ascii="Arial" w:hAnsi="Arial" w:cs="Arial"/>
          <w:sz w:val="22"/>
          <w:szCs w:val="22"/>
        </w:rPr>
        <w:t xml:space="preserve"> turning circle shown,</w:t>
      </w:r>
    </w:p>
    <w:p w14:paraId="0B756360" w14:textId="77777777" w:rsidR="002C0FBB" w:rsidRPr="002C0FBB" w:rsidRDefault="002C0FBB" w:rsidP="002C0FBB">
      <w:pPr>
        <w:spacing w:after="0" w:line="240" w:lineRule="auto"/>
        <w:rPr>
          <w:rFonts w:ascii="Arial" w:hAnsi="Arial" w:cs="Arial"/>
          <w:sz w:val="22"/>
          <w:szCs w:val="22"/>
        </w:rPr>
      </w:pPr>
    </w:p>
    <w:p w14:paraId="3172008A" w14:textId="77777777" w:rsidR="002C0FBB" w:rsidRPr="002C0FBB" w:rsidRDefault="002C0FBB" w:rsidP="002C0FBB">
      <w:pPr>
        <w:spacing w:after="0" w:line="240" w:lineRule="auto"/>
        <w:rPr>
          <w:rFonts w:ascii="Arial" w:hAnsi="Arial" w:cs="Arial"/>
          <w:b/>
          <w:bCs/>
          <w:sz w:val="22"/>
          <w:szCs w:val="22"/>
          <w:u w:val="single"/>
        </w:rPr>
      </w:pPr>
      <w:r w:rsidRPr="002C0FBB">
        <w:rPr>
          <w:rFonts w:ascii="Arial" w:hAnsi="Arial" w:cs="Arial"/>
          <w:b/>
          <w:bCs/>
          <w:sz w:val="22"/>
          <w:szCs w:val="22"/>
          <w:u w:val="single"/>
        </w:rPr>
        <w:t>Red line Boundary</w:t>
      </w:r>
    </w:p>
    <w:p w14:paraId="7D8B7D7A" w14:textId="7DE6EFC6"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We understand, and in accordance with previous precedence, under Part 4A of the GPDO temporary structures and uses are permitted development provided they are on adjoining land.  The temporary compound is on adjoining land and need not be included in the redline boundary.</w:t>
      </w:r>
    </w:p>
    <w:p w14:paraId="6B59BF3B" w14:textId="77777777" w:rsidR="002C0FBB" w:rsidRPr="002C0FBB" w:rsidRDefault="002C0FBB" w:rsidP="002C0FBB">
      <w:pPr>
        <w:spacing w:after="0" w:line="240" w:lineRule="auto"/>
        <w:rPr>
          <w:rFonts w:ascii="Arial" w:hAnsi="Arial" w:cs="Arial"/>
          <w:sz w:val="22"/>
          <w:szCs w:val="22"/>
        </w:rPr>
      </w:pPr>
    </w:p>
    <w:p w14:paraId="6D0A3BD5" w14:textId="77777777" w:rsidR="002C0FBB" w:rsidRPr="002C0FBB" w:rsidRDefault="002C0FBB" w:rsidP="002C0FBB">
      <w:pPr>
        <w:spacing w:after="0" w:line="240" w:lineRule="auto"/>
        <w:rPr>
          <w:rFonts w:ascii="Arial" w:hAnsi="Arial" w:cs="Arial"/>
          <w:b/>
          <w:bCs/>
          <w:sz w:val="22"/>
          <w:szCs w:val="22"/>
          <w:u w:val="single"/>
        </w:rPr>
      </w:pPr>
      <w:r w:rsidRPr="002C0FBB">
        <w:rPr>
          <w:rFonts w:ascii="Arial" w:hAnsi="Arial" w:cs="Arial"/>
          <w:b/>
          <w:bCs/>
          <w:sz w:val="22"/>
          <w:szCs w:val="22"/>
          <w:u w:val="single"/>
        </w:rPr>
        <w:t>Trees</w:t>
      </w:r>
    </w:p>
    <w:p w14:paraId="3CA64EE5" w14:textId="77777777"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 xml:space="preserve">No trees will be impacted by works within the redline boundary as there are no trees within the redline boundary, nor does it overlap with root protection zones of any nearby trees. The layout of the scheme has been designed </w:t>
      </w:r>
      <w:proofErr w:type="gramStart"/>
      <w:r w:rsidRPr="002C0FBB">
        <w:rPr>
          <w:rFonts w:ascii="Arial" w:hAnsi="Arial" w:cs="Arial"/>
          <w:sz w:val="22"/>
          <w:szCs w:val="22"/>
        </w:rPr>
        <w:t>so as to</w:t>
      </w:r>
      <w:proofErr w:type="gramEnd"/>
      <w:r w:rsidRPr="002C0FBB">
        <w:rPr>
          <w:rFonts w:ascii="Arial" w:hAnsi="Arial" w:cs="Arial"/>
          <w:sz w:val="22"/>
          <w:szCs w:val="22"/>
        </w:rPr>
        <w:t xml:space="preserve"> minimise impact on trees and vegetation. Outside of the redline boundary, it was required that one tree was felled to enable the permitted development aspects of the scheme to progress. The loss of this tree will be compensated for in accordance with Wessex Water’s environmental no net loss commitment, in addition to commitments under the BNG metric associated with planning.  Additional trees within the permitted development area are also visible on satellite imagery, however, these trees have since been felled by the landowner for reasons unrelated to Wessex Water's development. Temporary plant and equipment will be sited outside of root protection areas in accordance with our standard Construction and Environmental Third Party Management Plan for the site (forming part of Wessex Water’s ISO 14001 Environment Management System accreditation). the shaft location (PD Rights) is also located outside of root protection areas.</w:t>
      </w:r>
    </w:p>
    <w:p w14:paraId="532D6C0D" w14:textId="77777777" w:rsidR="002C0FBB" w:rsidRPr="002C0FBB" w:rsidRDefault="002C0FBB" w:rsidP="002C0FBB">
      <w:pPr>
        <w:spacing w:after="0" w:line="240" w:lineRule="auto"/>
        <w:rPr>
          <w:rFonts w:ascii="Arial" w:hAnsi="Arial" w:cs="Arial"/>
          <w:sz w:val="22"/>
          <w:szCs w:val="22"/>
        </w:rPr>
      </w:pPr>
      <w:r w:rsidRPr="002C0FBB">
        <w:rPr>
          <w:rFonts w:ascii="Arial" w:hAnsi="Arial" w:cs="Arial"/>
          <w:sz w:val="22"/>
          <w:szCs w:val="22"/>
        </w:rPr>
        <w:t> </w:t>
      </w:r>
    </w:p>
    <w:p w14:paraId="199B8AAE" w14:textId="77777777" w:rsidR="006B0D61" w:rsidRPr="002C0FBB" w:rsidRDefault="006B0D61" w:rsidP="002C0FBB">
      <w:pPr>
        <w:spacing w:after="0" w:line="240" w:lineRule="auto"/>
        <w:rPr>
          <w:rFonts w:ascii="Arial" w:hAnsi="Arial" w:cs="Arial"/>
          <w:sz w:val="22"/>
          <w:szCs w:val="22"/>
        </w:rPr>
      </w:pPr>
    </w:p>
    <w:sectPr w:rsidR="006B0D61" w:rsidRPr="002C0F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FBB"/>
    <w:rsid w:val="002C0FBB"/>
    <w:rsid w:val="003908F4"/>
    <w:rsid w:val="00590B54"/>
    <w:rsid w:val="006B0D61"/>
    <w:rsid w:val="00D90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341B2"/>
  <w15:chartTrackingRefBased/>
  <w15:docId w15:val="{3530F8A3-4A59-466F-B29A-0058C0AC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FBB"/>
    <w:rPr>
      <w:rFonts w:eastAsiaTheme="majorEastAsia" w:cstheme="majorBidi"/>
      <w:color w:val="272727" w:themeColor="text1" w:themeTint="D8"/>
    </w:rPr>
  </w:style>
  <w:style w:type="paragraph" w:styleId="Title">
    <w:name w:val="Title"/>
    <w:basedOn w:val="Normal"/>
    <w:next w:val="Normal"/>
    <w:link w:val="TitleChar"/>
    <w:uiPriority w:val="10"/>
    <w:qFormat/>
    <w:rsid w:val="002C0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FBB"/>
    <w:pPr>
      <w:spacing w:before="160"/>
      <w:jc w:val="center"/>
    </w:pPr>
    <w:rPr>
      <w:i/>
      <w:iCs/>
      <w:color w:val="404040" w:themeColor="text1" w:themeTint="BF"/>
    </w:rPr>
  </w:style>
  <w:style w:type="character" w:customStyle="1" w:styleId="QuoteChar">
    <w:name w:val="Quote Char"/>
    <w:basedOn w:val="DefaultParagraphFont"/>
    <w:link w:val="Quote"/>
    <w:uiPriority w:val="29"/>
    <w:rsid w:val="002C0FBB"/>
    <w:rPr>
      <w:i/>
      <w:iCs/>
      <w:color w:val="404040" w:themeColor="text1" w:themeTint="BF"/>
    </w:rPr>
  </w:style>
  <w:style w:type="paragraph" w:styleId="ListParagraph">
    <w:name w:val="List Paragraph"/>
    <w:basedOn w:val="Normal"/>
    <w:uiPriority w:val="34"/>
    <w:qFormat/>
    <w:rsid w:val="002C0FBB"/>
    <w:pPr>
      <w:ind w:left="720"/>
      <w:contextualSpacing/>
    </w:pPr>
  </w:style>
  <w:style w:type="character" w:styleId="IntenseEmphasis">
    <w:name w:val="Intense Emphasis"/>
    <w:basedOn w:val="DefaultParagraphFont"/>
    <w:uiPriority w:val="21"/>
    <w:qFormat/>
    <w:rsid w:val="002C0FBB"/>
    <w:rPr>
      <w:i/>
      <w:iCs/>
      <w:color w:val="0F4761" w:themeColor="accent1" w:themeShade="BF"/>
    </w:rPr>
  </w:style>
  <w:style w:type="paragraph" w:styleId="IntenseQuote">
    <w:name w:val="Intense Quote"/>
    <w:basedOn w:val="Normal"/>
    <w:next w:val="Normal"/>
    <w:link w:val="IntenseQuoteChar"/>
    <w:uiPriority w:val="30"/>
    <w:qFormat/>
    <w:rsid w:val="002C0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FBB"/>
    <w:rPr>
      <w:i/>
      <w:iCs/>
      <w:color w:val="0F4761" w:themeColor="accent1" w:themeShade="BF"/>
    </w:rPr>
  </w:style>
  <w:style w:type="character" w:styleId="IntenseReference">
    <w:name w:val="Intense Reference"/>
    <w:basedOn w:val="DefaultParagraphFont"/>
    <w:uiPriority w:val="32"/>
    <w:qFormat/>
    <w:rsid w:val="002C0FB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324</Words>
  <Characters>1848</Characters>
  <Application>Microsoft Office Word</Application>
  <DocSecurity>0</DocSecurity>
  <Lines>15</Lines>
  <Paragraphs>4</Paragraphs>
  <ScaleCrop>false</ScaleCrop>
  <Company/>
  <LinksUpToDate>false</LinksUpToDate>
  <CharactersWithSpaces>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cp:revision>
  <dcterms:created xsi:type="dcterms:W3CDTF">2026-05-20T05:27:00Z</dcterms:created>
  <dcterms:modified xsi:type="dcterms:W3CDTF">2026-05-20T05:29:00Z</dcterms:modified>
</cp:coreProperties>
</file>