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1E6A50" w:rsidRDefault="00B15AD7" w:rsidP="00B15AD7">
      <w:pPr>
        <w:tabs>
          <w:tab w:val="left" w:pos="2520"/>
        </w:tabs>
        <w:jc w:val="center"/>
        <w:rPr>
          <w:rFonts w:ascii="Arial" w:hAnsi="Arial" w:cs="Arial"/>
          <w:b/>
          <w:sz w:val="22"/>
          <w:szCs w:val="22"/>
          <w:u w:val="single"/>
        </w:rPr>
      </w:pPr>
    </w:p>
    <w:p w14:paraId="01E75941" w14:textId="77777777" w:rsidR="000E38BA" w:rsidRPr="001E6A50" w:rsidRDefault="000E38BA" w:rsidP="000E38BA">
      <w:pPr>
        <w:spacing w:line="276" w:lineRule="auto"/>
        <w:rPr>
          <w:rFonts w:ascii="Arial" w:hAnsi="Arial" w:cs="Arial"/>
          <w:b/>
          <w:bCs/>
          <w:sz w:val="28"/>
          <w:szCs w:val="28"/>
        </w:rPr>
      </w:pPr>
      <w:r w:rsidRPr="001E6A50">
        <w:rPr>
          <w:rFonts w:ascii="Arial" w:hAnsi="Arial" w:cs="Arial"/>
          <w:b/>
          <w:bCs/>
          <w:sz w:val="28"/>
          <w:szCs w:val="28"/>
        </w:rPr>
        <w:t>APPLICATION 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160C174" w:rsidR="000E38BA" w:rsidRPr="00E852D5" w:rsidRDefault="001E6A50" w:rsidP="00AE4D3F">
            <w:pPr>
              <w:spacing w:before="100" w:beforeAutospacing="1" w:after="100" w:afterAutospacing="1" w:line="276" w:lineRule="auto"/>
              <w:rPr>
                <w:rFonts w:ascii="Arial" w:hAnsi="Arial" w:cs="Arial"/>
                <w:sz w:val="22"/>
                <w:szCs w:val="22"/>
                <w:lang w:eastAsia="en-GB"/>
              </w:rPr>
            </w:pPr>
            <w:r w:rsidRPr="00E852D5">
              <w:rPr>
                <w:rFonts w:ascii="Arial" w:hAnsi="Arial" w:cs="Arial"/>
                <w:sz w:val="22"/>
                <w:szCs w:val="22"/>
                <w:lang w:eastAsia="en-GB"/>
              </w:rPr>
              <w:t>PL/2026/01814</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89F4030" w:rsidR="000E38BA" w:rsidRPr="00E852D5" w:rsidRDefault="001E6A50" w:rsidP="00AE4D3F">
            <w:pPr>
              <w:spacing w:before="100" w:beforeAutospacing="1" w:after="100" w:afterAutospacing="1" w:line="276" w:lineRule="auto"/>
              <w:rPr>
                <w:rFonts w:ascii="Arial" w:hAnsi="Arial" w:cs="Arial"/>
                <w:sz w:val="22"/>
                <w:szCs w:val="22"/>
                <w:lang w:eastAsia="en-GB"/>
              </w:rPr>
            </w:pPr>
            <w:r w:rsidRPr="00E852D5">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3300D80A" w:rsidR="000E38BA" w:rsidRPr="00E852D5" w:rsidRDefault="00E852D5" w:rsidP="00AE4D3F">
            <w:pPr>
              <w:spacing w:before="100" w:beforeAutospacing="1" w:after="100" w:afterAutospacing="1" w:line="276" w:lineRule="auto"/>
              <w:rPr>
                <w:rFonts w:ascii="Arial" w:hAnsi="Arial" w:cs="Arial"/>
                <w:b/>
                <w:bCs/>
                <w:sz w:val="22"/>
                <w:szCs w:val="22"/>
                <w:lang w:eastAsia="en-GB"/>
              </w:rPr>
            </w:pPr>
            <w:r w:rsidRPr="00E852D5">
              <w:rPr>
                <w:rFonts w:ascii="Arial" w:hAnsi="Arial" w:cs="Arial"/>
                <w:sz w:val="22"/>
                <w:szCs w:val="22"/>
                <w:lang w:eastAsia="en-GB"/>
              </w:rPr>
              <w:t>16 Lower Marsh Road, Warminster, BA12 9PB</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BAD2009" w:rsidR="000E38BA" w:rsidRPr="00E852D5" w:rsidRDefault="00E852D5" w:rsidP="00AE4D3F">
            <w:pPr>
              <w:spacing w:before="100" w:beforeAutospacing="1" w:after="100" w:afterAutospacing="1" w:line="276" w:lineRule="auto"/>
              <w:rPr>
                <w:rFonts w:ascii="Arial" w:hAnsi="Arial" w:cs="Arial"/>
                <w:b/>
                <w:bCs/>
                <w:sz w:val="22"/>
                <w:szCs w:val="22"/>
                <w:lang w:eastAsia="en-GB"/>
              </w:rPr>
            </w:pPr>
            <w:r w:rsidRPr="00E852D5">
              <w:rPr>
                <w:rFonts w:ascii="Arial" w:hAnsi="Arial" w:cs="Arial"/>
                <w:sz w:val="22"/>
                <w:szCs w:val="22"/>
                <w:lang w:eastAsia="en-GB"/>
              </w:rPr>
              <w:t>Conversion of garage to create annexe for dependent family member</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1BD2E40A" w:rsidR="000E38BA" w:rsidRDefault="00BA4E43" w:rsidP="00BA4E43">
      <w:pPr>
        <w:tabs>
          <w:tab w:val="left" w:pos="2520"/>
        </w:tabs>
        <w:jc w:val="center"/>
        <w:rPr>
          <w:rFonts w:ascii="Arial" w:hAnsi="Arial" w:cs="Arial"/>
          <w:bCs/>
          <w:sz w:val="22"/>
          <w:szCs w:val="22"/>
        </w:rPr>
      </w:pPr>
      <w:r w:rsidRPr="00BA4E43">
        <w:rPr>
          <w:rFonts w:ascii="Arial" w:hAnsi="Arial" w:cs="Arial"/>
          <w:b/>
          <w:noProof/>
          <w:color w:val="FF0000"/>
          <w:sz w:val="22"/>
          <w:szCs w:val="22"/>
        </w:rPr>
        <w:drawing>
          <wp:inline distT="0" distB="0" distL="0" distR="0" wp14:anchorId="04830D42" wp14:editId="11DCDA24">
            <wp:extent cx="2122998" cy="2144553"/>
            <wp:effectExtent l="0" t="0" r="0" b="8255"/>
            <wp:docPr id="1575103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03336" name=""/>
                    <pic:cNvPicPr/>
                  </pic:nvPicPr>
                  <pic:blipFill>
                    <a:blip r:embed="rId5"/>
                    <a:stretch>
                      <a:fillRect/>
                    </a:stretch>
                  </pic:blipFill>
                  <pic:spPr>
                    <a:xfrm>
                      <a:off x="0" y="0"/>
                      <a:ext cx="2137461" cy="2159163"/>
                    </a:xfrm>
                    <a:prstGeom prst="rect">
                      <a:avLst/>
                    </a:prstGeom>
                  </pic:spPr>
                </pic:pic>
              </a:graphicData>
            </a:graphic>
          </wp:inline>
        </w:drawing>
      </w:r>
    </w:p>
    <w:p w14:paraId="07AAE80F" w14:textId="77777777" w:rsidR="00BA4E43" w:rsidRPr="004E7A6C" w:rsidRDefault="00BA4E43" w:rsidP="00BA4E43">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4ED65428" w14:textId="300D3170" w:rsidR="005200BE" w:rsidRPr="005200BE" w:rsidRDefault="005200BE" w:rsidP="005200BE">
      <w:pPr>
        <w:pStyle w:val="NoSpacing"/>
        <w:spacing w:line="276" w:lineRule="auto"/>
      </w:pPr>
      <w:r w:rsidRPr="005200BE">
        <w:t>The application seeks permission to convert an existing detached garage into a self-contained annexe for use by a dependent family member. External alterations include the replacement of the existing roller shutter door with cladding and uPVC windows, the insertion of a new access door on the side elevation facing the main dwelling, and the relocation of a gas meter to the front elevation. Additional works comprise the installation of a screen fence boundary treatment and a raised decking area on the southern side. Internally, the scheme provides a kitchen, shower room, and sitting/living area, with associated reconfiguration to create a store and cloakroom</w:t>
      </w:r>
      <w:r w:rsidR="009B76D6">
        <w:t>.  A</w:t>
      </w:r>
      <w:r w:rsidRPr="005200BE">
        <w:t>n existing bedroom</w:t>
      </w:r>
      <w:r w:rsidR="009B76D6">
        <w:t xml:space="preserve"> </w:t>
      </w:r>
      <w:r w:rsidRPr="005200BE">
        <w:t xml:space="preserve">already </w:t>
      </w:r>
      <w:r w:rsidR="009B76D6">
        <w:t xml:space="preserve">exists on the ground floor, adjacent to the garage that is to be converted as part of this application, and this shall be </w:t>
      </w:r>
      <w:r w:rsidRPr="005200BE">
        <w:t xml:space="preserve">retained </w:t>
      </w:r>
      <w:r w:rsidR="009B76D6">
        <w:t>as part of the proposal</w:t>
      </w:r>
      <w:r w:rsidRPr="005200BE">
        <w:t>.</w:t>
      </w:r>
    </w:p>
    <w:p w14:paraId="28AE561C" w14:textId="77777777" w:rsidR="008C2CBB" w:rsidRPr="00075C07" w:rsidRDefault="008C2CB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268583C7" w14:textId="77777777" w:rsidR="000602EE" w:rsidRPr="000602EE" w:rsidRDefault="000602EE" w:rsidP="004F71A4">
      <w:pPr>
        <w:spacing w:line="276" w:lineRule="auto"/>
        <w:jc w:val="both"/>
        <w:rPr>
          <w:rFonts w:ascii="Arial" w:hAnsi="Arial" w:cs="Arial"/>
          <w:sz w:val="22"/>
          <w:szCs w:val="22"/>
        </w:rPr>
      </w:pPr>
      <w:r w:rsidRPr="000602EE">
        <w:rPr>
          <w:rFonts w:ascii="Arial" w:hAnsi="Arial" w:cs="Arial"/>
          <w:sz w:val="22"/>
          <w:szCs w:val="22"/>
        </w:rPr>
        <w:t>The site comprises a two-storey detached dwelling constructed of red brick with a dark tiled roof, situated on the edge of the Warminster settlement boundary within a semi-rural transitional setting. The character of the area shifts noticeably along Lower Marsh Road, where built form becomes more dispersed, with larger plots, established hedgerows, and increasingly open countryside views. While the site lies within Flood Zone 1, there are localised constraints including mapped surface water risk along the adjacent roadway and a high susceptibility to groundwater flooding, albeit the application building itself is unaffected and positioned on land that rises away from the highway. The site is also within the Salisbury Plain SPA buffer and the Hampshire Avon catchment, though no direct impacts arise from the proposal. Three TPO trees are present in the rear garden, but are not affected by the development.</w:t>
      </w:r>
    </w:p>
    <w:p w14:paraId="24C38BE0" w14:textId="77777777" w:rsidR="00DC3C0F" w:rsidRPr="00075C07" w:rsidRDefault="00DC3C0F"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75D6C37C" w:rsidR="00C848E4" w:rsidRDefault="002275ED" w:rsidP="00532E0B">
            <w:pPr>
              <w:spacing w:line="276" w:lineRule="auto"/>
              <w:rPr>
                <w:rFonts w:ascii="Arial" w:hAnsi="Arial" w:cs="Arial"/>
                <w:sz w:val="22"/>
                <w:szCs w:val="22"/>
              </w:rPr>
            </w:pPr>
            <w:r w:rsidRPr="002275ED">
              <w:rPr>
                <w:rFonts w:ascii="Arial" w:hAnsi="Arial" w:cs="Arial"/>
                <w:sz w:val="22"/>
                <w:szCs w:val="22"/>
              </w:rPr>
              <w:t>W/89/02005/FUL</w:t>
            </w:r>
          </w:p>
        </w:tc>
        <w:tc>
          <w:tcPr>
            <w:tcW w:w="5954" w:type="dxa"/>
          </w:tcPr>
          <w:p w14:paraId="3C690310" w14:textId="2C6EC865" w:rsidR="00C848E4" w:rsidRDefault="002275ED" w:rsidP="00532E0B">
            <w:pPr>
              <w:spacing w:line="276" w:lineRule="auto"/>
              <w:rPr>
                <w:rFonts w:ascii="Arial" w:hAnsi="Arial" w:cs="Arial"/>
                <w:sz w:val="22"/>
                <w:szCs w:val="22"/>
              </w:rPr>
            </w:pPr>
            <w:r w:rsidRPr="002275ED">
              <w:rPr>
                <w:rFonts w:ascii="Arial" w:hAnsi="Arial" w:cs="Arial"/>
                <w:sz w:val="22"/>
                <w:szCs w:val="22"/>
              </w:rPr>
              <w:t>Double garage adjoining existing garage</w:t>
            </w:r>
          </w:p>
        </w:tc>
        <w:tc>
          <w:tcPr>
            <w:tcW w:w="2638" w:type="dxa"/>
          </w:tcPr>
          <w:p w14:paraId="23A7486B" w14:textId="2D2B4F9E" w:rsidR="00C848E4" w:rsidRDefault="002275ED"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3354E7" w:rsidRDefault="00C53B6A"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1</w:t>
      </w:r>
      <w:r w:rsidR="00601AAD" w:rsidRPr="003354E7">
        <w:rPr>
          <w:rFonts w:ascii="Arial" w:hAnsi="Arial" w:cs="Arial"/>
          <w:sz w:val="22"/>
          <w:szCs w:val="22"/>
        </w:rPr>
        <w:tab/>
      </w:r>
      <w:r w:rsidR="00601AAD" w:rsidRPr="003354E7">
        <w:rPr>
          <w:rFonts w:ascii="Arial" w:hAnsi="Arial" w:cs="Arial"/>
          <w:sz w:val="22"/>
          <w:szCs w:val="22"/>
        </w:rPr>
        <w:tab/>
      </w:r>
      <w:r w:rsidRPr="003354E7">
        <w:rPr>
          <w:rFonts w:ascii="Arial" w:hAnsi="Arial" w:cs="Arial"/>
          <w:sz w:val="22"/>
          <w:szCs w:val="22"/>
        </w:rPr>
        <w:t xml:space="preserve">Settlement </w:t>
      </w:r>
      <w:r w:rsidR="007A61A7" w:rsidRPr="003354E7">
        <w:rPr>
          <w:rFonts w:ascii="Arial" w:hAnsi="Arial" w:cs="Arial"/>
          <w:sz w:val="22"/>
          <w:szCs w:val="22"/>
        </w:rPr>
        <w:t>S</w:t>
      </w:r>
      <w:r w:rsidRPr="003354E7">
        <w:rPr>
          <w:rFonts w:ascii="Arial" w:hAnsi="Arial" w:cs="Arial"/>
          <w:sz w:val="22"/>
          <w:szCs w:val="22"/>
        </w:rPr>
        <w:t xml:space="preserve">trategy; </w:t>
      </w:r>
    </w:p>
    <w:p w14:paraId="476E7C45" w14:textId="745033F9" w:rsidR="00DC64E7" w:rsidRPr="003354E7" w:rsidRDefault="00C53B6A"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2</w:t>
      </w:r>
      <w:r w:rsidR="00601AAD" w:rsidRPr="003354E7">
        <w:rPr>
          <w:rFonts w:ascii="Arial" w:hAnsi="Arial" w:cs="Arial"/>
          <w:sz w:val="22"/>
          <w:szCs w:val="22"/>
        </w:rPr>
        <w:t xml:space="preserve"> </w:t>
      </w:r>
      <w:r w:rsidR="00601AAD" w:rsidRPr="003354E7">
        <w:rPr>
          <w:rFonts w:ascii="Arial" w:hAnsi="Arial" w:cs="Arial"/>
          <w:sz w:val="22"/>
          <w:szCs w:val="22"/>
        </w:rPr>
        <w:tab/>
      </w:r>
      <w:r w:rsidR="00601AAD" w:rsidRPr="003354E7">
        <w:rPr>
          <w:rFonts w:ascii="Arial" w:hAnsi="Arial" w:cs="Arial"/>
          <w:sz w:val="22"/>
          <w:szCs w:val="22"/>
        </w:rPr>
        <w:tab/>
      </w:r>
      <w:r w:rsidRPr="003354E7">
        <w:rPr>
          <w:rFonts w:ascii="Arial" w:hAnsi="Arial" w:cs="Arial"/>
          <w:sz w:val="22"/>
          <w:szCs w:val="22"/>
        </w:rPr>
        <w:t xml:space="preserve">Delivery </w:t>
      </w:r>
      <w:r w:rsidR="007A61A7" w:rsidRPr="003354E7">
        <w:rPr>
          <w:rFonts w:ascii="Arial" w:hAnsi="Arial" w:cs="Arial"/>
          <w:sz w:val="22"/>
          <w:szCs w:val="22"/>
        </w:rPr>
        <w:t>S</w:t>
      </w:r>
      <w:r w:rsidRPr="003354E7">
        <w:rPr>
          <w:rFonts w:ascii="Arial" w:hAnsi="Arial" w:cs="Arial"/>
          <w:sz w:val="22"/>
          <w:szCs w:val="22"/>
        </w:rPr>
        <w:t>trategy;</w:t>
      </w:r>
    </w:p>
    <w:p w14:paraId="7D8BECCC" w14:textId="48865467" w:rsidR="0076074E" w:rsidRPr="003354E7" w:rsidRDefault="0076074E"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 xml:space="preserve">Core Policy </w:t>
      </w:r>
      <w:r w:rsidR="00594C14" w:rsidRPr="003354E7">
        <w:rPr>
          <w:rFonts w:ascii="Arial" w:hAnsi="Arial" w:cs="Arial"/>
          <w:sz w:val="22"/>
          <w:szCs w:val="22"/>
        </w:rPr>
        <w:t>31</w:t>
      </w:r>
      <w:r w:rsidRPr="003354E7">
        <w:rPr>
          <w:rFonts w:ascii="Arial" w:hAnsi="Arial" w:cs="Arial"/>
          <w:sz w:val="22"/>
          <w:szCs w:val="22"/>
        </w:rPr>
        <w:t xml:space="preserve"> </w:t>
      </w:r>
      <w:r w:rsidRPr="003354E7">
        <w:rPr>
          <w:rFonts w:ascii="Arial" w:hAnsi="Arial" w:cs="Arial"/>
          <w:sz w:val="22"/>
          <w:szCs w:val="22"/>
        </w:rPr>
        <w:tab/>
        <w:t>Spatial Strategy:</w:t>
      </w:r>
      <w:r w:rsidR="00594C14" w:rsidRPr="003354E7">
        <w:rPr>
          <w:rFonts w:ascii="Arial" w:hAnsi="Arial" w:cs="Arial"/>
          <w:sz w:val="22"/>
          <w:szCs w:val="22"/>
        </w:rPr>
        <w:t xml:space="preserve"> Warminster Community Area;</w:t>
      </w:r>
    </w:p>
    <w:p w14:paraId="72359717" w14:textId="5D2923D3" w:rsidR="007336B3" w:rsidRPr="003354E7" w:rsidRDefault="007336B3"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50</w:t>
      </w:r>
      <w:r w:rsidRPr="003354E7">
        <w:rPr>
          <w:rFonts w:ascii="Arial" w:hAnsi="Arial" w:cs="Arial"/>
          <w:sz w:val="22"/>
          <w:szCs w:val="22"/>
        </w:rPr>
        <w:tab/>
      </w:r>
      <w:r w:rsidRPr="003354E7">
        <w:rPr>
          <w:rFonts w:ascii="Arial" w:hAnsi="Arial" w:cs="Arial"/>
          <w:sz w:val="22"/>
          <w:szCs w:val="22"/>
        </w:rPr>
        <w:tab/>
        <w:t>Biodiversity and Geodiversity;</w:t>
      </w:r>
    </w:p>
    <w:p w14:paraId="2C9A8F56" w14:textId="6C82D516" w:rsidR="00C53B6A" w:rsidRPr="003354E7" w:rsidRDefault="00C53B6A"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51</w:t>
      </w:r>
      <w:r w:rsidR="00601AAD" w:rsidRPr="003354E7">
        <w:rPr>
          <w:rFonts w:ascii="Arial" w:hAnsi="Arial" w:cs="Arial"/>
          <w:sz w:val="22"/>
          <w:szCs w:val="22"/>
        </w:rPr>
        <w:t xml:space="preserve"> </w:t>
      </w:r>
      <w:r w:rsidR="00601AAD" w:rsidRPr="003354E7">
        <w:rPr>
          <w:rFonts w:ascii="Arial" w:hAnsi="Arial" w:cs="Arial"/>
          <w:sz w:val="22"/>
          <w:szCs w:val="22"/>
        </w:rPr>
        <w:tab/>
      </w:r>
      <w:r w:rsidRPr="003354E7">
        <w:rPr>
          <w:rFonts w:ascii="Arial" w:hAnsi="Arial" w:cs="Arial"/>
          <w:sz w:val="22"/>
          <w:szCs w:val="22"/>
        </w:rPr>
        <w:t xml:space="preserve">Landscape; </w:t>
      </w:r>
    </w:p>
    <w:p w14:paraId="40D32787" w14:textId="78D7E7D9" w:rsidR="00A938B9" w:rsidRPr="003354E7" w:rsidRDefault="00C53B6A"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57</w:t>
      </w:r>
      <w:r w:rsidR="00601AAD" w:rsidRPr="003354E7">
        <w:rPr>
          <w:rFonts w:ascii="Arial" w:hAnsi="Arial" w:cs="Arial"/>
          <w:sz w:val="22"/>
          <w:szCs w:val="22"/>
        </w:rPr>
        <w:t xml:space="preserve"> </w:t>
      </w:r>
      <w:r w:rsidR="00601AAD" w:rsidRPr="003354E7">
        <w:rPr>
          <w:rFonts w:ascii="Arial" w:hAnsi="Arial" w:cs="Arial"/>
          <w:sz w:val="22"/>
          <w:szCs w:val="22"/>
        </w:rPr>
        <w:tab/>
      </w:r>
      <w:r w:rsidRPr="003354E7">
        <w:rPr>
          <w:rFonts w:ascii="Arial" w:hAnsi="Arial" w:cs="Arial"/>
          <w:sz w:val="22"/>
          <w:szCs w:val="22"/>
        </w:rPr>
        <w:t xml:space="preserve">Ensuring </w:t>
      </w:r>
      <w:r w:rsidR="007A61A7" w:rsidRPr="003354E7">
        <w:rPr>
          <w:rFonts w:ascii="Arial" w:hAnsi="Arial" w:cs="Arial"/>
          <w:sz w:val="22"/>
          <w:szCs w:val="22"/>
        </w:rPr>
        <w:t>H</w:t>
      </w:r>
      <w:r w:rsidRPr="003354E7">
        <w:rPr>
          <w:rFonts w:ascii="Arial" w:hAnsi="Arial" w:cs="Arial"/>
          <w:sz w:val="22"/>
          <w:szCs w:val="22"/>
        </w:rPr>
        <w:t>igh-</w:t>
      </w:r>
      <w:r w:rsidR="007A61A7" w:rsidRPr="003354E7">
        <w:rPr>
          <w:rFonts w:ascii="Arial" w:hAnsi="Arial" w:cs="Arial"/>
          <w:sz w:val="22"/>
          <w:szCs w:val="22"/>
        </w:rPr>
        <w:t>Q</w:t>
      </w:r>
      <w:r w:rsidRPr="003354E7">
        <w:rPr>
          <w:rFonts w:ascii="Arial" w:hAnsi="Arial" w:cs="Arial"/>
          <w:sz w:val="22"/>
          <w:szCs w:val="22"/>
        </w:rPr>
        <w:t xml:space="preserve">uality </w:t>
      </w:r>
      <w:r w:rsidR="007A61A7" w:rsidRPr="003354E7">
        <w:rPr>
          <w:rFonts w:ascii="Arial" w:hAnsi="Arial" w:cs="Arial"/>
          <w:sz w:val="22"/>
          <w:szCs w:val="22"/>
        </w:rPr>
        <w:t>D</w:t>
      </w:r>
      <w:r w:rsidRPr="003354E7">
        <w:rPr>
          <w:rFonts w:ascii="Arial" w:hAnsi="Arial" w:cs="Arial"/>
          <w:sz w:val="22"/>
          <w:szCs w:val="22"/>
        </w:rPr>
        <w:t xml:space="preserve">esign and </w:t>
      </w:r>
      <w:r w:rsidR="007A61A7" w:rsidRPr="003354E7">
        <w:rPr>
          <w:rFonts w:ascii="Arial" w:hAnsi="Arial" w:cs="Arial"/>
          <w:sz w:val="22"/>
          <w:szCs w:val="22"/>
        </w:rPr>
        <w:t>P</w:t>
      </w:r>
      <w:r w:rsidRPr="003354E7">
        <w:rPr>
          <w:rFonts w:ascii="Arial" w:hAnsi="Arial" w:cs="Arial"/>
          <w:sz w:val="22"/>
          <w:szCs w:val="22"/>
        </w:rPr>
        <w:t xml:space="preserve">lace </w:t>
      </w:r>
      <w:r w:rsidR="007A61A7" w:rsidRPr="003354E7">
        <w:rPr>
          <w:rFonts w:ascii="Arial" w:hAnsi="Arial" w:cs="Arial"/>
          <w:sz w:val="22"/>
          <w:szCs w:val="22"/>
        </w:rPr>
        <w:t>S</w:t>
      </w:r>
      <w:r w:rsidRPr="003354E7">
        <w:rPr>
          <w:rFonts w:ascii="Arial" w:hAnsi="Arial" w:cs="Arial"/>
          <w:sz w:val="22"/>
          <w:szCs w:val="22"/>
        </w:rPr>
        <w:t xml:space="preserve">haping; </w:t>
      </w:r>
    </w:p>
    <w:p w14:paraId="11ED6A25" w14:textId="7AF5F23B" w:rsidR="00EB3DCC" w:rsidRPr="003354E7" w:rsidRDefault="00EB3DCC"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60</w:t>
      </w:r>
      <w:r w:rsidRPr="003354E7">
        <w:rPr>
          <w:rFonts w:ascii="Arial" w:hAnsi="Arial" w:cs="Arial"/>
          <w:sz w:val="22"/>
          <w:szCs w:val="22"/>
        </w:rPr>
        <w:tab/>
      </w:r>
      <w:r w:rsidRPr="003354E7">
        <w:rPr>
          <w:rFonts w:ascii="Arial" w:hAnsi="Arial" w:cs="Arial"/>
          <w:sz w:val="22"/>
          <w:szCs w:val="22"/>
        </w:rPr>
        <w:tab/>
        <w:t>Sustainable Transport;</w:t>
      </w:r>
    </w:p>
    <w:p w14:paraId="77A925A7" w14:textId="333FBA5F" w:rsidR="00C53B6A" w:rsidRPr="003354E7" w:rsidRDefault="00C53B6A"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61</w:t>
      </w:r>
      <w:r w:rsidR="00601AAD" w:rsidRPr="003354E7">
        <w:rPr>
          <w:rFonts w:ascii="Arial" w:hAnsi="Arial" w:cs="Arial"/>
          <w:sz w:val="22"/>
          <w:szCs w:val="22"/>
        </w:rPr>
        <w:t xml:space="preserve"> </w:t>
      </w:r>
      <w:r w:rsidR="00601AAD" w:rsidRPr="003354E7">
        <w:rPr>
          <w:rFonts w:ascii="Arial" w:hAnsi="Arial" w:cs="Arial"/>
          <w:sz w:val="22"/>
          <w:szCs w:val="22"/>
        </w:rPr>
        <w:tab/>
      </w:r>
      <w:r w:rsidRPr="003354E7">
        <w:rPr>
          <w:rFonts w:ascii="Arial" w:hAnsi="Arial" w:cs="Arial"/>
          <w:sz w:val="22"/>
          <w:szCs w:val="22"/>
        </w:rPr>
        <w:t xml:space="preserve">Transport and Development; </w:t>
      </w:r>
    </w:p>
    <w:p w14:paraId="2F1672C7" w14:textId="2EDD9E9D" w:rsidR="00C53B6A" w:rsidRPr="003354E7" w:rsidRDefault="00C53B6A"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64</w:t>
      </w:r>
      <w:r w:rsidR="00601AAD" w:rsidRPr="003354E7">
        <w:rPr>
          <w:rFonts w:ascii="Arial" w:hAnsi="Arial" w:cs="Arial"/>
          <w:sz w:val="22"/>
          <w:szCs w:val="22"/>
        </w:rPr>
        <w:t xml:space="preserve"> </w:t>
      </w:r>
      <w:r w:rsidR="00601AAD" w:rsidRPr="003354E7">
        <w:rPr>
          <w:rFonts w:ascii="Arial" w:hAnsi="Arial" w:cs="Arial"/>
          <w:sz w:val="22"/>
          <w:szCs w:val="22"/>
        </w:rPr>
        <w:tab/>
      </w:r>
      <w:r w:rsidRPr="003354E7">
        <w:rPr>
          <w:rFonts w:ascii="Arial" w:hAnsi="Arial" w:cs="Arial"/>
          <w:sz w:val="22"/>
          <w:szCs w:val="22"/>
        </w:rPr>
        <w:t xml:space="preserve">Demand Management; </w:t>
      </w:r>
    </w:p>
    <w:p w14:paraId="2959F223" w14:textId="7AAAF5D0" w:rsidR="009B76D6" w:rsidRDefault="0023524B" w:rsidP="00CC6665">
      <w:pPr>
        <w:autoSpaceDE w:val="0"/>
        <w:autoSpaceDN w:val="0"/>
        <w:adjustRightInd w:val="0"/>
        <w:spacing w:line="276" w:lineRule="auto"/>
        <w:rPr>
          <w:rFonts w:ascii="Arial" w:hAnsi="Arial" w:cs="Arial"/>
          <w:sz w:val="22"/>
          <w:szCs w:val="22"/>
        </w:rPr>
      </w:pPr>
      <w:r w:rsidRPr="003354E7">
        <w:rPr>
          <w:rFonts w:ascii="Arial" w:hAnsi="Arial" w:cs="Arial"/>
          <w:sz w:val="22"/>
          <w:szCs w:val="22"/>
        </w:rPr>
        <w:t>Core Policy 67</w:t>
      </w:r>
      <w:r w:rsidRPr="003354E7">
        <w:rPr>
          <w:rFonts w:ascii="Arial" w:hAnsi="Arial" w:cs="Arial"/>
          <w:sz w:val="22"/>
          <w:szCs w:val="22"/>
        </w:rPr>
        <w:tab/>
      </w:r>
      <w:r w:rsidRPr="003354E7">
        <w:rPr>
          <w:rFonts w:ascii="Arial" w:hAnsi="Arial" w:cs="Arial"/>
          <w:sz w:val="22"/>
          <w:szCs w:val="22"/>
        </w:rPr>
        <w:tab/>
        <w:t xml:space="preserve">Flood </w:t>
      </w:r>
      <w:proofErr w:type="gramStart"/>
      <w:r w:rsidRPr="003354E7">
        <w:rPr>
          <w:rFonts w:ascii="Arial" w:hAnsi="Arial" w:cs="Arial"/>
          <w:sz w:val="22"/>
          <w:szCs w:val="22"/>
        </w:rPr>
        <w:t>Risk;</w:t>
      </w:r>
      <w:proofErr w:type="gramEnd"/>
    </w:p>
    <w:p w14:paraId="2D16D8BD" w14:textId="19631C1F" w:rsidR="009B76D6" w:rsidRDefault="009B76D6"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69</w:t>
      </w:r>
      <w:r>
        <w:rPr>
          <w:rFonts w:ascii="Arial" w:hAnsi="Arial" w:cs="Arial"/>
          <w:sz w:val="22"/>
          <w:szCs w:val="22"/>
        </w:rPr>
        <w:tab/>
      </w:r>
      <w:r>
        <w:rPr>
          <w:rFonts w:ascii="Arial" w:hAnsi="Arial" w:cs="Arial"/>
          <w:sz w:val="22"/>
          <w:szCs w:val="22"/>
        </w:rPr>
        <w:tab/>
      </w:r>
      <w:r w:rsidRPr="009B76D6">
        <w:rPr>
          <w:rFonts w:ascii="Arial" w:hAnsi="Arial" w:cs="Arial"/>
          <w:sz w:val="22"/>
          <w:szCs w:val="22"/>
        </w:rPr>
        <w:t>Protection of the River Avon SAC</w:t>
      </w:r>
    </w:p>
    <w:p w14:paraId="64F53B99" w14:textId="77777777" w:rsidR="00DC4F3E" w:rsidRPr="003354E7" w:rsidRDefault="00DC4F3E" w:rsidP="00CC6665">
      <w:pPr>
        <w:spacing w:line="276" w:lineRule="auto"/>
        <w:rPr>
          <w:rFonts w:ascii="Arial" w:hAnsi="Arial" w:cs="Arial"/>
          <w:sz w:val="22"/>
          <w:szCs w:val="22"/>
          <w:u w:val="single"/>
        </w:rPr>
      </w:pPr>
    </w:p>
    <w:p w14:paraId="1C924897" w14:textId="5C2E38BB" w:rsidR="00DC4F3E" w:rsidRPr="003354E7" w:rsidRDefault="00DC4F3E" w:rsidP="00CC6665">
      <w:pPr>
        <w:spacing w:line="276" w:lineRule="auto"/>
        <w:rPr>
          <w:rFonts w:ascii="Arial" w:hAnsi="Arial" w:cs="Arial"/>
          <w:sz w:val="22"/>
          <w:szCs w:val="22"/>
          <w:u w:val="single"/>
        </w:rPr>
      </w:pPr>
      <w:bookmarkStart w:id="0" w:name="_Hlk212452795"/>
      <w:bookmarkStart w:id="1" w:name="_Hlk212461860"/>
      <w:r w:rsidRPr="003354E7">
        <w:rPr>
          <w:rFonts w:ascii="Arial" w:hAnsi="Arial" w:cs="Arial"/>
          <w:sz w:val="22"/>
          <w:szCs w:val="22"/>
          <w:u w:val="single"/>
        </w:rPr>
        <w:t>The National Planning Policy Framework (NPPF)</w:t>
      </w:r>
      <w:r w:rsidR="003354E7" w:rsidRPr="003354E7">
        <w:rPr>
          <w:rFonts w:ascii="Arial" w:hAnsi="Arial" w:cs="Arial"/>
          <w:sz w:val="22"/>
          <w:szCs w:val="22"/>
          <w:u w:val="single"/>
        </w:rPr>
        <w:t xml:space="preserve"> and </w:t>
      </w:r>
      <w:r w:rsidR="009B76D6">
        <w:rPr>
          <w:rFonts w:ascii="Arial" w:hAnsi="Arial" w:cs="Arial"/>
          <w:sz w:val="22"/>
          <w:szCs w:val="22"/>
          <w:u w:val="single"/>
        </w:rPr>
        <w:t>t</w:t>
      </w:r>
      <w:r w:rsidRPr="003354E7">
        <w:rPr>
          <w:rFonts w:ascii="Arial" w:hAnsi="Arial" w:cs="Arial"/>
          <w:sz w:val="22"/>
          <w:szCs w:val="22"/>
          <w:u w:val="single"/>
        </w:rPr>
        <w:t>he Planning Practice Guidance (PPG)</w:t>
      </w:r>
    </w:p>
    <w:p w14:paraId="4930FB06" w14:textId="77777777" w:rsidR="008D6C52" w:rsidRPr="003354E7" w:rsidRDefault="008D6C52" w:rsidP="00CC6665">
      <w:pPr>
        <w:spacing w:line="276" w:lineRule="auto"/>
        <w:rPr>
          <w:rFonts w:ascii="Arial" w:hAnsi="Arial" w:cs="Arial"/>
          <w:sz w:val="22"/>
          <w:szCs w:val="22"/>
          <w:u w:val="single"/>
        </w:rPr>
      </w:pPr>
    </w:p>
    <w:p w14:paraId="08D91513" w14:textId="2BED8373" w:rsidR="00561AE7" w:rsidRPr="003354E7" w:rsidRDefault="008D6C52" w:rsidP="00CC6665">
      <w:pPr>
        <w:spacing w:before="20" w:line="276" w:lineRule="auto"/>
        <w:rPr>
          <w:rFonts w:ascii="Arial" w:hAnsi="Arial" w:cs="Arial"/>
          <w:sz w:val="22"/>
          <w:szCs w:val="22"/>
          <w:u w:val="single"/>
        </w:rPr>
      </w:pPr>
      <w:r w:rsidRPr="003354E7">
        <w:rPr>
          <w:rFonts w:ascii="Arial" w:hAnsi="Arial" w:cs="Arial"/>
          <w:sz w:val="22"/>
          <w:szCs w:val="22"/>
          <w:u w:val="single"/>
        </w:rPr>
        <w:t xml:space="preserve">Wiltshire Design Guide </w:t>
      </w:r>
      <w:r w:rsidR="00DC4F3E" w:rsidRPr="003354E7">
        <w:rPr>
          <w:rFonts w:ascii="Arial" w:hAnsi="Arial" w:cs="Arial"/>
          <w:sz w:val="22"/>
          <w:szCs w:val="22"/>
          <w:u w:val="single"/>
        </w:rPr>
        <w:t>- Appendix D – Design Guidance for Householder extensions</w:t>
      </w:r>
    </w:p>
    <w:bookmarkEnd w:id="0"/>
    <w:p w14:paraId="19CD89F3" w14:textId="77777777" w:rsidR="00DC4F3E" w:rsidRPr="003354E7" w:rsidRDefault="00DC4F3E" w:rsidP="00CC6665">
      <w:pPr>
        <w:spacing w:line="276" w:lineRule="auto"/>
        <w:rPr>
          <w:rFonts w:ascii="Arial" w:hAnsi="Arial" w:cs="Arial"/>
          <w:sz w:val="22"/>
          <w:szCs w:val="22"/>
          <w:u w:val="single"/>
        </w:rPr>
      </w:pPr>
    </w:p>
    <w:p w14:paraId="791E8FB4" w14:textId="79324D54" w:rsidR="00561AE7" w:rsidRPr="003354E7" w:rsidRDefault="008D6C52" w:rsidP="00CC6665">
      <w:pPr>
        <w:spacing w:line="276" w:lineRule="auto"/>
        <w:rPr>
          <w:rFonts w:ascii="Arial" w:hAnsi="Arial" w:cs="Arial"/>
          <w:sz w:val="22"/>
          <w:szCs w:val="22"/>
          <w:u w:val="single"/>
        </w:rPr>
      </w:pPr>
      <w:r w:rsidRPr="003354E7">
        <w:rPr>
          <w:rFonts w:ascii="Arial" w:hAnsi="Arial" w:cs="Arial"/>
          <w:sz w:val="22"/>
          <w:szCs w:val="22"/>
          <w:u w:val="single"/>
        </w:rPr>
        <w:t>The Wiltshire Local Transport Plan 201</w:t>
      </w:r>
      <w:r w:rsidR="008D5791" w:rsidRPr="003354E7">
        <w:rPr>
          <w:rFonts w:ascii="Arial" w:hAnsi="Arial" w:cs="Arial"/>
          <w:sz w:val="22"/>
          <w:szCs w:val="22"/>
          <w:u w:val="single"/>
        </w:rPr>
        <w:t>1</w:t>
      </w:r>
      <w:r w:rsidRPr="003354E7">
        <w:rPr>
          <w:rFonts w:ascii="Arial" w:hAnsi="Arial" w:cs="Arial"/>
          <w:sz w:val="22"/>
          <w:szCs w:val="22"/>
          <w:u w:val="single"/>
        </w:rPr>
        <w:t xml:space="preserve"> – 2026: Car Parking Strategy (March 2015).</w:t>
      </w:r>
    </w:p>
    <w:p w14:paraId="68198CF8" w14:textId="77777777" w:rsidR="00DC4F3E" w:rsidRPr="003354E7" w:rsidRDefault="00DC4F3E" w:rsidP="00CC6665">
      <w:pPr>
        <w:spacing w:line="276" w:lineRule="auto"/>
        <w:rPr>
          <w:rFonts w:ascii="Arial" w:hAnsi="Arial" w:cs="Arial"/>
          <w:sz w:val="22"/>
          <w:szCs w:val="22"/>
        </w:rPr>
      </w:pPr>
    </w:p>
    <w:p w14:paraId="7E5B5138" w14:textId="30DA2106" w:rsidR="00CD6B35" w:rsidRDefault="00CD6B35" w:rsidP="00CC6665">
      <w:pPr>
        <w:spacing w:line="276" w:lineRule="auto"/>
        <w:rPr>
          <w:rFonts w:ascii="Arial" w:hAnsi="Arial" w:cs="Arial"/>
          <w:sz w:val="22"/>
          <w:szCs w:val="22"/>
          <w:u w:val="single"/>
        </w:rPr>
      </w:pPr>
      <w:r w:rsidRPr="003354E7">
        <w:rPr>
          <w:rFonts w:ascii="Arial" w:hAnsi="Arial" w:cs="Arial"/>
          <w:sz w:val="22"/>
          <w:szCs w:val="22"/>
          <w:u w:val="single"/>
        </w:rPr>
        <w:t>The Wiltshire Local Transport Plan 4 (LTP4) (March 2025)</w:t>
      </w:r>
    </w:p>
    <w:p w14:paraId="7782D6D7" w14:textId="77777777" w:rsidR="003343FA" w:rsidRDefault="003343FA" w:rsidP="00CC6665">
      <w:pPr>
        <w:spacing w:line="276" w:lineRule="auto"/>
        <w:rPr>
          <w:rFonts w:ascii="Arial" w:hAnsi="Arial" w:cs="Arial"/>
          <w:sz w:val="22"/>
          <w:szCs w:val="22"/>
          <w:u w:val="single"/>
        </w:rPr>
      </w:pPr>
    </w:p>
    <w:p w14:paraId="431814C9" w14:textId="68600976" w:rsidR="003343FA" w:rsidRPr="003354E7" w:rsidRDefault="003343FA" w:rsidP="00CC6665">
      <w:pPr>
        <w:spacing w:line="276" w:lineRule="auto"/>
        <w:rPr>
          <w:rFonts w:ascii="Arial" w:hAnsi="Arial" w:cs="Arial"/>
          <w:sz w:val="22"/>
          <w:szCs w:val="22"/>
          <w:u w:val="single"/>
        </w:rPr>
      </w:pPr>
      <w:r w:rsidRPr="003343FA">
        <w:rPr>
          <w:rFonts w:ascii="Arial" w:hAnsi="Arial" w:cs="Arial"/>
          <w:sz w:val="22"/>
          <w:szCs w:val="22"/>
          <w:u w:val="single"/>
        </w:rPr>
        <w:t xml:space="preserve">The 'made' Warminster Neighbourhood Plan, November 2016 </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5A021678" w14:textId="68982906" w:rsidR="00EF7DEB" w:rsidRPr="00714DA1" w:rsidRDefault="00CC6665" w:rsidP="00714DA1">
      <w:pPr>
        <w:pStyle w:val="NormalWeb"/>
        <w:spacing w:before="0" w:beforeAutospacing="0" w:after="0" w:afterAutospacing="0" w:line="276" w:lineRule="auto"/>
        <w:jc w:val="both"/>
        <w:rPr>
          <w:rFonts w:ascii="Arial" w:hAnsi="Arial" w:cs="Arial"/>
          <w:sz w:val="22"/>
          <w:szCs w:val="22"/>
        </w:rPr>
      </w:pPr>
      <w:r w:rsidRPr="004D5C3C">
        <w:rPr>
          <w:rFonts w:ascii="Arial" w:hAnsi="Arial" w:cs="Arial"/>
          <w:sz w:val="22"/>
          <w:szCs w:val="22"/>
          <w:u w:val="single"/>
        </w:rPr>
        <w:t>Emerging Policy – Wiltshire Local Plan Review</w:t>
      </w:r>
      <w:r w:rsidR="009B76D6">
        <w:rPr>
          <w:rFonts w:ascii="Arial" w:hAnsi="Arial" w:cs="Arial"/>
          <w:sz w:val="22"/>
          <w:szCs w:val="22"/>
        </w:rPr>
        <w:t xml:space="preserve">:  </w:t>
      </w:r>
      <w:r w:rsidR="000B0456"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7916F5CC" w14:textId="04D4A5D5" w:rsidR="00A418CE" w:rsidRPr="00172295" w:rsidRDefault="00A418CE" w:rsidP="00CC6665">
      <w:pPr>
        <w:spacing w:line="276" w:lineRule="auto"/>
        <w:rPr>
          <w:rFonts w:ascii="Arial" w:hAnsi="Arial" w:cs="Arial"/>
          <w:bCs/>
          <w:sz w:val="22"/>
          <w:szCs w:val="22"/>
        </w:rPr>
      </w:pPr>
      <w:r w:rsidRPr="00A418CE">
        <w:rPr>
          <w:rFonts w:ascii="Arial" w:hAnsi="Arial" w:cs="Arial"/>
          <w:bCs/>
          <w:sz w:val="22"/>
          <w:szCs w:val="22"/>
          <w:u w:val="single"/>
        </w:rPr>
        <w:t>Warminster</w:t>
      </w:r>
      <w:r w:rsidR="00DC4F3E" w:rsidRPr="00A418CE">
        <w:rPr>
          <w:rFonts w:ascii="Arial" w:hAnsi="Arial" w:cs="Arial"/>
          <w:bCs/>
          <w:sz w:val="22"/>
          <w:szCs w:val="22"/>
          <w:u w:val="single"/>
        </w:rPr>
        <w:t xml:space="preserve"> </w:t>
      </w:r>
      <w:r w:rsidR="005D2581" w:rsidRPr="00A418CE">
        <w:rPr>
          <w:rFonts w:ascii="Arial" w:hAnsi="Arial" w:cs="Arial"/>
          <w:bCs/>
          <w:sz w:val="22"/>
          <w:szCs w:val="22"/>
          <w:u w:val="single"/>
        </w:rPr>
        <w:t>Town Council</w:t>
      </w:r>
      <w:r w:rsidR="0060536A" w:rsidRPr="00172295">
        <w:rPr>
          <w:rFonts w:ascii="Arial" w:hAnsi="Arial" w:cs="Arial"/>
          <w:bCs/>
          <w:sz w:val="22"/>
          <w:szCs w:val="22"/>
        </w:rPr>
        <w:t xml:space="preserve"> – </w:t>
      </w:r>
      <w:r w:rsidRPr="00172295">
        <w:rPr>
          <w:rFonts w:ascii="Arial" w:hAnsi="Arial" w:cs="Arial"/>
          <w:bCs/>
          <w:sz w:val="22"/>
          <w:szCs w:val="22"/>
        </w:rPr>
        <w:t>No Objection (subject to condition)</w:t>
      </w:r>
    </w:p>
    <w:p w14:paraId="1F36FE15" w14:textId="77777777" w:rsidR="00DC4F3E" w:rsidRPr="00075C07" w:rsidRDefault="00DC4F3E" w:rsidP="00CC6665">
      <w:pPr>
        <w:spacing w:line="276" w:lineRule="auto"/>
        <w:rPr>
          <w:rFonts w:ascii="Arial" w:hAnsi="Arial" w:cs="Arial"/>
          <w:bCs/>
          <w:color w:val="FF0000"/>
          <w:sz w:val="22"/>
          <w:szCs w:val="22"/>
        </w:rPr>
      </w:pPr>
    </w:p>
    <w:p w14:paraId="51953FE9" w14:textId="14E4062B" w:rsidR="00DC4F3E" w:rsidRDefault="00DC4F3E" w:rsidP="00CC6665">
      <w:pPr>
        <w:spacing w:line="276" w:lineRule="auto"/>
        <w:rPr>
          <w:rFonts w:ascii="Arial" w:hAnsi="Arial" w:cs="Arial"/>
          <w:bCs/>
          <w:sz w:val="22"/>
          <w:szCs w:val="22"/>
        </w:rPr>
      </w:pPr>
      <w:r w:rsidRPr="00656C91">
        <w:rPr>
          <w:rFonts w:ascii="Arial" w:hAnsi="Arial" w:cs="Arial"/>
          <w:bCs/>
          <w:sz w:val="22"/>
          <w:szCs w:val="22"/>
          <w:u w:val="single"/>
        </w:rPr>
        <w:t>Local Highway Authority (Wiltshire Council)</w:t>
      </w:r>
      <w:r w:rsidRPr="00172295">
        <w:rPr>
          <w:rFonts w:ascii="Arial" w:hAnsi="Arial" w:cs="Arial"/>
          <w:bCs/>
          <w:sz w:val="22"/>
          <w:szCs w:val="22"/>
        </w:rPr>
        <w:t xml:space="preserve"> – </w:t>
      </w:r>
      <w:r w:rsidR="00BE37B6" w:rsidRPr="00172295">
        <w:rPr>
          <w:rFonts w:ascii="Arial" w:hAnsi="Arial" w:cs="Arial"/>
          <w:bCs/>
          <w:sz w:val="22"/>
          <w:szCs w:val="22"/>
        </w:rPr>
        <w:t>No Objection (</w:t>
      </w:r>
      <w:r w:rsidR="00656C91" w:rsidRPr="00172295">
        <w:rPr>
          <w:rFonts w:ascii="Arial" w:hAnsi="Arial" w:cs="Arial"/>
          <w:bCs/>
          <w:sz w:val="22"/>
          <w:szCs w:val="22"/>
        </w:rPr>
        <w:t>subject to condition)</w:t>
      </w:r>
    </w:p>
    <w:p w14:paraId="1D51CC81" w14:textId="77777777" w:rsidR="00172295" w:rsidRDefault="00172295" w:rsidP="00CC6665">
      <w:pPr>
        <w:spacing w:line="276" w:lineRule="auto"/>
        <w:rPr>
          <w:rFonts w:ascii="Arial" w:hAnsi="Arial" w:cs="Arial"/>
          <w:bCs/>
          <w:sz w:val="22"/>
          <w:szCs w:val="22"/>
        </w:rPr>
      </w:pPr>
    </w:p>
    <w:p w14:paraId="54154B87" w14:textId="5134C609" w:rsidR="00172295" w:rsidRPr="00172295" w:rsidRDefault="00172295" w:rsidP="00172295">
      <w:pPr>
        <w:spacing w:line="276" w:lineRule="auto"/>
        <w:jc w:val="both"/>
        <w:rPr>
          <w:rFonts w:ascii="Arial" w:hAnsi="Arial" w:cs="Arial"/>
          <w:bCs/>
          <w:sz w:val="22"/>
          <w:szCs w:val="22"/>
        </w:rPr>
      </w:pPr>
      <w:r w:rsidRPr="00172295">
        <w:rPr>
          <w:rFonts w:ascii="Arial" w:hAnsi="Arial" w:cs="Arial"/>
          <w:bCs/>
          <w:sz w:val="22"/>
          <w:szCs w:val="22"/>
        </w:rPr>
        <w:t>Both the Town Council and Highway Authority responses are addressed through the imposition of a condition restricting occupation of the annexe to purposes ancillary to the host dwelling</w:t>
      </w:r>
      <w:r>
        <w:rPr>
          <w:rFonts w:ascii="Arial" w:hAnsi="Arial" w:cs="Arial"/>
          <w:bCs/>
          <w:sz w:val="22"/>
          <w:szCs w:val="22"/>
        </w:rPr>
        <w:t>.</w:t>
      </w:r>
    </w:p>
    <w:p w14:paraId="50D4288D" w14:textId="77777777" w:rsidR="00DC4F3E" w:rsidRPr="00075C07" w:rsidRDefault="00DC4F3E" w:rsidP="00CC6665">
      <w:pPr>
        <w:spacing w:line="276" w:lineRule="auto"/>
        <w:rPr>
          <w:rFonts w:ascii="Arial" w:hAnsi="Arial" w:cs="Arial"/>
          <w:sz w:val="22"/>
          <w:szCs w:val="22"/>
        </w:rPr>
      </w:pPr>
    </w:p>
    <w:p w14:paraId="1C30F395" w14:textId="4BE2CB70" w:rsidR="00B15AD7" w:rsidRPr="009B76D6"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r w:rsidR="009B76D6">
        <w:rPr>
          <w:rFonts w:ascii="Arial" w:hAnsi="Arial" w:cs="Arial"/>
          <w:b/>
          <w:bCs/>
          <w:sz w:val="22"/>
          <w:szCs w:val="22"/>
        </w:rPr>
        <w:t xml:space="preserve">:  </w:t>
      </w:r>
      <w:r w:rsidR="003A1308" w:rsidRPr="00656C91">
        <w:rPr>
          <w:rFonts w:ascii="Arial" w:hAnsi="Arial" w:cs="Arial"/>
          <w:bCs/>
          <w:sz w:val="22"/>
          <w:szCs w:val="22"/>
        </w:rPr>
        <w:t>No</w:t>
      </w:r>
      <w:r w:rsidR="003E43F6" w:rsidRPr="00656C91">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492BD5AC" w14:textId="1190D17C" w:rsidR="00C63478" w:rsidRPr="00075C07" w:rsidRDefault="00B15AD7" w:rsidP="009B76D6">
      <w:pPr>
        <w:spacing w:line="276" w:lineRule="auto"/>
        <w:rPr>
          <w:rFonts w:ascii="Arial" w:hAnsi="Arial" w:cs="Arial"/>
          <w:sz w:val="22"/>
          <w:szCs w:val="22"/>
        </w:rPr>
      </w:pPr>
      <w:r w:rsidRPr="00075C07">
        <w:rPr>
          <w:rFonts w:ascii="Arial" w:hAnsi="Arial" w:cs="Arial"/>
          <w:b/>
          <w:bCs/>
          <w:sz w:val="22"/>
          <w:szCs w:val="22"/>
        </w:rPr>
        <w:t>ASSESSMENT</w:t>
      </w:r>
      <w:r w:rsidR="009B76D6">
        <w:rPr>
          <w:rFonts w:ascii="Arial" w:hAnsi="Arial" w:cs="Arial"/>
          <w:b/>
          <w:bCs/>
          <w:sz w:val="22"/>
          <w:szCs w:val="22"/>
        </w:rPr>
        <w:t xml:space="preserve">:  </w:t>
      </w:r>
      <w:r w:rsidR="00C63478"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43E467F1" w:rsidR="00AC6F8D" w:rsidRPr="00C35C57" w:rsidRDefault="00AC6F8D" w:rsidP="00AC6F8D">
      <w:pPr>
        <w:spacing w:line="276" w:lineRule="auto"/>
        <w:jc w:val="both"/>
        <w:rPr>
          <w:rFonts w:ascii="Arial" w:hAnsi="Arial" w:cs="Arial"/>
          <w:b/>
          <w:bCs/>
          <w:sz w:val="22"/>
          <w:szCs w:val="22"/>
          <w:u w:val="single"/>
        </w:rPr>
      </w:pPr>
      <w:r w:rsidRPr="00C35C57">
        <w:rPr>
          <w:rFonts w:ascii="Arial" w:hAnsi="Arial" w:cs="Arial"/>
          <w:sz w:val="22"/>
          <w:szCs w:val="22"/>
        </w:rPr>
        <w:t xml:space="preserve">Householder extensions are generally acceptable in principle, as they typically fall within the established residential curtilage of </w:t>
      </w:r>
      <w:r w:rsidR="009B76D6">
        <w:rPr>
          <w:rFonts w:ascii="Arial" w:hAnsi="Arial" w:cs="Arial"/>
          <w:sz w:val="22"/>
          <w:szCs w:val="22"/>
        </w:rPr>
        <w:t xml:space="preserve">an existing </w:t>
      </w:r>
      <w:r w:rsidRPr="00C35C57">
        <w:rPr>
          <w:rFonts w:ascii="Arial" w:hAnsi="Arial" w:cs="Arial"/>
          <w:sz w:val="22"/>
          <w:szCs w:val="22"/>
        </w:rPr>
        <w:t xml:space="preserve">property and do not result in new residential development in the open countryside. In this case, the proposal also lies within the defined limits of development </w:t>
      </w:r>
      <w:r w:rsidR="004A0AE5">
        <w:rPr>
          <w:rFonts w:ascii="Arial" w:hAnsi="Arial" w:cs="Arial"/>
          <w:sz w:val="22"/>
          <w:szCs w:val="22"/>
        </w:rPr>
        <w:t>f</w:t>
      </w:r>
      <w:r w:rsidR="004A0AE5" w:rsidRPr="004A0AE5">
        <w:rPr>
          <w:rFonts w:ascii="Arial" w:hAnsi="Arial" w:cs="Arial"/>
          <w:sz w:val="22"/>
          <w:szCs w:val="22"/>
        </w:rPr>
        <w:t>or Warminster, where there is a presumption in favour of sustainable development in accordance with CP2 of the adopted WCS</w:t>
      </w:r>
      <w:r w:rsidRPr="00C35C57">
        <w:rPr>
          <w:rFonts w:ascii="Arial" w:hAnsi="Arial" w:cs="Arial"/>
          <w:sz w:val="22"/>
          <w:szCs w:val="22"/>
        </w:rPr>
        <w:t>, further reinforcing its acceptability in principle.</w:t>
      </w:r>
    </w:p>
    <w:p w14:paraId="2B962CB2" w14:textId="77777777" w:rsidR="006C1101" w:rsidRDefault="006C1101" w:rsidP="00CC6665">
      <w:pPr>
        <w:spacing w:line="276" w:lineRule="auto"/>
        <w:rPr>
          <w:rFonts w:ascii="Arial" w:hAnsi="Arial" w:cs="Arial"/>
          <w:sz w:val="22"/>
          <w:szCs w:val="22"/>
        </w:rPr>
      </w:pPr>
    </w:p>
    <w:p w14:paraId="37B13B5C" w14:textId="6CE725A9" w:rsidR="009B76D6" w:rsidRDefault="009B76D6" w:rsidP="009B76D6">
      <w:pPr>
        <w:spacing w:line="276" w:lineRule="auto"/>
        <w:jc w:val="both"/>
        <w:rPr>
          <w:rFonts w:ascii="Arial" w:hAnsi="Arial" w:cs="Arial"/>
          <w:sz w:val="22"/>
          <w:szCs w:val="22"/>
        </w:rPr>
      </w:pPr>
      <w:r w:rsidRPr="009B76D6">
        <w:rPr>
          <w:rFonts w:ascii="Arial" w:hAnsi="Arial" w:cs="Arial"/>
          <w:sz w:val="22"/>
          <w:szCs w:val="22"/>
        </w:rPr>
        <w:t>To be an annexe, there must be a direct and dependent relationship between the occupants of the main dwelling (</w:t>
      </w:r>
      <w:r>
        <w:rPr>
          <w:rFonts w:ascii="Arial" w:hAnsi="Arial" w:cs="Arial"/>
          <w:sz w:val="22"/>
          <w:szCs w:val="22"/>
        </w:rPr>
        <w:t xml:space="preserve">in this instance </w:t>
      </w:r>
      <w:proofErr w:type="spellStart"/>
      <w:r w:rsidRPr="009B76D6">
        <w:rPr>
          <w:rFonts w:ascii="Arial" w:hAnsi="Arial" w:cs="Arial"/>
          <w:sz w:val="22"/>
          <w:szCs w:val="22"/>
        </w:rPr>
        <w:t>No.</w:t>
      </w:r>
      <w:r>
        <w:rPr>
          <w:rFonts w:ascii="Arial" w:hAnsi="Arial" w:cs="Arial"/>
          <w:sz w:val="22"/>
          <w:szCs w:val="22"/>
        </w:rPr>
        <w:t>1</w:t>
      </w:r>
      <w:r w:rsidRPr="009B76D6">
        <w:rPr>
          <w:rFonts w:ascii="Arial" w:hAnsi="Arial" w:cs="Arial"/>
          <w:sz w:val="22"/>
          <w:szCs w:val="22"/>
        </w:rPr>
        <w:t>6</w:t>
      </w:r>
      <w:proofErr w:type="spellEnd"/>
      <w:r w:rsidRPr="009B76D6">
        <w:rPr>
          <w:rFonts w:ascii="Arial" w:hAnsi="Arial" w:cs="Arial"/>
          <w:sz w:val="22"/>
          <w:szCs w:val="22"/>
        </w:rPr>
        <w:t>) and an annexe. The submitted plans illustrate the creation of a one-bed annexe</w:t>
      </w:r>
      <w:r>
        <w:rPr>
          <w:rFonts w:ascii="Arial" w:hAnsi="Arial" w:cs="Arial"/>
          <w:sz w:val="22"/>
          <w:szCs w:val="22"/>
        </w:rPr>
        <w:t xml:space="preserve"> on the ground floor of an existing dwelling</w:t>
      </w:r>
      <w:r w:rsidRPr="009B76D6">
        <w:rPr>
          <w:rFonts w:ascii="Arial" w:hAnsi="Arial" w:cs="Arial"/>
          <w:sz w:val="22"/>
          <w:szCs w:val="22"/>
        </w:rPr>
        <w:t xml:space="preserve">, </w:t>
      </w:r>
      <w:r>
        <w:rPr>
          <w:rFonts w:ascii="Arial" w:hAnsi="Arial" w:cs="Arial"/>
          <w:sz w:val="22"/>
          <w:szCs w:val="22"/>
        </w:rPr>
        <w:t xml:space="preserve">which would </w:t>
      </w:r>
      <w:r w:rsidRPr="009B76D6">
        <w:rPr>
          <w:rFonts w:ascii="Arial" w:hAnsi="Arial" w:cs="Arial"/>
          <w:sz w:val="22"/>
          <w:szCs w:val="22"/>
        </w:rPr>
        <w:t>benefit from</w:t>
      </w:r>
      <w:r w:rsidR="004A0AE5">
        <w:rPr>
          <w:rFonts w:ascii="Arial" w:hAnsi="Arial" w:cs="Arial"/>
          <w:sz w:val="22"/>
          <w:szCs w:val="22"/>
        </w:rPr>
        <w:t xml:space="preserve"> access to</w:t>
      </w:r>
      <w:r w:rsidRPr="009B76D6">
        <w:rPr>
          <w:rFonts w:ascii="Arial" w:hAnsi="Arial" w:cs="Arial"/>
          <w:sz w:val="22"/>
          <w:szCs w:val="22"/>
        </w:rPr>
        <w:t xml:space="preserve"> a shared driveway, with on-site car parking provision and shared amenity space, with no subdivision of the existing plot associated with </w:t>
      </w:r>
      <w:proofErr w:type="spellStart"/>
      <w:r w:rsidRPr="009B76D6">
        <w:rPr>
          <w:rFonts w:ascii="Arial" w:hAnsi="Arial" w:cs="Arial"/>
          <w:sz w:val="22"/>
          <w:szCs w:val="22"/>
        </w:rPr>
        <w:t>No.</w:t>
      </w:r>
      <w:r w:rsidR="004A0AE5">
        <w:rPr>
          <w:rFonts w:ascii="Arial" w:hAnsi="Arial" w:cs="Arial"/>
          <w:sz w:val="22"/>
          <w:szCs w:val="22"/>
        </w:rPr>
        <w:t>1</w:t>
      </w:r>
      <w:r w:rsidRPr="009B76D6">
        <w:rPr>
          <w:rFonts w:ascii="Arial" w:hAnsi="Arial" w:cs="Arial"/>
          <w:sz w:val="22"/>
          <w:szCs w:val="22"/>
        </w:rPr>
        <w:t>6</w:t>
      </w:r>
      <w:proofErr w:type="spellEnd"/>
      <w:r w:rsidRPr="009B76D6">
        <w:rPr>
          <w:rFonts w:ascii="Arial" w:hAnsi="Arial" w:cs="Arial"/>
          <w:sz w:val="22"/>
          <w:szCs w:val="22"/>
        </w:rPr>
        <w:t xml:space="preserve">. </w:t>
      </w:r>
    </w:p>
    <w:p w14:paraId="003EFF6C" w14:textId="77777777" w:rsidR="009B76D6" w:rsidRDefault="009B76D6" w:rsidP="009B76D6">
      <w:pPr>
        <w:spacing w:line="276" w:lineRule="auto"/>
        <w:jc w:val="both"/>
        <w:rPr>
          <w:rFonts w:ascii="Arial" w:hAnsi="Arial" w:cs="Arial"/>
          <w:sz w:val="22"/>
          <w:szCs w:val="22"/>
        </w:rPr>
      </w:pPr>
    </w:p>
    <w:p w14:paraId="760076AA" w14:textId="253F1616" w:rsidR="0046381B" w:rsidRDefault="0046381B" w:rsidP="009B76D6">
      <w:pPr>
        <w:spacing w:line="276" w:lineRule="auto"/>
        <w:jc w:val="both"/>
        <w:rPr>
          <w:rFonts w:ascii="Arial" w:hAnsi="Arial" w:cs="Arial"/>
          <w:sz w:val="22"/>
          <w:szCs w:val="22"/>
        </w:rPr>
      </w:pPr>
      <w:r w:rsidRPr="0046381B">
        <w:rPr>
          <w:rFonts w:ascii="Arial" w:hAnsi="Arial" w:cs="Arial"/>
          <w:sz w:val="22"/>
          <w:szCs w:val="22"/>
        </w:rPr>
        <w:t xml:space="preserve">A condition is necessary to ensure that the converted garage remains ancillary to the host dwelling, as the proposal has been assessed on this basis. </w:t>
      </w:r>
    </w:p>
    <w:p w14:paraId="5C333303" w14:textId="77777777" w:rsidR="0046381B" w:rsidRPr="00075C07" w:rsidRDefault="0046381B" w:rsidP="00CC6665">
      <w:pPr>
        <w:spacing w:line="276" w:lineRule="auto"/>
        <w:rPr>
          <w:rFonts w:ascii="Arial" w:hAnsi="Arial" w:cs="Arial"/>
          <w:sz w:val="22"/>
          <w:szCs w:val="22"/>
        </w:rPr>
      </w:pPr>
    </w:p>
    <w:p w14:paraId="6D155E0B" w14:textId="04647016" w:rsidR="006F6EEE" w:rsidRDefault="006C1101" w:rsidP="00CC6665">
      <w:pPr>
        <w:spacing w:line="276" w:lineRule="auto"/>
        <w:jc w:val="both"/>
        <w:rPr>
          <w:rFonts w:ascii="Arial" w:hAnsi="Arial" w:cs="Arial"/>
          <w:sz w:val="22"/>
          <w:szCs w:val="22"/>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r w:rsidR="004A0AE5">
        <w:rPr>
          <w:rFonts w:ascii="Arial" w:hAnsi="Arial" w:cs="Arial"/>
          <w:sz w:val="22"/>
          <w:szCs w:val="22"/>
        </w:rPr>
        <w:t xml:space="preserve">:  </w:t>
      </w:r>
      <w:r w:rsidR="0062080E"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3235D4EC" w14:textId="77777777" w:rsidR="008B2186" w:rsidRPr="008B2186" w:rsidRDefault="008B2186" w:rsidP="008B2186">
      <w:pPr>
        <w:spacing w:line="276" w:lineRule="auto"/>
        <w:jc w:val="both"/>
        <w:rPr>
          <w:rFonts w:ascii="Arial" w:hAnsi="Arial" w:cs="Arial"/>
          <w:sz w:val="22"/>
          <w:szCs w:val="22"/>
        </w:rPr>
      </w:pPr>
      <w:r w:rsidRPr="008B2186">
        <w:rPr>
          <w:rFonts w:ascii="Arial" w:hAnsi="Arial" w:cs="Arial"/>
          <w:sz w:val="22"/>
          <w:szCs w:val="22"/>
        </w:rPr>
        <w:t>The proposal represents a very limited form of development, involving only minor external alterations with no meaningful increase in built footprint, scale or massing, aside from the addition of a modest decking area to the southern elevation. The primary visual change relates to the replacement of the garage door with cladding and windows; however, this is designed to closely reflect the existing detailing of the building, with the cladding replicating the horizontal boarding already present beneath existing windows, and the overall appearance not dissimilar to the current horizontal emphasis of the roller shutter. The proposed windows would be matching, ensuring a coherent and sympathetic finish. The decking is constructed from materials appropriate to the local context and is largely screened by existing boundary treatments, whilst additional elements such as the side access door and relocated gas meter are discreet and inconsequential in visual terms. Overall, the scheme would preserve the character and appearance of the host building and surrounding area.</w:t>
      </w:r>
    </w:p>
    <w:p w14:paraId="3C902412" w14:textId="77777777" w:rsidR="00693311" w:rsidRDefault="00693311" w:rsidP="00CC6665">
      <w:pPr>
        <w:spacing w:line="276" w:lineRule="auto"/>
        <w:jc w:val="both"/>
        <w:rPr>
          <w:rFonts w:ascii="Arial" w:hAnsi="Arial" w:cs="Arial"/>
          <w:i/>
          <w:iCs/>
          <w:color w:val="ED0000"/>
          <w:sz w:val="22"/>
          <w:szCs w:val="22"/>
        </w:rPr>
      </w:pPr>
    </w:p>
    <w:p w14:paraId="7F154CFA" w14:textId="36AB1F4A" w:rsidR="00693311" w:rsidRDefault="00693311" w:rsidP="00986598">
      <w:pPr>
        <w:spacing w:line="276" w:lineRule="auto"/>
        <w:jc w:val="center"/>
        <w:rPr>
          <w:rFonts w:ascii="Arial" w:hAnsi="Arial" w:cs="Arial"/>
          <w:sz w:val="22"/>
          <w:szCs w:val="22"/>
        </w:rPr>
      </w:pPr>
      <w:r w:rsidRPr="00693311">
        <w:rPr>
          <w:rFonts w:ascii="Arial" w:hAnsi="Arial" w:cs="Arial"/>
          <w:noProof/>
          <w:sz w:val="22"/>
          <w:szCs w:val="22"/>
        </w:rPr>
        <w:lastRenderedPageBreak/>
        <w:drawing>
          <wp:inline distT="0" distB="0" distL="0" distR="0" wp14:anchorId="5DDC2170" wp14:editId="70AE9B5A">
            <wp:extent cx="5760000" cy="1818000"/>
            <wp:effectExtent l="0" t="0" r="0" b="0"/>
            <wp:docPr id="968752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52079" name=""/>
                    <pic:cNvPicPr/>
                  </pic:nvPicPr>
                  <pic:blipFill rotWithShape="1">
                    <a:blip r:embed="rId6"/>
                    <a:srcRect t="3989" b="8571"/>
                    <a:stretch>
                      <a:fillRect/>
                    </a:stretch>
                  </pic:blipFill>
                  <pic:spPr bwMode="auto">
                    <a:xfrm>
                      <a:off x="0" y="0"/>
                      <a:ext cx="5760000" cy="1818000"/>
                    </a:xfrm>
                    <a:prstGeom prst="rect">
                      <a:avLst/>
                    </a:prstGeom>
                    <a:ln>
                      <a:noFill/>
                    </a:ln>
                    <a:extLst>
                      <a:ext uri="{53640926-AAD7-44D8-BBD7-CCE9431645EC}">
                        <a14:shadowObscured xmlns:a14="http://schemas.microsoft.com/office/drawing/2010/main"/>
                      </a:ext>
                    </a:extLst>
                  </pic:spPr>
                </pic:pic>
              </a:graphicData>
            </a:graphic>
          </wp:inline>
        </w:drawing>
      </w:r>
    </w:p>
    <w:p w14:paraId="3BB03FA0" w14:textId="4854CF49" w:rsidR="00693311" w:rsidRPr="00693311" w:rsidRDefault="00693311" w:rsidP="00693311">
      <w:pPr>
        <w:spacing w:line="276" w:lineRule="auto"/>
        <w:jc w:val="center"/>
        <w:rPr>
          <w:rFonts w:ascii="Arial" w:hAnsi="Arial" w:cs="Arial"/>
          <w:i/>
          <w:iCs/>
          <w:sz w:val="22"/>
          <w:szCs w:val="22"/>
        </w:rPr>
      </w:pPr>
      <w:r w:rsidRPr="00693311">
        <w:rPr>
          <w:rFonts w:ascii="Arial" w:hAnsi="Arial" w:cs="Arial"/>
          <w:i/>
          <w:iCs/>
          <w:sz w:val="22"/>
          <w:szCs w:val="22"/>
        </w:rPr>
        <w:t>Site Visit</w:t>
      </w:r>
      <w:r w:rsidR="009962D2">
        <w:rPr>
          <w:rFonts w:ascii="Arial" w:hAnsi="Arial" w:cs="Arial"/>
          <w:i/>
          <w:iCs/>
          <w:sz w:val="22"/>
          <w:szCs w:val="22"/>
        </w:rPr>
        <w:t xml:space="preserve"> (Existing Dwelling and Garage)</w:t>
      </w:r>
    </w:p>
    <w:p w14:paraId="0188589D" w14:textId="0A98A504" w:rsidR="00713A31" w:rsidRDefault="006514A5" w:rsidP="00986598">
      <w:pPr>
        <w:spacing w:line="276" w:lineRule="auto"/>
        <w:jc w:val="center"/>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12E56524" wp14:editId="45F917DD">
            <wp:extent cx="5760000" cy="3002400"/>
            <wp:effectExtent l="0" t="0" r="0" b="7620"/>
            <wp:docPr id="2061011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472"/>
                    <a:stretch>
                      <a:fillRect/>
                    </a:stretch>
                  </pic:blipFill>
                  <pic:spPr bwMode="auto">
                    <a:xfrm>
                      <a:off x="0" y="0"/>
                      <a:ext cx="5760000" cy="3002400"/>
                    </a:xfrm>
                    <a:prstGeom prst="rect">
                      <a:avLst/>
                    </a:prstGeom>
                    <a:noFill/>
                    <a:ln>
                      <a:noFill/>
                    </a:ln>
                    <a:extLst>
                      <a:ext uri="{53640926-AAD7-44D8-BBD7-CCE9431645EC}">
                        <a14:shadowObscured xmlns:a14="http://schemas.microsoft.com/office/drawing/2010/main"/>
                      </a:ext>
                    </a:extLst>
                  </pic:spPr>
                </pic:pic>
              </a:graphicData>
            </a:graphic>
          </wp:inline>
        </w:drawing>
      </w:r>
    </w:p>
    <w:p w14:paraId="0A25208A" w14:textId="78A0F018" w:rsidR="006514A5" w:rsidRPr="006514A5" w:rsidRDefault="00251FBB" w:rsidP="006514A5">
      <w:pPr>
        <w:spacing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Existing</w:t>
      </w:r>
      <w:r w:rsidR="006514A5" w:rsidRPr="006514A5">
        <w:rPr>
          <w:rFonts w:ascii="Arial" w:hAnsi="Arial" w:cs="Arial"/>
          <w:i/>
          <w:iCs/>
          <w:color w:val="000000" w:themeColor="text1"/>
          <w:sz w:val="22"/>
          <w:szCs w:val="22"/>
        </w:rPr>
        <w:t xml:space="preserve"> Plans</w:t>
      </w:r>
    </w:p>
    <w:p w14:paraId="2CAA8121" w14:textId="1E236511" w:rsidR="006514A5" w:rsidRDefault="00251FBB" w:rsidP="00986598">
      <w:pPr>
        <w:spacing w:line="276" w:lineRule="auto"/>
        <w:jc w:val="center"/>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515FF0A8" wp14:editId="04943D1C">
            <wp:extent cx="5760000" cy="3139200"/>
            <wp:effectExtent l="0" t="0" r="0" b="4445"/>
            <wp:docPr id="3072205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874"/>
                    <a:stretch>
                      <a:fillRect/>
                    </a:stretch>
                  </pic:blipFill>
                  <pic:spPr bwMode="auto">
                    <a:xfrm>
                      <a:off x="0" y="0"/>
                      <a:ext cx="5760000" cy="3139200"/>
                    </a:xfrm>
                    <a:prstGeom prst="rect">
                      <a:avLst/>
                    </a:prstGeom>
                    <a:noFill/>
                    <a:ln>
                      <a:noFill/>
                    </a:ln>
                    <a:extLst>
                      <a:ext uri="{53640926-AAD7-44D8-BBD7-CCE9431645EC}">
                        <a14:shadowObscured xmlns:a14="http://schemas.microsoft.com/office/drawing/2010/main"/>
                      </a:ext>
                    </a:extLst>
                  </pic:spPr>
                </pic:pic>
              </a:graphicData>
            </a:graphic>
          </wp:inline>
        </w:drawing>
      </w:r>
    </w:p>
    <w:p w14:paraId="5E169248" w14:textId="55EC8A8F" w:rsidR="00251FBB" w:rsidRPr="00251FBB" w:rsidRDefault="00251FBB" w:rsidP="00251FBB">
      <w:pPr>
        <w:spacing w:line="276" w:lineRule="auto"/>
        <w:jc w:val="center"/>
        <w:rPr>
          <w:rFonts w:ascii="Arial" w:hAnsi="Arial" w:cs="Arial"/>
          <w:i/>
          <w:iCs/>
          <w:color w:val="000000" w:themeColor="text1"/>
          <w:sz w:val="22"/>
          <w:szCs w:val="22"/>
        </w:rPr>
      </w:pPr>
      <w:r w:rsidRPr="00251FBB">
        <w:rPr>
          <w:rFonts w:ascii="Arial" w:hAnsi="Arial" w:cs="Arial"/>
          <w:i/>
          <w:iCs/>
          <w:color w:val="000000" w:themeColor="text1"/>
          <w:sz w:val="22"/>
          <w:szCs w:val="22"/>
        </w:rPr>
        <w:t>Proposed Plans</w:t>
      </w:r>
    </w:p>
    <w:p w14:paraId="1AAF4879" w14:textId="77777777" w:rsidR="00251FBB" w:rsidRPr="00075C07" w:rsidRDefault="00251FBB"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E796757" w14:textId="1991F3EA" w:rsidR="00BA0474" w:rsidRPr="00075C07" w:rsidRDefault="006C1101" w:rsidP="004A0AE5">
      <w:pPr>
        <w:spacing w:line="276" w:lineRule="auto"/>
        <w:rPr>
          <w:rFonts w:ascii="Arial" w:hAnsi="Arial" w:cs="Arial"/>
          <w:color w:val="000000" w:themeColor="text1"/>
          <w:sz w:val="22"/>
          <w:szCs w:val="22"/>
        </w:rPr>
      </w:pPr>
      <w:r w:rsidRPr="00075C07">
        <w:rPr>
          <w:rFonts w:ascii="Arial" w:hAnsi="Arial" w:cs="Arial"/>
          <w:sz w:val="22"/>
          <w:szCs w:val="22"/>
          <w:u w:val="single"/>
        </w:rPr>
        <w:t>Amenity</w:t>
      </w:r>
      <w:r w:rsidR="004A0AE5">
        <w:rPr>
          <w:rFonts w:ascii="Arial" w:hAnsi="Arial" w:cs="Arial"/>
          <w:sz w:val="22"/>
          <w:szCs w:val="22"/>
        </w:rPr>
        <w:t xml:space="preserve">:  </w:t>
      </w:r>
      <w:r w:rsidR="00BA0474"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36664A"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w:t>
      </w:r>
      <w:r w:rsidRPr="0036664A">
        <w:rPr>
          <w:rFonts w:ascii="Arial" w:hAnsi="Arial" w:cs="Arial"/>
          <w:sz w:val="22"/>
          <w:szCs w:val="22"/>
        </w:rPr>
        <w:t xml:space="preserve">decisions should ensure developments provide a high standard of amenity for existing and future users.   </w:t>
      </w:r>
    </w:p>
    <w:p w14:paraId="509FE242" w14:textId="77777777" w:rsidR="00BA0474" w:rsidRPr="0036664A" w:rsidRDefault="00BA0474" w:rsidP="00CC6665">
      <w:pPr>
        <w:spacing w:line="276" w:lineRule="auto"/>
        <w:jc w:val="both"/>
        <w:rPr>
          <w:rFonts w:ascii="Arial" w:hAnsi="Arial" w:cs="Arial"/>
          <w:sz w:val="22"/>
          <w:szCs w:val="22"/>
        </w:rPr>
      </w:pPr>
    </w:p>
    <w:p w14:paraId="5FE0970E" w14:textId="2F1ED494" w:rsidR="0036664A" w:rsidRPr="0036664A" w:rsidRDefault="0036664A" w:rsidP="0036664A">
      <w:pPr>
        <w:spacing w:line="276" w:lineRule="auto"/>
        <w:jc w:val="both"/>
        <w:rPr>
          <w:rFonts w:ascii="Arial" w:hAnsi="Arial" w:cs="Arial"/>
          <w:sz w:val="22"/>
          <w:szCs w:val="22"/>
        </w:rPr>
      </w:pPr>
      <w:r w:rsidRPr="0036664A">
        <w:rPr>
          <w:rFonts w:ascii="Arial" w:hAnsi="Arial" w:cs="Arial"/>
          <w:sz w:val="22"/>
          <w:szCs w:val="22"/>
        </w:rPr>
        <w:t xml:space="preserve">The proposal would not give rise to any unacceptable impacts on neighbouring residential amenity. The only new openings are located within the former garage door </w:t>
      </w:r>
      <w:r w:rsidR="004A0AE5">
        <w:rPr>
          <w:rFonts w:ascii="Arial" w:hAnsi="Arial" w:cs="Arial"/>
          <w:sz w:val="22"/>
          <w:szCs w:val="22"/>
        </w:rPr>
        <w:t>which</w:t>
      </w:r>
      <w:r w:rsidRPr="0036664A">
        <w:rPr>
          <w:rFonts w:ascii="Arial" w:hAnsi="Arial" w:cs="Arial"/>
          <w:sz w:val="22"/>
          <w:szCs w:val="22"/>
        </w:rPr>
        <w:t xml:space="preserve"> face</w:t>
      </w:r>
      <w:r w:rsidR="004A0AE5">
        <w:rPr>
          <w:rFonts w:ascii="Arial" w:hAnsi="Arial" w:cs="Arial"/>
          <w:sz w:val="22"/>
          <w:szCs w:val="22"/>
        </w:rPr>
        <w:t>s</w:t>
      </w:r>
      <w:r w:rsidRPr="0036664A">
        <w:rPr>
          <w:rFonts w:ascii="Arial" w:hAnsi="Arial" w:cs="Arial"/>
          <w:sz w:val="22"/>
          <w:szCs w:val="22"/>
        </w:rPr>
        <w:t xml:space="preserve"> the site’s front parking area, at ground floor level and away from any sensitive receptors, such that no overlooking or loss of privacy would occur. The internal use of the space is not materially different from that which could reasonably occur within the existing garage and adjoining accommodation, and the inclusion of a living area is not considered to result in any additional harm.</w:t>
      </w:r>
    </w:p>
    <w:p w14:paraId="1B532ADC" w14:textId="77777777" w:rsidR="0036664A" w:rsidRPr="0036664A" w:rsidRDefault="0036664A" w:rsidP="0036664A">
      <w:pPr>
        <w:spacing w:line="276" w:lineRule="auto"/>
        <w:jc w:val="both"/>
        <w:rPr>
          <w:rFonts w:ascii="Arial" w:hAnsi="Arial" w:cs="Arial"/>
          <w:sz w:val="22"/>
          <w:szCs w:val="22"/>
        </w:rPr>
      </w:pPr>
    </w:p>
    <w:p w14:paraId="460FE17B" w14:textId="082FC3F6" w:rsidR="0036664A" w:rsidRPr="0036664A" w:rsidRDefault="0036664A" w:rsidP="0036664A">
      <w:pPr>
        <w:spacing w:line="276" w:lineRule="auto"/>
        <w:jc w:val="both"/>
        <w:rPr>
          <w:rFonts w:ascii="Arial" w:hAnsi="Arial" w:cs="Arial"/>
          <w:sz w:val="22"/>
          <w:szCs w:val="22"/>
        </w:rPr>
      </w:pPr>
      <w:r w:rsidRPr="0036664A">
        <w:rPr>
          <w:rFonts w:ascii="Arial" w:hAnsi="Arial" w:cs="Arial"/>
          <w:sz w:val="22"/>
          <w:szCs w:val="22"/>
        </w:rPr>
        <w:t xml:space="preserve">The </w:t>
      </w:r>
      <w:r w:rsidR="004A0AE5">
        <w:rPr>
          <w:rFonts w:ascii="Arial" w:hAnsi="Arial" w:cs="Arial"/>
          <w:sz w:val="22"/>
          <w:szCs w:val="22"/>
        </w:rPr>
        <w:t xml:space="preserve">proposed </w:t>
      </w:r>
      <w:r w:rsidRPr="0036664A">
        <w:rPr>
          <w:rFonts w:ascii="Arial" w:hAnsi="Arial" w:cs="Arial"/>
          <w:sz w:val="22"/>
          <w:szCs w:val="22"/>
        </w:rPr>
        <w:t>raised decking area represents the most notable change in amenity terms; however, this is appropriately mitigated through the provision of new boundary screening, which would prevent overlooking and maintain privacy. This is considered suitable in the context of the site, which is already well enclosed by established boundary vegetation, ensuring no material impact in terms of overshadowing or visual intrusion. The proposed screening is indicated at approximately 2 metres in height, which may fall within the scope of permitted development (notwithstanding that this is not determinative), and given the orientation of surrounding dwellings and the site’s relationship with the sun path, any potential loss of light would be minimal and limited in extent.</w:t>
      </w:r>
    </w:p>
    <w:p w14:paraId="22F4CCE5" w14:textId="77777777" w:rsidR="009962D2" w:rsidRDefault="009962D2" w:rsidP="00CC6665">
      <w:pPr>
        <w:spacing w:line="276" w:lineRule="auto"/>
        <w:jc w:val="both"/>
        <w:rPr>
          <w:rFonts w:ascii="Arial" w:hAnsi="Arial" w:cs="Arial"/>
          <w:color w:val="000000" w:themeColor="text1"/>
          <w:sz w:val="22"/>
          <w:szCs w:val="22"/>
        </w:rPr>
      </w:pPr>
    </w:p>
    <w:p w14:paraId="76FE1468" w14:textId="77777777" w:rsidR="009962D2" w:rsidRDefault="009962D2" w:rsidP="00CC6665">
      <w:pPr>
        <w:spacing w:line="276" w:lineRule="auto"/>
        <w:jc w:val="both"/>
        <w:rPr>
          <w:rFonts w:ascii="Arial" w:hAnsi="Arial" w:cs="Arial"/>
          <w:color w:val="000000" w:themeColor="text1"/>
          <w:sz w:val="22"/>
          <w:szCs w:val="22"/>
        </w:rPr>
      </w:pPr>
      <w:r w:rsidRPr="009962D2">
        <w:rPr>
          <w:rFonts w:ascii="Arial" w:hAnsi="Arial" w:cs="Arial"/>
          <w:noProof/>
          <w:color w:val="000000" w:themeColor="text1"/>
          <w:sz w:val="22"/>
          <w:szCs w:val="22"/>
        </w:rPr>
        <w:drawing>
          <wp:inline distT="0" distB="0" distL="0" distR="0" wp14:anchorId="23994B1C" wp14:editId="4246F189">
            <wp:extent cx="6629400" cy="1959610"/>
            <wp:effectExtent l="0" t="0" r="0" b="2540"/>
            <wp:docPr id="1690665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65731" name=""/>
                    <pic:cNvPicPr/>
                  </pic:nvPicPr>
                  <pic:blipFill>
                    <a:blip r:embed="rId9"/>
                    <a:stretch>
                      <a:fillRect/>
                    </a:stretch>
                  </pic:blipFill>
                  <pic:spPr>
                    <a:xfrm>
                      <a:off x="0" y="0"/>
                      <a:ext cx="6629400" cy="1959610"/>
                    </a:xfrm>
                    <a:prstGeom prst="rect">
                      <a:avLst/>
                    </a:prstGeom>
                  </pic:spPr>
                </pic:pic>
              </a:graphicData>
            </a:graphic>
          </wp:inline>
        </w:drawing>
      </w:r>
    </w:p>
    <w:p w14:paraId="1ED8029C" w14:textId="0421BEB0" w:rsidR="009962D2" w:rsidRPr="009962D2" w:rsidRDefault="009962D2" w:rsidP="009962D2">
      <w:pPr>
        <w:spacing w:line="276" w:lineRule="auto"/>
        <w:jc w:val="center"/>
        <w:rPr>
          <w:rFonts w:ascii="Arial" w:hAnsi="Arial" w:cs="Arial"/>
          <w:i/>
          <w:iCs/>
          <w:color w:val="000000" w:themeColor="text1"/>
          <w:sz w:val="22"/>
          <w:szCs w:val="22"/>
        </w:rPr>
      </w:pPr>
      <w:r w:rsidRPr="009962D2">
        <w:rPr>
          <w:rFonts w:ascii="Arial" w:hAnsi="Arial" w:cs="Arial"/>
          <w:i/>
          <w:iCs/>
          <w:color w:val="000000" w:themeColor="text1"/>
          <w:sz w:val="22"/>
          <w:szCs w:val="22"/>
        </w:rPr>
        <w:t>Site Visit (From Neighbouring Boundary)</w:t>
      </w:r>
    </w:p>
    <w:p w14:paraId="0352E14C" w14:textId="77777777" w:rsidR="009962D2" w:rsidRDefault="009962D2" w:rsidP="00CC6665">
      <w:pPr>
        <w:spacing w:line="276" w:lineRule="auto"/>
        <w:jc w:val="both"/>
        <w:rPr>
          <w:rFonts w:ascii="Arial" w:hAnsi="Arial" w:cs="Arial"/>
          <w:color w:val="000000" w:themeColor="text1"/>
          <w:sz w:val="22"/>
          <w:szCs w:val="22"/>
        </w:rPr>
      </w:pPr>
    </w:p>
    <w:p w14:paraId="1ED52FD0" w14:textId="6D79DC1C"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w:t>
      </w:r>
      <w:r w:rsidRPr="00F83D0A">
        <w:rPr>
          <w:rFonts w:ascii="Arial" w:hAnsi="Arial" w:cs="Arial"/>
          <w:sz w:val="22"/>
          <w:szCs w:val="22"/>
        </w:rPr>
        <w:t xml:space="preserve">proposal is appropriately sited, designed, and oriented to ensure that it would not result in unacceptable impact upon/to the amenities or living conditions of neighbouring residential occupiers, particularly in terms of outlook, privacy, </w:t>
      </w:r>
      <w:r w:rsidRPr="00075C07">
        <w:rPr>
          <w:rFonts w:ascii="Arial" w:hAnsi="Arial" w:cs="Arial"/>
          <w:color w:val="000000" w:themeColor="text1"/>
          <w:sz w:val="22"/>
          <w:szCs w:val="22"/>
        </w:rPr>
        <w:t>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21F13E82" w14:textId="6C564F14" w:rsidR="00DF4CEC" w:rsidRPr="00DF4CEC" w:rsidRDefault="00B812E0" w:rsidP="00DF4CEC">
      <w:pPr>
        <w:spacing w:line="276" w:lineRule="auto"/>
        <w:jc w:val="both"/>
        <w:rPr>
          <w:rFonts w:ascii="Arial" w:hAnsi="Arial" w:cs="Arial"/>
          <w:sz w:val="22"/>
          <w:szCs w:val="22"/>
        </w:rPr>
      </w:pPr>
      <w:r w:rsidRPr="00075C07">
        <w:rPr>
          <w:rFonts w:ascii="Arial" w:hAnsi="Arial" w:cs="Arial"/>
          <w:color w:val="000000" w:themeColor="text1"/>
          <w:sz w:val="22"/>
          <w:szCs w:val="22"/>
          <w:u w:val="single"/>
        </w:rPr>
        <w:lastRenderedPageBreak/>
        <w:t>Other Issues</w:t>
      </w:r>
      <w:r w:rsidR="004A0AE5">
        <w:rPr>
          <w:rFonts w:ascii="Arial" w:hAnsi="Arial" w:cs="Arial"/>
          <w:color w:val="000000" w:themeColor="text1"/>
          <w:sz w:val="22"/>
          <w:szCs w:val="22"/>
        </w:rPr>
        <w:t xml:space="preserve">:  </w:t>
      </w:r>
      <w:r w:rsidR="00DF4CEC" w:rsidRPr="00DF4CEC">
        <w:rPr>
          <w:rFonts w:ascii="Arial" w:hAnsi="Arial" w:cs="Arial"/>
          <w:sz w:val="22"/>
          <w:szCs w:val="22"/>
        </w:rPr>
        <w:t>The proposal accords with Core Policies 60, 61 and 64 of the Wiltshire Core Strategy, as well as national guidance within the NPPF, in that it would not result in any unacceptable impacts on highway safety or the local road network. The Highway Authority has raised no objection, noting that access arrangements and on-site parking provision would remain unchanged and continue to meet adopted standards. Whilst the garage would be lost, sufficient off-street parking is retained, and as the annexe is to be occupied ancillary to the main dwelling</w:t>
      </w:r>
      <w:r w:rsidR="004A0AE5">
        <w:rPr>
          <w:rFonts w:ascii="Arial" w:hAnsi="Arial" w:cs="Arial"/>
          <w:sz w:val="22"/>
          <w:szCs w:val="22"/>
        </w:rPr>
        <w:t xml:space="preserve">, </w:t>
      </w:r>
      <w:r w:rsidR="00DF4CEC" w:rsidRPr="00DF4CEC">
        <w:rPr>
          <w:rFonts w:ascii="Arial" w:hAnsi="Arial" w:cs="Arial"/>
          <w:sz w:val="22"/>
          <w:szCs w:val="22"/>
        </w:rPr>
        <w:t>with no net increase in bedrooms, given the existing bedroom already serving the accommodation</w:t>
      </w:r>
      <w:r w:rsidR="004A0AE5">
        <w:rPr>
          <w:rFonts w:ascii="Arial" w:hAnsi="Arial" w:cs="Arial"/>
          <w:sz w:val="22"/>
          <w:szCs w:val="22"/>
        </w:rPr>
        <w:t xml:space="preserve">, </w:t>
      </w:r>
      <w:r w:rsidR="00DF4CEC" w:rsidRPr="00DF4CEC">
        <w:rPr>
          <w:rFonts w:ascii="Arial" w:hAnsi="Arial" w:cs="Arial"/>
          <w:sz w:val="22"/>
          <w:szCs w:val="22"/>
        </w:rPr>
        <w:t>no additional parking demand is generated. The proposal is therefore considered acceptable in highways terms.</w:t>
      </w:r>
    </w:p>
    <w:p w14:paraId="1C92A79B" w14:textId="77777777" w:rsidR="0008663E" w:rsidRDefault="0008663E" w:rsidP="00DF4CEC">
      <w:pPr>
        <w:spacing w:line="276" w:lineRule="auto"/>
        <w:jc w:val="both"/>
        <w:rPr>
          <w:rFonts w:ascii="Arial" w:hAnsi="Arial" w:cs="Arial"/>
          <w:sz w:val="22"/>
          <w:szCs w:val="22"/>
        </w:rPr>
      </w:pPr>
    </w:p>
    <w:p w14:paraId="73518F2A" w14:textId="45122ADF" w:rsidR="004A0AE5" w:rsidRDefault="00DF4CEC" w:rsidP="00DF4CEC">
      <w:pPr>
        <w:spacing w:line="276" w:lineRule="auto"/>
        <w:jc w:val="both"/>
        <w:rPr>
          <w:rFonts w:ascii="Arial" w:hAnsi="Arial" w:cs="Arial"/>
          <w:sz w:val="22"/>
          <w:szCs w:val="22"/>
        </w:rPr>
      </w:pPr>
      <w:r w:rsidRPr="00DF4CEC">
        <w:rPr>
          <w:rFonts w:ascii="Arial" w:hAnsi="Arial" w:cs="Arial"/>
          <w:sz w:val="22"/>
          <w:szCs w:val="22"/>
        </w:rPr>
        <w:t xml:space="preserve">The proposal complies with Core Policy 50 of the Wiltshire Core Strategy, as it would not result in harm to ecological interests or protected species. The development involves no significant extension to the built footprint, with only a modest raised decking area which is predominantly elevated above ground level, thereby minimising interaction with any potential habitats. Whilst the site lies within the Salisbury Plain SPA buffer and the Hampshire Avon catchment, </w:t>
      </w:r>
      <w:r w:rsidR="00A37F93">
        <w:rPr>
          <w:rFonts w:ascii="Arial" w:hAnsi="Arial" w:cs="Arial"/>
          <w:sz w:val="22"/>
          <w:szCs w:val="22"/>
        </w:rPr>
        <w:t xml:space="preserve">given the </w:t>
      </w:r>
      <w:r w:rsidRPr="00DF4CEC">
        <w:rPr>
          <w:rFonts w:ascii="Arial" w:hAnsi="Arial" w:cs="Arial"/>
          <w:sz w:val="22"/>
          <w:szCs w:val="22"/>
        </w:rPr>
        <w:t>nature and scale of the works</w:t>
      </w:r>
      <w:r w:rsidR="00A37F93">
        <w:rPr>
          <w:rFonts w:ascii="Arial" w:hAnsi="Arial" w:cs="Arial"/>
          <w:sz w:val="22"/>
          <w:szCs w:val="22"/>
        </w:rPr>
        <w:t>,</w:t>
      </w:r>
      <w:r w:rsidRPr="00DF4CEC">
        <w:rPr>
          <w:rFonts w:ascii="Arial" w:hAnsi="Arial" w:cs="Arial"/>
          <w:sz w:val="22"/>
          <w:szCs w:val="22"/>
        </w:rPr>
        <w:t xml:space="preserve"> no adverse effects would arise</w:t>
      </w:r>
      <w:r w:rsidR="00BA602A">
        <w:rPr>
          <w:rFonts w:ascii="Arial" w:hAnsi="Arial" w:cs="Arial"/>
          <w:sz w:val="22"/>
          <w:szCs w:val="22"/>
        </w:rPr>
        <w:t>,</w:t>
      </w:r>
      <w:r w:rsidR="004A0AE5">
        <w:rPr>
          <w:rFonts w:ascii="Arial" w:hAnsi="Arial" w:cs="Arial"/>
          <w:sz w:val="22"/>
          <w:szCs w:val="22"/>
        </w:rPr>
        <w:t xml:space="preserve"> and there would be no net increase in the number of bedrooms</w:t>
      </w:r>
      <w:r w:rsidR="00A37F93">
        <w:rPr>
          <w:rFonts w:ascii="Arial" w:hAnsi="Arial" w:cs="Arial"/>
          <w:sz w:val="22"/>
          <w:szCs w:val="22"/>
        </w:rPr>
        <w:t xml:space="preserve">.  </w:t>
      </w:r>
    </w:p>
    <w:p w14:paraId="7F68E25C" w14:textId="77777777" w:rsidR="00A37F93" w:rsidRDefault="00A37F93" w:rsidP="00DF4CEC">
      <w:pPr>
        <w:spacing w:line="276" w:lineRule="auto"/>
        <w:jc w:val="both"/>
        <w:rPr>
          <w:rFonts w:ascii="Arial" w:hAnsi="Arial" w:cs="Arial"/>
          <w:sz w:val="22"/>
          <w:szCs w:val="22"/>
        </w:rPr>
      </w:pPr>
    </w:p>
    <w:p w14:paraId="05A9AEB3" w14:textId="51C30FC2" w:rsidR="00A37F93" w:rsidRDefault="00A37F93" w:rsidP="00DF4CEC">
      <w:pPr>
        <w:spacing w:line="276" w:lineRule="auto"/>
        <w:jc w:val="both"/>
        <w:rPr>
          <w:rFonts w:ascii="Arial" w:hAnsi="Arial" w:cs="Arial"/>
          <w:sz w:val="22"/>
          <w:szCs w:val="22"/>
        </w:rPr>
      </w:pPr>
      <w:r w:rsidRPr="00A37F93">
        <w:rPr>
          <w:rFonts w:ascii="Arial" w:hAnsi="Arial" w:cs="Arial"/>
          <w:sz w:val="22"/>
          <w:szCs w:val="22"/>
        </w:rPr>
        <w:t>The proposal would not result in a change to the number of dwellings on site</w:t>
      </w:r>
      <w:r w:rsidR="00BA602A">
        <w:rPr>
          <w:rFonts w:ascii="Arial" w:hAnsi="Arial" w:cs="Arial"/>
          <w:sz w:val="22"/>
          <w:szCs w:val="22"/>
        </w:rPr>
        <w:t>,</w:t>
      </w:r>
      <w:r w:rsidRPr="00A37F93">
        <w:rPr>
          <w:rFonts w:ascii="Arial" w:hAnsi="Arial" w:cs="Arial"/>
          <w:sz w:val="22"/>
          <w:szCs w:val="22"/>
        </w:rPr>
        <w:t xml:space="preserve"> and as recommended</w:t>
      </w:r>
      <w:r w:rsidR="00BA602A">
        <w:rPr>
          <w:rFonts w:ascii="Arial" w:hAnsi="Arial" w:cs="Arial"/>
          <w:sz w:val="22"/>
          <w:szCs w:val="22"/>
        </w:rPr>
        <w:t>,</w:t>
      </w:r>
      <w:r w:rsidRPr="00A37F93">
        <w:rPr>
          <w:rFonts w:ascii="Arial" w:hAnsi="Arial" w:cs="Arial"/>
          <w:sz w:val="22"/>
          <w:szCs w:val="22"/>
        </w:rPr>
        <w:t xml:space="preserve"> the annexe accommodation would be restricted in terms of its use to being ancillary to the main dwelling at </w:t>
      </w:r>
      <w:proofErr w:type="spellStart"/>
      <w:r w:rsidR="00FD123E">
        <w:rPr>
          <w:rFonts w:ascii="Arial" w:hAnsi="Arial" w:cs="Arial"/>
          <w:sz w:val="22"/>
          <w:szCs w:val="22"/>
        </w:rPr>
        <w:t>No.1</w:t>
      </w:r>
      <w:r w:rsidRPr="00A37F93">
        <w:rPr>
          <w:rFonts w:ascii="Arial" w:hAnsi="Arial" w:cs="Arial"/>
          <w:sz w:val="22"/>
          <w:szCs w:val="22"/>
        </w:rPr>
        <w:t>6</w:t>
      </w:r>
      <w:proofErr w:type="spellEnd"/>
      <w:r w:rsidRPr="00A37F93">
        <w:rPr>
          <w:rFonts w:ascii="Arial" w:hAnsi="Arial" w:cs="Arial"/>
          <w:sz w:val="22"/>
          <w:szCs w:val="22"/>
        </w:rPr>
        <w:t xml:space="preserve">. </w:t>
      </w:r>
      <w:r w:rsidR="00FD123E">
        <w:rPr>
          <w:rFonts w:ascii="Arial" w:hAnsi="Arial" w:cs="Arial"/>
          <w:sz w:val="22"/>
          <w:szCs w:val="22"/>
        </w:rPr>
        <w:t>Therefore</w:t>
      </w:r>
      <w:r w:rsidRPr="00A37F93">
        <w:rPr>
          <w:rFonts w:ascii="Arial" w:hAnsi="Arial" w:cs="Arial"/>
          <w:sz w:val="22"/>
          <w:szCs w:val="22"/>
        </w:rPr>
        <w:t xml:space="preserve">, no </w:t>
      </w:r>
      <w:r w:rsidR="00FD123E">
        <w:rPr>
          <w:rFonts w:ascii="Arial" w:hAnsi="Arial" w:cs="Arial"/>
          <w:sz w:val="22"/>
          <w:szCs w:val="22"/>
        </w:rPr>
        <w:t>n</w:t>
      </w:r>
      <w:r w:rsidRPr="00A37F93">
        <w:rPr>
          <w:rFonts w:ascii="Arial" w:hAnsi="Arial" w:cs="Arial"/>
          <w:sz w:val="22"/>
          <w:szCs w:val="22"/>
        </w:rPr>
        <w:t xml:space="preserve">utrient neutrality mitigation is necessary for </w:t>
      </w:r>
      <w:r w:rsidR="00FD123E">
        <w:rPr>
          <w:rFonts w:ascii="Arial" w:hAnsi="Arial" w:cs="Arial"/>
          <w:sz w:val="22"/>
          <w:szCs w:val="22"/>
        </w:rPr>
        <w:t>this</w:t>
      </w:r>
      <w:r w:rsidRPr="00A37F93">
        <w:rPr>
          <w:rFonts w:ascii="Arial" w:hAnsi="Arial" w:cs="Arial"/>
          <w:sz w:val="22"/>
          <w:szCs w:val="22"/>
        </w:rPr>
        <w:t xml:space="preserve"> application. </w:t>
      </w:r>
    </w:p>
    <w:p w14:paraId="3DB74B08" w14:textId="77777777" w:rsidR="004A0AE5" w:rsidRDefault="004A0AE5" w:rsidP="00DF4CEC">
      <w:pPr>
        <w:spacing w:line="276" w:lineRule="auto"/>
        <w:jc w:val="both"/>
        <w:rPr>
          <w:rFonts w:ascii="Arial" w:hAnsi="Arial" w:cs="Arial"/>
          <w:sz w:val="22"/>
          <w:szCs w:val="22"/>
        </w:rPr>
      </w:pPr>
    </w:p>
    <w:p w14:paraId="4EF5720A" w14:textId="7F294222" w:rsidR="00DF4CEC" w:rsidRPr="00DF4CEC" w:rsidRDefault="00FD123E" w:rsidP="00DF4CEC">
      <w:pPr>
        <w:spacing w:line="276" w:lineRule="auto"/>
        <w:jc w:val="both"/>
        <w:rPr>
          <w:rFonts w:ascii="Arial" w:hAnsi="Arial" w:cs="Arial"/>
          <w:sz w:val="22"/>
          <w:szCs w:val="22"/>
        </w:rPr>
      </w:pPr>
      <w:r>
        <w:rPr>
          <w:rFonts w:ascii="Arial" w:hAnsi="Arial" w:cs="Arial"/>
          <w:sz w:val="22"/>
          <w:szCs w:val="22"/>
        </w:rPr>
        <w:t>T</w:t>
      </w:r>
      <w:r w:rsidR="00DF4CEC" w:rsidRPr="00DF4CEC">
        <w:rPr>
          <w:rFonts w:ascii="Arial" w:hAnsi="Arial" w:cs="Arial"/>
          <w:sz w:val="22"/>
          <w:szCs w:val="22"/>
        </w:rPr>
        <w:t>he TPO trees within the rear garden remain unaffected. As a householder development, the proposal is exempt from the statutory requirement to deliver Biodiversity Net Gain, and overall the scheme is considered to have a neutral ecological impact.</w:t>
      </w:r>
    </w:p>
    <w:p w14:paraId="0D4B0152" w14:textId="77777777" w:rsidR="00DF4CEC" w:rsidRDefault="00DF4CEC" w:rsidP="00DF4CEC">
      <w:pPr>
        <w:spacing w:line="276" w:lineRule="auto"/>
        <w:jc w:val="both"/>
        <w:rPr>
          <w:rFonts w:ascii="Arial" w:hAnsi="Arial" w:cs="Arial"/>
          <w:sz w:val="22"/>
          <w:szCs w:val="22"/>
        </w:rPr>
      </w:pPr>
    </w:p>
    <w:p w14:paraId="1AAD68D0" w14:textId="6DCBE0CA" w:rsidR="00DF4CEC" w:rsidRDefault="00DF4CEC" w:rsidP="00DF4CEC">
      <w:pPr>
        <w:spacing w:line="276" w:lineRule="auto"/>
        <w:jc w:val="both"/>
        <w:rPr>
          <w:rFonts w:ascii="Arial" w:hAnsi="Arial" w:cs="Arial"/>
          <w:sz w:val="22"/>
          <w:szCs w:val="22"/>
        </w:rPr>
      </w:pPr>
      <w:r w:rsidRPr="00DF4CEC">
        <w:rPr>
          <w:rFonts w:ascii="Arial" w:hAnsi="Arial" w:cs="Arial"/>
          <w:sz w:val="22"/>
          <w:szCs w:val="22"/>
        </w:rPr>
        <w:t xml:space="preserve">The proposal is considered acceptable in relation to Core Policy 67 of the Wiltshire Core Strategy and the NPPF. Although the site is subject to some identified constraints, including areas of surface water flood risk along the southern boundary and a general susceptibility to groundwater flooding, the development would not increase the building footprint or introduce additional impermeable surfaces. As such, there would be no increased risk of surface water runoff or flood risk elsewhere. The works are limited in scale and largely involve the re-use of an existing structure, and therefore do not necessitate significant drainage interventions. Furthermore, as a householder development below 250m², the proposal is exempt from the sequential and exception </w:t>
      </w:r>
      <w:proofErr w:type="gramStart"/>
      <w:r w:rsidRPr="00DF4CEC">
        <w:rPr>
          <w:rFonts w:ascii="Arial" w:hAnsi="Arial" w:cs="Arial"/>
          <w:sz w:val="22"/>
          <w:szCs w:val="22"/>
        </w:rPr>
        <w:t>tests, and</w:t>
      </w:r>
      <w:proofErr w:type="gramEnd"/>
      <w:r w:rsidRPr="00DF4CEC">
        <w:rPr>
          <w:rFonts w:ascii="Arial" w:hAnsi="Arial" w:cs="Arial"/>
          <w:sz w:val="22"/>
          <w:szCs w:val="22"/>
        </w:rPr>
        <w:t xml:space="preserve"> is considered acceptable from a drainage and flood risk perspective.</w:t>
      </w:r>
    </w:p>
    <w:p w14:paraId="04676AD1" w14:textId="77777777" w:rsidR="004A0AE5" w:rsidRDefault="004A0AE5" w:rsidP="00DF4CEC">
      <w:pPr>
        <w:spacing w:line="276" w:lineRule="auto"/>
        <w:jc w:val="both"/>
        <w:rPr>
          <w:rFonts w:ascii="Arial" w:hAnsi="Arial" w:cs="Arial"/>
          <w:sz w:val="22"/>
          <w:szCs w:val="22"/>
        </w:rPr>
      </w:pPr>
    </w:p>
    <w:p w14:paraId="6DE542B4" w14:textId="6A0E3346" w:rsidR="00075C07" w:rsidRPr="00FD123E" w:rsidRDefault="00075C07" w:rsidP="00FD123E">
      <w:pPr>
        <w:spacing w:line="276" w:lineRule="auto"/>
        <w:rPr>
          <w:rFonts w:ascii="Arial" w:hAnsi="Arial" w:cs="Arial"/>
          <w:b/>
          <w:bCs/>
          <w:sz w:val="22"/>
          <w:szCs w:val="22"/>
        </w:rPr>
      </w:pPr>
      <w:r w:rsidRPr="00075C07">
        <w:rPr>
          <w:rFonts w:ascii="Arial" w:hAnsi="Arial" w:cs="Arial"/>
          <w:b/>
          <w:bCs/>
          <w:sz w:val="22"/>
          <w:szCs w:val="22"/>
        </w:rPr>
        <w:t>CONCLUSION</w:t>
      </w:r>
      <w:r w:rsidR="00FD123E">
        <w:rPr>
          <w:rFonts w:ascii="Arial" w:hAnsi="Arial" w:cs="Arial"/>
          <w:b/>
          <w:bCs/>
          <w:sz w:val="22"/>
          <w:szCs w:val="22"/>
        </w:rPr>
        <w:t xml:space="preserve">:  </w:t>
      </w: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B23B18" w:rsidRDefault="003D015A" w:rsidP="00DD4C53">
      <w:pPr>
        <w:spacing w:line="276" w:lineRule="auto"/>
        <w:jc w:val="both"/>
        <w:rPr>
          <w:rFonts w:ascii="Arial" w:hAnsi="Arial" w:cs="Arial"/>
          <w:sz w:val="22"/>
          <w:szCs w:val="22"/>
        </w:rPr>
      </w:pPr>
      <w:r w:rsidRPr="00B23B18">
        <w:rPr>
          <w:rFonts w:ascii="Arial" w:hAnsi="Arial" w:cs="Arial"/>
          <w:sz w:val="22"/>
          <w:szCs w:val="22"/>
        </w:rPr>
        <w:t>1.</w:t>
      </w:r>
    </w:p>
    <w:p w14:paraId="74288816" w14:textId="754C46FB" w:rsidR="003D015A" w:rsidRPr="00B23B18" w:rsidRDefault="00075C07" w:rsidP="00DD4C53">
      <w:pPr>
        <w:spacing w:line="276" w:lineRule="auto"/>
        <w:jc w:val="both"/>
        <w:rPr>
          <w:rFonts w:ascii="Arial" w:hAnsi="Arial" w:cs="Arial"/>
          <w:sz w:val="22"/>
          <w:szCs w:val="22"/>
        </w:rPr>
      </w:pPr>
      <w:r w:rsidRPr="00B23B18">
        <w:rPr>
          <w:rFonts w:ascii="Arial" w:hAnsi="Arial" w:cs="Arial"/>
          <w:sz w:val="22"/>
          <w:szCs w:val="22"/>
        </w:rPr>
        <w:t>The development hereby permitted shall be begun before the expiration of three</w:t>
      </w:r>
      <w:r w:rsidR="003D015A" w:rsidRPr="00B23B18">
        <w:rPr>
          <w:rFonts w:ascii="Arial" w:hAnsi="Arial" w:cs="Arial"/>
          <w:sz w:val="22"/>
          <w:szCs w:val="22"/>
        </w:rPr>
        <w:t xml:space="preserve"> </w:t>
      </w:r>
      <w:r w:rsidRPr="00B23B18">
        <w:rPr>
          <w:rFonts w:ascii="Arial" w:hAnsi="Arial" w:cs="Arial"/>
          <w:sz w:val="22"/>
          <w:szCs w:val="22"/>
        </w:rPr>
        <w:t>years from the date of this permission.</w:t>
      </w:r>
      <w:r w:rsidRPr="00B23B18">
        <w:rPr>
          <w:rFonts w:ascii="Arial" w:hAnsi="Arial" w:cs="Arial"/>
          <w:sz w:val="22"/>
          <w:szCs w:val="22"/>
        </w:rPr>
        <w:cr/>
      </w:r>
    </w:p>
    <w:p w14:paraId="78E8FD03" w14:textId="2462BB38" w:rsidR="00075C07" w:rsidRPr="00B23B18" w:rsidRDefault="00075C07" w:rsidP="00DD4C53">
      <w:pPr>
        <w:tabs>
          <w:tab w:val="num" w:pos="0"/>
        </w:tabs>
        <w:spacing w:line="276" w:lineRule="auto"/>
        <w:jc w:val="both"/>
        <w:rPr>
          <w:rFonts w:ascii="Arial" w:hAnsi="Arial" w:cs="Arial"/>
          <w:sz w:val="22"/>
          <w:szCs w:val="22"/>
        </w:rPr>
      </w:pPr>
      <w:r w:rsidRPr="00B23B18">
        <w:rPr>
          <w:rFonts w:ascii="Arial" w:hAnsi="Arial" w:cs="Arial"/>
          <w:sz w:val="22"/>
          <w:szCs w:val="22"/>
        </w:rPr>
        <w:t>REASON: To comply with the provisions of Section 91 of the Town and Country</w:t>
      </w:r>
      <w:r w:rsidR="003D015A" w:rsidRPr="00B23B18">
        <w:rPr>
          <w:rFonts w:ascii="Arial" w:hAnsi="Arial" w:cs="Arial"/>
          <w:sz w:val="22"/>
          <w:szCs w:val="22"/>
        </w:rPr>
        <w:t xml:space="preserve"> </w:t>
      </w:r>
      <w:r w:rsidRPr="00B23B18">
        <w:rPr>
          <w:rFonts w:ascii="Arial" w:hAnsi="Arial" w:cs="Arial"/>
          <w:sz w:val="22"/>
          <w:szCs w:val="22"/>
        </w:rPr>
        <w:t>Planning Act 1990 as amended by the Planning and Compulsory Purchase Act</w:t>
      </w:r>
      <w:r w:rsidR="003D015A" w:rsidRPr="00B23B18">
        <w:rPr>
          <w:rFonts w:ascii="Arial" w:hAnsi="Arial" w:cs="Arial"/>
          <w:sz w:val="22"/>
          <w:szCs w:val="22"/>
        </w:rPr>
        <w:t xml:space="preserve"> </w:t>
      </w:r>
      <w:r w:rsidRPr="00B23B18">
        <w:rPr>
          <w:rFonts w:ascii="Arial" w:hAnsi="Arial" w:cs="Arial"/>
          <w:sz w:val="22"/>
          <w:szCs w:val="22"/>
        </w:rPr>
        <w:t>2004.</w:t>
      </w:r>
    </w:p>
    <w:p w14:paraId="1D3F6570" w14:textId="77777777" w:rsidR="00075C07" w:rsidRPr="00B23B18" w:rsidRDefault="00075C07" w:rsidP="00DD4C53">
      <w:pPr>
        <w:tabs>
          <w:tab w:val="num" w:pos="567"/>
        </w:tabs>
        <w:spacing w:line="276" w:lineRule="auto"/>
        <w:ind w:left="567" w:hanging="567"/>
        <w:jc w:val="both"/>
        <w:rPr>
          <w:rFonts w:ascii="Arial" w:hAnsi="Arial" w:cs="Arial"/>
          <w:sz w:val="22"/>
          <w:szCs w:val="22"/>
        </w:rPr>
      </w:pPr>
    </w:p>
    <w:p w14:paraId="24232B38" w14:textId="5CBA12F5" w:rsidR="00075C07" w:rsidRPr="00B23B18" w:rsidRDefault="003D015A" w:rsidP="00DD4C53">
      <w:pPr>
        <w:tabs>
          <w:tab w:val="num" w:pos="567"/>
        </w:tabs>
        <w:spacing w:line="276" w:lineRule="auto"/>
        <w:ind w:left="567" w:hanging="567"/>
        <w:jc w:val="both"/>
        <w:rPr>
          <w:rFonts w:ascii="Arial" w:hAnsi="Arial" w:cs="Arial"/>
          <w:sz w:val="22"/>
          <w:szCs w:val="22"/>
        </w:rPr>
      </w:pPr>
      <w:r w:rsidRPr="00B23B18">
        <w:rPr>
          <w:rFonts w:ascii="Arial" w:hAnsi="Arial" w:cs="Arial"/>
          <w:sz w:val="22"/>
          <w:szCs w:val="22"/>
        </w:rPr>
        <w:t>2.</w:t>
      </w:r>
    </w:p>
    <w:p w14:paraId="743DB94A" w14:textId="1065BA59" w:rsidR="00075C07" w:rsidRPr="00B23B18" w:rsidRDefault="00075C07" w:rsidP="00DD4C53">
      <w:pPr>
        <w:spacing w:line="276" w:lineRule="auto"/>
        <w:jc w:val="both"/>
        <w:rPr>
          <w:rFonts w:ascii="Arial" w:hAnsi="Arial" w:cs="Arial"/>
          <w:sz w:val="22"/>
          <w:szCs w:val="22"/>
        </w:rPr>
      </w:pPr>
      <w:r w:rsidRPr="00B23B18">
        <w:rPr>
          <w:rFonts w:ascii="Arial" w:hAnsi="Arial" w:cs="Arial"/>
          <w:sz w:val="22"/>
          <w:szCs w:val="22"/>
        </w:rPr>
        <w:lastRenderedPageBreak/>
        <w:t>The development hereby permitted shall be carried out in accordance with the</w:t>
      </w:r>
      <w:r w:rsidR="003D015A" w:rsidRPr="00B23B18">
        <w:rPr>
          <w:rFonts w:ascii="Arial" w:hAnsi="Arial" w:cs="Arial"/>
          <w:sz w:val="22"/>
          <w:szCs w:val="22"/>
        </w:rPr>
        <w:t xml:space="preserve"> </w:t>
      </w:r>
      <w:r w:rsidRPr="00B23B18">
        <w:rPr>
          <w:rFonts w:ascii="Arial" w:hAnsi="Arial" w:cs="Arial"/>
          <w:sz w:val="22"/>
          <w:szCs w:val="22"/>
        </w:rPr>
        <w:t>following approved plans and documents:</w:t>
      </w:r>
    </w:p>
    <w:p w14:paraId="7EFA43B1" w14:textId="77777777" w:rsidR="00075C07" w:rsidRPr="00B23B18" w:rsidRDefault="00075C07" w:rsidP="00DD4C53">
      <w:pPr>
        <w:pStyle w:val="ListParagraph"/>
        <w:tabs>
          <w:tab w:val="num" w:pos="567"/>
        </w:tabs>
        <w:spacing w:line="276" w:lineRule="auto"/>
        <w:ind w:left="567" w:hanging="567"/>
        <w:jc w:val="both"/>
        <w:rPr>
          <w:rFonts w:ascii="Arial" w:hAnsi="Arial" w:cs="Arial"/>
          <w:sz w:val="22"/>
          <w:szCs w:val="22"/>
        </w:rPr>
      </w:pPr>
    </w:p>
    <w:p w14:paraId="46251457" w14:textId="007E1C63" w:rsidR="00075C07" w:rsidRPr="00B23B18" w:rsidRDefault="00C11258" w:rsidP="00DD4C53">
      <w:pPr>
        <w:pStyle w:val="ListParagraph"/>
        <w:tabs>
          <w:tab w:val="num" w:pos="567"/>
        </w:tabs>
        <w:spacing w:line="276" w:lineRule="auto"/>
        <w:ind w:left="567" w:hanging="567"/>
        <w:jc w:val="both"/>
        <w:rPr>
          <w:rFonts w:ascii="Arial" w:hAnsi="Arial" w:cs="Arial"/>
          <w:sz w:val="22"/>
          <w:szCs w:val="22"/>
        </w:rPr>
      </w:pPr>
      <w:r w:rsidRPr="00B23B18">
        <w:rPr>
          <w:rFonts w:ascii="Arial" w:hAnsi="Arial" w:cs="Arial"/>
          <w:sz w:val="22"/>
          <w:szCs w:val="22"/>
        </w:rPr>
        <w:t>Proposed Elevation</w:t>
      </w:r>
      <w:r w:rsidR="00E16807" w:rsidRPr="00B23B18">
        <w:rPr>
          <w:rFonts w:ascii="Arial" w:hAnsi="Arial" w:cs="Arial"/>
          <w:sz w:val="22"/>
          <w:szCs w:val="22"/>
        </w:rPr>
        <w:t>s 225029/04</w:t>
      </w:r>
    </w:p>
    <w:p w14:paraId="6C16225E" w14:textId="620AABFF" w:rsidR="00E16807" w:rsidRPr="00B23B18" w:rsidRDefault="00E16807" w:rsidP="00DD4C53">
      <w:pPr>
        <w:pStyle w:val="ListParagraph"/>
        <w:tabs>
          <w:tab w:val="num" w:pos="567"/>
        </w:tabs>
        <w:spacing w:line="276" w:lineRule="auto"/>
        <w:ind w:left="567" w:hanging="567"/>
        <w:jc w:val="both"/>
        <w:rPr>
          <w:rFonts w:ascii="Arial" w:hAnsi="Arial" w:cs="Arial"/>
          <w:sz w:val="22"/>
          <w:szCs w:val="22"/>
        </w:rPr>
      </w:pPr>
      <w:r w:rsidRPr="00B23B18">
        <w:rPr>
          <w:rFonts w:ascii="Arial" w:hAnsi="Arial" w:cs="Arial"/>
          <w:sz w:val="22"/>
          <w:szCs w:val="22"/>
        </w:rPr>
        <w:t>Site Block Plan and Proposed Part Ground Floor Plan 225029/03</w:t>
      </w:r>
    </w:p>
    <w:p w14:paraId="12A389F7" w14:textId="343ADF63" w:rsidR="00F064EE" w:rsidRPr="00B23B18" w:rsidRDefault="00F064EE" w:rsidP="00DD4C53">
      <w:pPr>
        <w:pStyle w:val="ListParagraph"/>
        <w:tabs>
          <w:tab w:val="num" w:pos="567"/>
        </w:tabs>
        <w:spacing w:line="276" w:lineRule="auto"/>
        <w:ind w:left="567" w:hanging="567"/>
        <w:jc w:val="both"/>
        <w:rPr>
          <w:rFonts w:ascii="Arial" w:hAnsi="Arial" w:cs="Arial"/>
          <w:sz w:val="22"/>
          <w:szCs w:val="22"/>
        </w:rPr>
      </w:pPr>
      <w:r w:rsidRPr="00B23B18">
        <w:rPr>
          <w:rFonts w:ascii="Arial" w:hAnsi="Arial" w:cs="Arial"/>
          <w:sz w:val="22"/>
          <w:szCs w:val="22"/>
        </w:rPr>
        <w:t>Site Location Plan and Existing Part Ground Plan 225029/01</w:t>
      </w:r>
    </w:p>
    <w:p w14:paraId="3EE9D301" w14:textId="77777777" w:rsidR="00C11258" w:rsidRPr="00B23B18" w:rsidRDefault="00C11258" w:rsidP="00DD4C53">
      <w:pPr>
        <w:pStyle w:val="ListParagraph"/>
        <w:tabs>
          <w:tab w:val="num" w:pos="567"/>
        </w:tabs>
        <w:spacing w:line="276" w:lineRule="auto"/>
        <w:ind w:left="567" w:hanging="567"/>
        <w:jc w:val="both"/>
        <w:rPr>
          <w:rFonts w:ascii="Arial" w:hAnsi="Arial" w:cs="Arial"/>
          <w:sz w:val="22"/>
          <w:szCs w:val="22"/>
        </w:rPr>
      </w:pPr>
    </w:p>
    <w:p w14:paraId="178A1B16" w14:textId="77777777" w:rsidR="00075C07" w:rsidRPr="00B23B18" w:rsidRDefault="00075C07" w:rsidP="00DD4C53">
      <w:pPr>
        <w:tabs>
          <w:tab w:val="num" w:pos="567"/>
        </w:tabs>
        <w:spacing w:line="276" w:lineRule="auto"/>
        <w:ind w:left="567" w:hanging="567"/>
        <w:jc w:val="both"/>
        <w:rPr>
          <w:rFonts w:ascii="Arial" w:hAnsi="Arial" w:cs="Arial"/>
          <w:sz w:val="22"/>
          <w:szCs w:val="22"/>
        </w:rPr>
      </w:pPr>
      <w:r w:rsidRPr="00B23B18">
        <w:rPr>
          <w:rFonts w:ascii="Arial" w:hAnsi="Arial" w:cs="Arial"/>
          <w:sz w:val="22"/>
          <w:szCs w:val="22"/>
        </w:rPr>
        <w:t>REASON: For the avoidance of doubt and in the interests of proper planning.</w:t>
      </w:r>
    </w:p>
    <w:p w14:paraId="0A064A34" w14:textId="3E2B7F3B" w:rsidR="006B4ED4" w:rsidRPr="00B23B18" w:rsidRDefault="006B4ED4" w:rsidP="00DD4C53">
      <w:pPr>
        <w:jc w:val="both"/>
        <w:rPr>
          <w:rFonts w:ascii="Arial" w:hAnsi="Arial" w:cs="Arial"/>
          <w:sz w:val="22"/>
          <w:szCs w:val="22"/>
        </w:rPr>
      </w:pPr>
    </w:p>
    <w:p w14:paraId="692A1875" w14:textId="096B25FE" w:rsidR="00B23B18" w:rsidRPr="00B23B18" w:rsidRDefault="00B23B18" w:rsidP="00DD4C53">
      <w:pPr>
        <w:jc w:val="both"/>
        <w:rPr>
          <w:rFonts w:ascii="Arial" w:hAnsi="Arial" w:cs="Arial"/>
          <w:sz w:val="22"/>
          <w:szCs w:val="22"/>
        </w:rPr>
      </w:pPr>
      <w:r w:rsidRPr="00B23B18">
        <w:rPr>
          <w:rFonts w:ascii="Arial" w:hAnsi="Arial" w:cs="Arial"/>
          <w:sz w:val="22"/>
          <w:szCs w:val="22"/>
        </w:rPr>
        <w:t>3.</w:t>
      </w:r>
    </w:p>
    <w:p w14:paraId="2B5EDE9A" w14:textId="58AC22D7" w:rsidR="00B23B18" w:rsidRPr="00B23B18" w:rsidRDefault="00B23B18" w:rsidP="00DD4C53">
      <w:pPr>
        <w:jc w:val="both"/>
        <w:rPr>
          <w:rFonts w:ascii="Arial" w:hAnsi="Arial" w:cs="Arial"/>
          <w:sz w:val="22"/>
          <w:szCs w:val="22"/>
        </w:rPr>
      </w:pPr>
      <w:r w:rsidRPr="00B23B18">
        <w:rPr>
          <w:rFonts w:ascii="Arial" w:hAnsi="Arial" w:cs="Arial"/>
          <w:sz w:val="22"/>
          <w:szCs w:val="22"/>
        </w:rPr>
        <w:t xml:space="preserve">The development hereby permitted shall not be occupied at any time other than for purposes ancillary to the residential use of the main dwelling, known as (16 </w:t>
      </w:r>
      <w:r w:rsidR="00CE5FC4">
        <w:rPr>
          <w:rFonts w:ascii="Arial" w:hAnsi="Arial" w:cs="Arial"/>
          <w:sz w:val="22"/>
          <w:szCs w:val="22"/>
        </w:rPr>
        <w:t>Lower Marsh Road</w:t>
      </w:r>
      <w:r w:rsidRPr="00B23B18">
        <w:rPr>
          <w:rFonts w:ascii="Arial" w:hAnsi="Arial" w:cs="Arial"/>
          <w:sz w:val="22"/>
          <w:szCs w:val="22"/>
        </w:rPr>
        <w:t>) and it shall remain within the same planning unit as the main dwelling.</w:t>
      </w:r>
    </w:p>
    <w:p w14:paraId="718E8864" w14:textId="77777777" w:rsidR="00B23B18" w:rsidRPr="00B23B18" w:rsidRDefault="00B23B18" w:rsidP="00DD4C53">
      <w:pPr>
        <w:jc w:val="both"/>
        <w:rPr>
          <w:rFonts w:ascii="Arial" w:hAnsi="Arial" w:cs="Arial"/>
          <w:sz w:val="22"/>
          <w:szCs w:val="22"/>
        </w:rPr>
      </w:pPr>
      <w:r w:rsidRPr="00B23B18">
        <w:rPr>
          <w:rFonts w:ascii="Arial" w:hAnsi="Arial" w:cs="Arial"/>
          <w:sz w:val="22"/>
          <w:szCs w:val="22"/>
        </w:rPr>
        <w:t> </w:t>
      </w:r>
    </w:p>
    <w:p w14:paraId="206216E6" w14:textId="55756328" w:rsidR="00B23B18" w:rsidRDefault="00DD4C53" w:rsidP="00DD4C53">
      <w:pPr>
        <w:jc w:val="both"/>
        <w:rPr>
          <w:rFonts w:ascii="Arial" w:hAnsi="Arial" w:cs="Arial"/>
          <w:sz w:val="22"/>
          <w:szCs w:val="22"/>
        </w:rPr>
      </w:pPr>
      <w:r w:rsidRPr="00DD4C53">
        <w:rPr>
          <w:rFonts w:ascii="Arial" w:hAnsi="Arial" w:cs="Arial"/>
          <w:sz w:val="22"/>
          <w:szCs w:val="22"/>
        </w:rPr>
        <w:t xml:space="preserve">REASON: The proposed accommodation has been considered as ancillary to the host dwelling and within the same planning unit. This condition is required as the impacts of the development have not been assessed </w:t>
      </w:r>
      <w:proofErr w:type="gramStart"/>
      <w:r w:rsidRPr="00DD4C53">
        <w:rPr>
          <w:rFonts w:ascii="Arial" w:hAnsi="Arial" w:cs="Arial"/>
          <w:sz w:val="22"/>
          <w:szCs w:val="22"/>
        </w:rPr>
        <w:t>on the basis of</w:t>
      </w:r>
      <w:proofErr w:type="gramEnd"/>
      <w:r w:rsidRPr="00DD4C53">
        <w:rPr>
          <w:rFonts w:ascii="Arial" w:hAnsi="Arial" w:cs="Arial"/>
          <w:sz w:val="22"/>
          <w:szCs w:val="22"/>
        </w:rPr>
        <w:t xml:space="preserve"> use as a separate self-contained dwelling, particularly in respect of amenity, access, and planning policy considerations.</w:t>
      </w:r>
    </w:p>
    <w:p w14:paraId="243E2A67" w14:textId="77777777" w:rsidR="00FC24DA" w:rsidRDefault="00FC24DA" w:rsidP="00DD4C53">
      <w:pPr>
        <w:jc w:val="both"/>
        <w:rPr>
          <w:rFonts w:ascii="Arial" w:hAnsi="Arial" w:cs="Arial"/>
          <w:sz w:val="22"/>
          <w:szCs w:val="22"/>
        </w:rPr>
      </w:pPr>
    </w:p>
    <w:p w14:paraId="52416B7B" w14:textId="312AD901" w:rsidR="00FC24DA" w:rsidRDefault="00FC24DA" w:rsidP="00DD4C53">
      <w:pPr>
        <w:jc w:val="both"/>
        <w:rPr>
          <w:rFonts w:ascii="Arial" w:hAnsi="Arial" w:cs="Arial"/>
          <w:sz w:val="22"/>
          <w:szCs w:val="22"/>
        </w:rPr>
      </w:pPr>
      <w:r>
        <w:rPr>
          <w:rFonts w:ascii="Arial" w:hAnsi="Arial" w:cs="Arial"/>
          <w:sz w:val="22"/>
          <w:szCs w:val="22"/>
        </w:rPr>
        <w:t>4.</w:t>
      </w:r>
    </w:p>
    <w:p w14:paraId="04461126" w14:textId="77777777" w:rsidR="000D7EA2" w:rsidRPr="000D7EA2" w:rsidRDefault="00FC24DA" w:rsidP="00FC24DA">
      <w:pPr>
        <w:jc w:val="both"/>
        <w:rPr>
          <w:rFonts w:ascii="Arial" w:hAnsi="Arial" w:cs="Arial"/>
          <w:color w:val="000000" w:themeColor="text1"/>
          <w:sz w:val="22"/>
          <w:szCs w:val="22"/>
        </w:rPr>
      </w:pPr>
      <w:r w:rsidRPr="000D7EA2">
        <w:rPr>
          <w:rFonts w:ascii="Arial" w:hAnsi="Arial" w:cs="Arial"/>
          <w:color w:val="000000" w:themeColor="text1"/>
          <w:sz w:val="22"/>
          <w:szCs w:val="22"/>
        </w:rPr>
        <w:t>Prior to the first occupation of the annexe hereby permitted, the privacy screen shown on the approved plans</w:t>
      </w:r>
      <w:r w:rsidR="003A4CFF" w:rsidRPr="000D7EA2">
        <w:rPr>
          <w:rFonts w:ascii="Arial" w:hAnsi="Arial" w:cs="Arial"/>
          <w:color w:val="000000" w:themeColor="text1"/>
          <w:sz w:val="22"/>
          <w:szCs w:val="22"/>
        </w:rPr>
        <w:t xml:space="preserve"> (drawing no. 225029/04)</w:t>
      </w:r>
      <w:r w:rsidRPr="000D7EA2">
        <w:rPr>
          <w:rFonts w:ascii="Arial" w:hAnsi="Arial" w:cs="Arial"/>
          <w:color w:val="000000" w:themeColor="text1"/>
          <w:sz w:val="22"/>
          <w:szCs w:val="22"/>
        </w:rPr>
        <w:t xml:space="preserve"> shall be fully i</w:t>
      </w:r>
      <w:r w:rsidR="003A4CFF" w:rsidRPr="000D7EA2">
        <w:rPr>
          <w:rFonts w:ascii="Arial" w:hAnsi="Arial" w:cs="Arial"/>
          <w:color w:val="000000" w:themeColor="text1"/>
          <w:sz w:val="22"/>
          <w:szCs w:val="22"/>
        </w:rPr>
        <w:t>nstalled</w:t>
      </w:r>
      <w:r w:rsidRPr="000D7EA2">
        <w:rPr>
          <w:rFonts w:ascii="Arial" w:hAnsi="Arial" w:cs="Arial"/>
          <w:color w:val="000000" w:themeColor="text1"/>
          <w:sz w:val="22"/>
          <w:szCs w:val="22"/>
        </w:rPr>
        <w:t xml:space="preserve"> in accordance with the approved details and shall thereafter be retained and maintained </w:t>
      </w:r>
      <w:r w:rsidR="000D7EA2" w:rsidRPr="000D7EA2">
        <w:rPr>
          <w:rFonts w:ascii="Arial" w:hAnsi="Arial" w:cs="Arial"/>
          <w:color w:val="000000" w:themeColor="text1"/>
          <w:sz w:val="22"/>
          <w:szCs w:val="22"/>
        </w:rPr>
        <w:t xml:space="preserve">over the lifetime of the development. </w:t>
      </w:r>
    </w:p>
    <w:p w14:paraId="719C5715" w14:textId="77777777" w:rsidR="000D7EA2" w:rsidRPr="000D7EA2" w:rsidRDefault="000D7EA2" w:rsidP="00FC24DA">
      <w:pPr>
        <w:jc w:val="both"/>
        <w:rPr>
          <w:rFonts w:ascii="Arial" w:hAnsi="Arial" w:cs="Arial"/>
          <w:color w:val="000000" w:themeColor="text1"/>
          <w:sz w:val="22"/>
          <w:szCs w:val="22"/>
        </w:rPr>
      </w:pPr>
    </w:p>
    <w:p w14:paraId="003122DE" w14:textId="26C02A43" w:rsidR="00FC24DA" w:rsidRPr="000D7EA2" w:rsidRDefault="00FC24DA" w:rsidP="00FC24DA">
      <w:pPr>
        <w:jc w:val="both"/>
        <w:rPr>
          <w:rFonts w:ascii="Arial" w:hAnsi="Arial" w:cs="Arial"/>
          <w:color w:val="000000" w:themeColor="text1"/>
          <w:sz w:val="22"/>
          <w:szCs w:val="22"/>
        </w:rPr>
      </w:pPr>
      <w:r w:rsidRPr="000D7EA2">
        <w:rPr>
          <w:rFonts w:ascii="Arial" w:hAnsi="Arial" w:cs="Arial"/>
          <w:color w:val="000000" w:themeColor="text1"/>
          <w:sz w:val="22"/>
          <w:szCs w:val="22"/>
        </w:rPr>
        <w:t>REASON: In the interests of safeguarding the privacy and residential amenity of neighbouring occupiers</w:t>
      </w:r>
      <w:r w:rsidR="00215363">
        <w:rPr>
          <w:rFonts w:ascii="Arial" w:hAnsi="Arial" w:cs="Arial"/>
          <w:color w:val="000000" w:themeColor="text1"/>
          <w:sz w:val="22"/>
          <w:szCs w:val="22"/>
        </w:rPr>
        <w:t>.</w:t>
      </w:r>
    </w:p>
    <w:sectPr w:rsidR="00FC24DA" w:rsidRPr="000D7EA2"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02EE"/>
    <w:rsid w:val="0006177E"/>
    <w:rsid w:val="00062A40"/>
    <w:rsid w:val="000639E6"/>
    <w:rsid w:val="0007364A"/>
    <w:rsid w:val="00075C07"/>
    <w:rsid w:val="00081734"/>
    <w:rsid w:val="0008663E"/>
    <w:rsid w:val="00087823"/>
    <w:rsid w:val="000B0456"/>
    <w:rsid w:val="000B3CAF"/>
    <w:rsid w:val="000B4D97"/>
    <w:rsid w:val="000C6EF7"/>
    <w:rsid w:val="000D01DA"/>
    <w:rsid w:val="000D0E39"/>
    <w:rsid w:val="000D7EA2"/>
    <w:rsid w:val="000E3596"/>
    <w:rsid w:val="000E38BA"/>
    <w:rsid w:val="000F1D22"/>
    <w:rsid w:val="001003C2"/>
    <w:rsid w:val="00110FD1"/>
    <w:rsid w:val="00113A8D"/>
    <w:rsid w:val="0012283E"/>
    <w:rsid w:val="0012332F"/>
    <w:rsid w:val="001251AE"/>
    <w:rsid w:val="00131B65"/>
    <w:rsid w:val="001424D4"/>
    <w:rsid w:val="0015620C"/>
    <w:rsid w:val="00157E20"/>
    <w:rsid w:val="001602BB"/>
    <w:rsid w:val="0016397C"/>
    <w:rsid w:val="00164DC7"/>
    <w:rsid w:val="00172295"/>
    <w:rsid w:val="0017440C"/>
    <w:rsid w:val="0018465E"/>
    <w:rsid w:val="001929B3"/>
    <w:rsid w:val="00193EC7"/>
    <w:rsid w:val="001A0A2E"/>
    <w:rsid w:val="001A0F50"/>
    <w:rsid w:val="001A14B2"/>
    <w:rsid w:val="001B17F8"/>
    <w:rsid w:val="001B2AF4"/>
    <w:rsid w:val="001C4291"/>
    <w:rsid w:val="001C6149"/>
    <w:rsid w:val="001C770A"/>
    <w:rsid w:val="001D3680"/>
    <w:rsid w:val="001E210B"/>
    <w:rsid w:val="001E6A50"/>
    <w:rsid w:val="001F52AF"/>
    <w:rsid w:val="00212E9D"/>
    <w:rsid w:val="00215363"/>
    <w:rsid w:val="0021580E"/>
    <w:rsid w:val="00215BB1"/>
    <w:rsid w:val="00216EBF"/>
    <w:rsid w:val="00220396"/>
    <w:rsid w:val="002238D3"/>
    <w:rsid w:val="002275ED"/>
    <w:rsid w:val="00227942"/>
    <w:rsid w:val="002346D2"/>
    <w:rsid w:val="0023524B"/>
    <w:rsid w:val="00237835"/>
    <w:rsid w:val="0024344D"/>
    <w:rsid w:val="0024516A"/>
    <w:rsid w:val="00245EA8"/>
    <w:rsid w:val="00247662"/>
    <w:rsid w:val="00251FBB"/>
    <w:rsid w:val="00255042"/>
    <w:rsid w:val="002574DF"/>
    <w:rsid w:val="00262F2E"/>
    <w:rsid w:val="002755A2"/>
    <w:rsid w:val="0028102A"/>
    <w:rsid w:val="002A0353"/>
    <w:rsid w:val="002A1715"/>
    <w:rsid w:val="002A73D1"/>
    <w:rsid w:val="002B2380"/>
    <w:rsid w:val="002B5192"/>
    <w:rsid w:val="002C4607"/>
    <w:rsid w:val="002C650A"/>
    <w:rsid w:val="002E02F9"/>
    <w:rsid w:val="002E6332"/>
    <w:rsid w:val="002E6872"/>
    <w:rsid w:val="002F203B"/>
    <w:rsid w:val="002F4101"/>
    <w:rsid w:val="002F53F9"/>
    <w:rsid w:val="00303570"/>
    <w:rsid w:val="00304DA1"/>
    <w:rsid w:val="00306089"/>
    <w:rsid w:val="00313982"/>
    <w:rsid w:val="003240DB"/>
    <w:rsid w:val="00327F1B"/>
    <w:rsid w:val="003343FA"/>
    <w:rsid w:val="003354E7"/>
    <w:rsid w:val="0033669A"/>
    <w:rsid w:val="00341989"/>
    <w:rsid w:val="0035771C"/>
    <w:rsid w:val="00363BD7"/>
    <w:rsid w:val="0036664A"/>
    <w:rsid w:val="00371825"/>
    <w:rsid w:val="00371AAC"/>
    <w:rsid w:val="00383F2A"/>
    <w:rsid w:val="00387981"/>
    <w:rsid w:val="00393865"/>
    <w:rsid w:val="003A1308"/>
    <w:rsid w:val="003A3155"/>
    <w:rsid w:val="003A4CFF"/>
    <w:rsid w:val="003A7F6C"/>
    <w:rsid w:val="003B136F"/>
    <w:rsid w:val="003B26C9"/>
    <w:rsid w:val="003B4330"/>
    <w:rsid w:val="003B4451"/>
    <w:rsid w:val="003C3FF7"/>
    <w:rsid w:val="003C76C7"/>
    <w:rsid w:val="003C7844"/>
    <w:rsid w:val="003D015A"/>
    <w:rsid w:val="003D1E9D"/>
    <w:rsid w:val="003D5C26"/>
    <w:rsid w:val="003E43F6"/>
    <w:rsid w:val="00403FEB"/>
    <w:rsid w:val="00406E82"/>
    <w:rsid w:val="0041549C"/>
    <w:rsid w:val="00417846"/>
    <w:rsid w:val="00421DC5"/>
    <w:rsid w:val="004226F2"/>
    <w:rsid w:val="004228A8"/>
    <w:rsid w:val="00430EA2"/>
    <w:rsid w:val="004330EA"/>
    <w:rsid w:val="00434323"/>
    <w:rsid w:val="00436238"/>
    <w:rsid w:val="00441C5A"/>
    <w:rsid w:val="004434AB"/>
    <w:rsid w:val="0045663E"/>
    <w:rsid w:val="00460780"/>
    <w:rsid w:val="00461560"/>
    <w:rsid w:val="00462077"/>
    <w:rsid w:val="00462BEF"/>
    <w:rsid w:val="004631CA"/>
    <w:rsid w:val="0046381B"/>
    <w:rsid w:val="0046523C"/>
    <w:rsid w:val="004671CC"/>
    <w:rsid w:val="00475ACD"/>
    <w:rsid w:val="00475FE9"/>
    <w:rsid w:val="0048452F"/>
    <w:rsid w:val="00485212"/>
    <w:rsid w:val="004871E9"/>
    <w:rsid w:val="004873D2"/>
    <w:rsid w:val="00491172"/>
    <w:rsid w:val="00492EB4"/>
    <w:rsid w:val="00495031"/>
    <w:rsid w:val="00495945"/>
    <w:rsid w:val="004A0AE5"/>
    <w:rsid w:val="004A0B45"/>
    <w:rsid w:val="004A59AA"/>
    <w:rsid w:val="004B0D89"/>
    <w:rsid w:val="004D1B58"/>
    <w:rsid w:val="004D20B5"/>
    <w:rsid w:val="004D29B9"/>
    <w:rsid w:val="004E5366"/>
    <w:rsid w:val="004E5947"/>
    <w:rsid w:val="004E7A6C"/>
    <w:rsid w:val="004F26D5"/>
    <w:rsid w:val="004F57B4"/>
    <w:rsid w:val="004F71A4"/>
    <w:rsid w:val="0050043D"/>
    <w:rsid w:val="0050269B"/>
    <w:rsid w:val="0051231F"/>
    <w:rsid w:val="0051622F"/>
    <w:rsid w:val="005200BE"/>
    <w:rsid w:val="005214B8"/>
    <w:rsid w:val="00522A6A"/>
    <w:rsid w:val="0053334B"/>
    <w:rsid w:val="0053408D"/>
    <w:rsid w:val="00540D8E"/>
    <w:rsid w:val="005435B4"/>
    <w:rsid w:val="005512EF"/>
    <w:rsid w:val="00552306"/>
    <w:rsid w:val="00554E40"/>
    <w:rsid w:val="00556B5B"/>
    <w:rsid w:val="00557B1E"/>
    <w:rsid w:val="00561AE7"/>
    <w:rsid w:val="0056508E"/>
    <w:rsid w:val="00580DA8"/>
    <w:rsid w:val="00594C14"/>
    <w:rsid w:val="005A3D8E"/>
    <w:rsid w:val="005A5A00"/>
    <w:rsid w:val="005A6526"/>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1D0C"/>
    <w:rsid w:val="00614357"/>
    <w:rsid w:val="0062080E"/>
    <w:rsid w:val="006325D0"/>
    <w:rsid w:val="00634A99"/>
    <w:rsid w:val="006361C6"/>
    <w:rsid w:val="00640499"/>
    <w:rsid w:val="0064099D"/>
    <w:rsid w:val="0064468A"/>
    <w:rsid w:val="006475CE"/>
    <w:rsid w:val="00650186"/>
    <w:rsid w:val="006514A5"/>
    <w:rsid w:val="00652B96"/>
    <w:rsid w:val="00653201"/>
    <w:rsid w:val="00656C91"/>
    <w:rsid w:val="006646C2"/>
    <w:rsid w:val="0067097F"/>
    <w:rsid w:val="006765B6"/>
    <w:rsid w:val="00685272"/>
    <w:rsid w:val="00687041"/>
    <w:rsid w:val="00693311"/>
    <w:rsid w:val="00694DDA"/>
    <w:rsid w:val="006968E4"/>
    <w:rsid w:val="00696DB1"/>
    <w:rsid w:val="006A046D"/>
    <w:rsid w:val="006A676B"/>
    <w:rsid w:val="006B4ED4"/>
    <w:rsid w:val="006C0878"/>
    <w:rsid w:val="006C1101"/>
    <w:rsid w:val="006C3E6E"/>
    <w:rsid w:val="006C68D8"/>
    <w:rsid w:val="006D2DAA"/>
    <w:rsid w:val="006D31A3"/>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51CD6"/>
    <w:rsid w:val="0076074E"/>
    <w:rsid w:val="00765813"/>
    <w:rsid w:val="00773C1F"/>
    <w:rsid w:val="00774BF0"/>
    <w:rsid w:val="00777F61"/>
    <w:rsid w:val="0078630E"/>
    <w:rsid w:val="00794688"/>
    <w:rsid w:val="007A3D0E"/>
    <w:rsid w:val="007A5705"/>
    <w:rsid w:val="007A61A7"/>
    <w:rsid w:val="007B2237"/>
    <w:rsid w:val="007B2589"/>
    <w:rsid w:val="007B3765"/>
    <w:rsid w:val="007C4434"/>
    <w:rsid w:val="007C5693"/>
    <w:rsid w:val="007D167B"/>
    <w:rsid w:val="007D69FB"/>
    <w:rsid w:val="007E0B02"/>
    <w:rsid w:val="007E19A1"/>
    <w:rsid w:val="007F204C"/>
    <w:rsid w:val="0080394A"/>
    <w:rsid w:val="00812AF8"/>
    <w:rsid w:val="0081484B"/>
    <w:rsid w:val="00820464"/>
    <w:rsid w:val="00827534"/>
    <w:rsid w:val="00827906"/>
    <w:rsid w:val="00831793"/>
    <w:rsid w:val="00841628"/>
    <w:rsid w:val="00856BF8"/>
    <w:rsid w:val="008610E2"/>
    <w:rsid w:val="0086349B"/>
    <w:rsid w:val="0086459F"/>
    <w:rsid w:val="00871565"/>
    <w:rsid w:val="00874E1A"/>
    <w:rsid w:val="00880ECF"/>
    <w:rsid w:val="0088368E"/>
    <w:rsid w:val="00890257"/>
    <w:rsid w:val="0089746E"/>
    <w:rsid w:val="0089794B"/>
    <w:rsid w:val="008A6179"/>
    <w:rsid w:val="008B1BB2"/>
    <w:rsid w:val="008B2186"/>
    <w:rsid w:val="008B6D55"/>
    <w:rsid w:val="008B781F"/>
    <w:rsid w:val="008C2CBB"/>
    <w:rsid w:val="008D5791"/>
    <w:rsid w:val="008D6C52"/>
    <w:rsid w:val="008E5C53"/>
    <w:rsid w:val="008F1CFF"/>
    <w:rsid w:val="00905C36"/>
    <w:rsid w:val="00911C57"/>
    <w:rsid w:val="00914E93"/>
    <w:rsid w:val="00921213"/>
    <w:rsid w:val="00921461"/>
    <w:rsid w:val="00937BE7"/>
    <w:rsid w:val="009403D1"/>
    <w:rsid w:val="00944708"/>
    <w:rsid w:val="00946DDB"/>
    <w:rsid w:val="00960475"/>
    <w:rsid w:val="00963623"/>
    <w:rsid w:val="009753A2"/>
    <w:rsid w:val="0098148F"/>
    <w:rsid w:val="00982397"/>
    <w:rsid w:val="00982730"/>
    <w:rsid w:val="00982EB1"/>
    <w:rsid w:val="00986598"/>
    <w:rsid w:val="00990E62"/>
    <w:rsid w:val="00995309"/>
    <w:rsid w:val="009962D2"/>
    <w:rsid w:val="009969D7"/>
    <w:rsid w:val="00997306"/>
    <w:rsid w:val="009A5A55"/>
    <w:rsid w:val="009B76D6"/>
    <w:rsid w:val="009C0B7F"/>
    <w:rsid w:val="009C61A0"/>
    <w:rsid w:val="009C68FD"/>
    <w:rsid w:val="009D2F03"/>
    <w:rsid w:val="009D621E"/>
    <w:rsid w:val="009E223C"/>
    <w:rsid w:val="009E23EC"/>
    <w:rsid w:val="009E6324"/>
    <w:rsid w:val="00A231B5"/>
    <w:rsid w:val="00A30B7E"/>
    <w:rsid w:val="00A349B0"/>
    <w:rsid w:val="00A37686"/>
    <w:rsid w:val="00A37F93"/>
    <w:rsid w:val="00A418CE"/>
    <w:rsid w:val="00A42C19"/>
    <w:rsid w:val="00A4573C"/>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E5C95"/>
    <w:rsid w:val="00B125B4"/>
    <w:rsid w:val="00B149EB"/>
    <w:rsid w:val="00B15AD7"/>
    <w:rsid w:val="00B169D2"/>
    <w:rsid w:val="00B16AEF"/>
    <w:rsid w:val="00B20C1F"/>
    <w:rsid w:val="00B21D27"/>
    <w:rsid w:val="00B23B18"/>
    <w:rsid w:val="00B27418"/>
    <w:rsid w:val="00B31880"/>
    <w:rsid w:val="00B40BA3"/>
    <w:rsid w:val="00B41FA9"/>
    <w:rsid w:val="00B42171"/>
    <w:rsid w:val="00B47DE8"/>
    <w:rsid w:val="00B53A9C"/>
    <w:rsid w:val="00B5556F"/>
    <w:rsid w:val="00B62AC6"/>
    <w:rsid w:val="00B812E0"/>
    <w:rsid w:val="00B86414"/>
    <w:rsid w:val="00B86CE9"/>
    <w:rsid w:val="00BA0474"/>
    <w:rsid w:val="00BA4E43"/>
    <w:rsid w:val="00BA602A"/>
    <w:rsid w:val="00BB0CA0"/>
    <w:rsid w:val="00BB2CE7"/>
    <w:rsid w:val="00BB5ED0"/>
    <w:rsid w:val="00BC39D3"/>
    <w:rsid w:val="00BC78BB"/>
    <w:rsid w:val="00BD07DC"/>
    <w:rsid w:val="00BD3BD3"/>
    <w:rsid w:val="00BD44C1"/>
    <w:rsid w:val="00BD5CE2"/>
    <w:rsid w:val="00BE04AB"/>
    <w:rsid w:val="00BE37B6"/>
    <w:rsid w:val="00BE644A"/>
    <w:rsid w:val="00BF0BA3"/>
    <w:rsid w:val="00BF4374"/>
    <w:rsid w:val="00BF52C1"/>
    <w:rsid w:val="00C0213E"/>
    <w:rsid w:val="00C02D65"/>
    <w:rsid w:val="00C11258"/>
    <w:rsid w:val="00C25413"/>
    <w:rsid w:val="00C328B6"/>
    <w:rsid w:val="00C35C57"/>
    <w:rsid w:val="00C44B5F"/>
    <w:rsid w:val="00C53B6A"/>
    <w:rsid w:val="00C563CE"/>
    <w:rsid w:val="00C56682"/>
    <w:rsid w:val="00C568B6"/>
    <w:rsid w:val="00C63478"/>
    <w:rsid w:val="00C64924"/>
    <w:rsid w:val="00C664A5"/>
    <w:rsid w:val="00C71367"/>
    <w:rsid w:val="00C72D5A"/>
    <w:rsid w:val="00C74FAD"/>
    <w:rsid w:val="00C77C50"/>
    <w:rsid w:val="00C848E4"/>
    <w:rsid w:val="00C94CB8"/>
    <w:rsid w:val="00CB502A"/>
    <w:rsid w:val="00CC03E4"/>
    <w:rsid w:val="00CC144B"/>
    <w:rsid w:val="00CC6665"/>
    <w:rsid w:val="00CD6B35"/>
    <w:rsid w:val="00CE5FC4"/>
    <w:rsid w:val="00CF554E"/>
    <w:rsid w:val="00D00163"/>
    <w:rsid w:val="00D077DE"/>
    <w:rsid w:val="00D132AC"/>
    <w:rsid w:val="00D14819"/>
    <w:rsid w:val="00D1724C"/>
    <w:rsid w:val="00D21893"/>
    <w:rsid w:val="00D230F8"/>
    <w:rsid w:val="00D26887"/>
    <w:rsid w:val="00D302CF"/>
    <w:rsid w:val="00D3409E"/>
    <w:rsid w:val="00D349DE"/>
    <w:rsid w:val="00D34D83"/>
    <w:rsid w:val="00D40240"/>
    <w:rsid w:val="00D40959"/>
    <w:rsid w:val="00D422AF"/>
    <w:rsid w:val="00D61D82"/>
    <w:rsid w:val="00D66197"/>
    <w:rsid w:val="00D70231"/>
    <w:rsid w:val="00D8351D"/>
    <w:rsid w:val="00D8452E"/>
    <w:rsid w:val="00DA037B"/>
    <w:rsid w:val="00DA5825"/>
    <w:rsid w:val="00DC3C0F"/>
    <w:rsid w:val="00DC4C05"/>
    <w:rsid w:val="00DC4F3E"/>
    <w:rsid w:val="00DC572B"/>
    <w:rsid w:val="00DC64E7"/>
    <w:rsid w:val="00DD29A1"/>
    <w:rsid w:val="00DD4C53"/>
    <w:rsid w:val="00DE28C3"/>
    <w:rsid w:val="00DE34F6"/>
    <w:rsid w:val="00DE745B"/>
    <w:rsid w:val="00DE7788"/>
    <w:rsid w:val="00DF4CEC"/>
    <w:rsid w:val="00E011E0"/>
    <w:rsid w:val="00E16807"/>
    <w:rsid w:val="00E179DC"/>
    <w:rsid w:val="00E362CA"/>
    <w:rsid w:val="00E43B49"/>
    <w:rsid w:val="00E55D48"/>
    <w:rsid w:val="00E600A1"/>
    <w:rsid w:val="00E64624"/>
    <w:rsid w:val="00E746AD"/>
    <w:rsid w:val="00E747FF"/>
    <w:rsid w:val="00E852D5"/>
    <w:rsid w:val="00E85E15"/>
    <w:rsid w:val="00E93D2E"/>
    <w:rsid w:val="00E94629"/>
    <w:rsid w:val="00EA0C6C"/>
    <w:rsid w:val="00EB3DCC"/>
    <w:rsid w:val="00EC249D"/>
    <w:rsid w:val="00EC61CC"/>
    <w:rsid w:val="00ED180D"/>
    <w:rsid w:val="00EE28CA"/>
    <w:rsid w:val="00EE3BF0"/>
    <w:rsid w:val="00EF01B2"/>
    <w:rsid w:val="00EF049C"/>
    <w:rsid w:val="00EF4944"/>
    <w:rsid w:val="00EF556E"/>
    <w:rsid w:val="00EF7DEB"/>
    <w:rsid w:val="00F064EE"/>
    <w:rsid w:val="00F07090"/>
    <w:rsid w:val="00F168AD"/>
    <w:rsid w:val="00F1756F"/>
    <w:rsid w:val="00F21CAC"/>
    <w:rsid w:val="00F221E9"/>
    <w:rsid w:val="00F23765"/>
    <w:rsid w:val="00F35E07"/>
    <w:rsid w:val="00F40F94"/>
    <w:rsid w:val="00F45C7C"/>
    <w:rsid w:val="00F5017A"/>
    <w:rsid w:val="00F60F64"/>
    <w:rsid w:val="00F61A37"/>
    <w:rsid w:val="00F703B8"/>
    <w:rsid w:val="00F8024A"/>
    <w:rsid w:val="00F80B6C"/>
    <w:rsid w:val="00F83D0A"/>
    <w:rsid w:val="00F86950"/>
    <w:rsid w:val="00F86A39"/>
    <w:rsid w:val="00F95080"/>
    <w:rsid w:val="00F96130"/>
    <w:rsid w:val="00F9784D"/>
    <w:rsid w:val="00FA1A62"/>
    <w:rsid w:val="00FB1E29"/>
    <w:rsid w:val="00FB21BA"/>
    <w:rsid w:val="00FC24DA"/>
    <w:rsid w:val="00FD123E"/>
    <w:rsid w:val="00FD4D99"/>
    <w:rsid w:val="00FD4F9F"/>
    <w:rsid w:val="00FD706E"/>
    <w:rsid w:val="00FE067E"/>
    <w:rsid w:val="00FE0FB2"/>
    <w:rsid w:val="00FE655C"/>
    <w:rsid w:val="00FF0BCE"/>
    <w:rsid w:val="00FF24AA"/>
    <w:rsid w:val="00FF2C7F"/>
    <w:rsid w:val="00FF6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14</TotalTime>
  <Pages>7</Pages>
  <Words>2161</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9</cp:revision>
  <cp:lastPrinted>2007-12-19T10:51:00Z</cp:lastPrinted>
  <dcterms:created xsi:type="dcterms:W3CDTF">2026-05-13T10:58:00Z</dcterms:created>
  <dcterms:modified xsi:type="dcterms:W3CDTF">2026-05-13T11:10:00Z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008fcaef-5869-40f8-913f-40566d1a1979</vt:lpwstr>
  </property>
</Properties>
</file>