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51D30" w14:textId="77777777" w:rsidR="009439E5" w:rsidRDefault="00EF4AEC">
      <w:pPr>
        <w:pStyle w:val="Heading1"/>
      </w:pPr>
      <w:r>
        <w:t>Nutrient Neutrality Statement – River Avon SAC</w:t>
      </w:r>
    </w:p>
    <w:p w14:paraId="333D9720" w14:textId="77777777" w:rsidR="009439E5" w:rsidRDefault="00EF4AEC">
      <w:pPr>
        <w:pStyle w:val="Heading2"/>
      </w:pPr>
      <w:r>
        <w:t>Site Details</w:t>
      </w:r>
    </w:p>
    <w:p w14:paraId="5CDB748D" w14:textId="77777777" w:rsidR="009439E5" w:rsidRDefault="00EF4AEC">
      <w:r>
        <w:t>Application Address: 48 Empire Road, Salisbury, Wiltshire</w:t>
      </w:r>
    </w:p>
    <w:p w14:paraId="6A131B76" w14:textId="77777777" w:rsidR="009439E5" w:rsidRDefault="00EF4AEC">
      <w:r>
        <w:t>Planning Authority: Wiltshire Council</w:t>
      </w:r>
    </w:p>
    <w:p w14:paraId="7A1180B0" w14:textId="77777777" w:rsidR="009439E5" w:rsidRDefault="00EF4AEC">
      <w:r>
        <w:t>Proposed Development: Construction of one additional 1‑bedroom dwelling within the curtilage of the existing residential property.</w:t>
      </w:r>
    </w:p>
    <w:p w14:paraId="0C82E5B0" w14:textId="77777777" w:rsidR="009439E5" w:rsidRDefault="00EF4AEC">
      <w:r>
        <w:t>Existing Development: Single residential dwelling with associated residential garden.</w:t>
      </w:r>
    </w:p>
    <w:p w14:paraId="14B24D42" w14:textId="77777777" w:rsidR="009439E5" w:rsidRDefault="00EF4AEC">
      <w:r>
        <w:t>Site Area: 0.041 hectares</w:t>
      </w:r>
    </w:p>
    <w:p w14:paraId="174A98EC" w14:textId="77777777" w:rsidR="009439E5" w:rsidRDefault="00EF4AEC">
      <w:pPr>
        <w:pStyle w:val="Heading2"/>
      </w:pPr>
      <w:r>
        <w:t>Policy Context</w:t>
      </w:r>
    </w:p>
    <w:p w14:paraId="23D95533" w14:textId="77777777" w:rsidR="009439E5" w:rsidRDefault="00EF4AEC">
      <w:r>
        <w:t>The application site lies within the hydrological catchment of the River Avon SAC. Natural England has advised that additional development within the catchment which increases overnight accommodation can increase phosphorus loading to the SAC via wastewater discharges. Development must therefore demonstrate nutrient neutrality under the Habitats Regulations.</w:t>
      </w:r>
    </w:p>
    <w:p w14:paraId="63A65998" w14:textId="77777777" w:rsidR="009439E5" w:rsidRDefault="00EF4AEC">
      <w:r>
        <w:t>Residential development that increases overnight stays must calculate the phosphorus budget and demonstrate no net increase in phosphorus entering the catchment unless appropriate mitigation is secured.</w:t>
      </w:r>
    </w:p>
    <w:p w14:paraId="7FC814C6" w14:textId="77777777" w:rsidR="009439E5" w:rsidRDefault="00EF4AEC">
      <w:pPr>
        <w:pStyle w:val="Heading2"/>
      </w:pPr>
      <w:r>
        <w:t>Development Description</w:t>
      </w:r>
    </w:p>
    <w:p w14:paraId="39D1FA19" w14:textId="77777777" w:rsidR="009439E5" w:rsidRDefault="00EF4AEC">
      <w:r>
        <w:t>The proposal comprises the construction of one 1‑bedroom dwelling within the residential curtilage of the existing property.</w:t>
      </w:r>
    </w:p>
    <w:p w14:paraId="477468D3" w14:textId="77777777" w:rsidR="009439E5" w:rsidRDefault="00EF4AEC">
      <w:r>
        <w:t>Existing dwellings: 1</w:t>
      </w:r>
      <w:r>
        <w:br/>
        <w:t>Proposed dwellings: 2</w:t>
      </w:r>
      <w:r>
        <w:br/>
        <w:t>Net increase: 1 dwelling</w:t>
      </w:r>
    </w:p>
    <w:p w14:paraId="57E63507" w14:textId="77777777" w:rsidR="009439E5" w:rsidRDefault="00EF4AEC">
      <w:pPr>
        <w:pStyle w:val="Heading2"/>
      </w:pPr>
      <w:r>
        <w:t>Wastewater Treatment</w:t>
      </w:r>
    </w:p>
    <w:p w14:paraId="358D273C" w14:textId="77777777" w:rsidR="009439E5" w:rsidRDefault="00EF4AEC">
      <w:r>
        <w:t>The development will connect to the existing mains sewer network serving Salisbury. Wastewater from the site is assumed to discharge to the wastewater treatment works serving Salisbury and ultimately into the River Avon catchment.</w:t>
      </w:r>
    </w:p>
    <w:p w14:paraId="0326EC89" w14:textId="77777777" w:rsidR="009439E5" w:rsidRDefault="00EF4AEC">
      <w:pPr>
        <w:pStyle w:val="Heading2"/>
      </w:pPr>
      <w:r>
        <w:t>Population Increase</w:t>
      </w:r>
    </w:p>
    <w:p w14:paraId="074CFF0B" w14:textId="77777777" w:rsidR="009439E5" w:rsidRDefault="00EF4AEC">
      <w:r>
        <w:t>Natural England occupancy assumption for a 1‑bedroom dwelling: 1.4 persons</w:t>
      </w:r>
    </w:p>
    <w:p w14:paraId="2FE0F01D" w14:textId="77777777" w:rsidR="009439E5" w:rsidRDefault="00EF4AEC">
      <w:r>
        <w:t>Additional population:</w:t>
      </w:r>
      <w:r>
        <w:br/>
        <w:t>1 dwelling × 1.4 persons = 1.4 residents</w:t>
      </w:r>
    </w:p>
    <w:p w14:paraId="63684BF6" w14:textId="77777777" w:rsidR="009439E5" w:rsidRDefault="00EF4AEC">
      <w:pPr>
        <w:pStyle w:val="Heading2"/>
      </w:pPr>
      <w:r>
        <w:lastRenderedPageBreak/>
        <w:t>Phosphorus Budget Calculation</w:t>
      </w:r>
    </w:p>
    <w:p w14:paraId="3336F93E" w14:textId="77777777" w:rsidR="009439E5" w:rsidRDefault="00EF4AEC">
      <w:r>
        <w:t>Phosphorus generation per person per year: 0.6 kg</w:t>
      </w:r>
    </w:p>
    <w:p w14:paraId="5F048BA6" w14:textId="77777777" w:rsidR="009439E5" w:rsidRDefault="00EF4AEC">
      <w:r>
        <w:t>Wastewater phosphorus generated:</w:t>
      </w:r>
      <w:r>
        <w:br/>
        <w:t>1.4 persons × 0.6 kg = 0.84 kg P/year</w:t>
      </w:r>
    </w:p>
    <w:p w14:paraId="4C6E4E20" w14:textId="77777777" w:rsidR="009439E5" w:rsidRDefault="00EF4AEC">
      <w:r>
        <w:t>Wastewater treatment removal efficiency (assumed): 60%</w:t>
      </w:r>
    </w:p>
    <w:p w14:paraId="3EB7EDE7" w14:textId="77777777" w:rsidR="009439E5" w:rsidRDefault="00EF4AEC">
      <w:r>
        <w:t>Remaining phosphorus entering catchment:</w:t>
      </w:r>
      <w:r>
        <w:br/>
        <w:t>0.84 × 0.40 = 0.34 kg P/year</w:t>
      </w:r>
    </w:p>
    <w:p w14:paraId="312E8D50" w14:textId="77777777" w:rsidR="009439E5" w:rsidRDefault="00EF4AEC">
      <w:pPr>
        <w:pStyle w:val="Heading2"/>
      </w:pPr>
      <w:r>
        <w:t>Existing Land Use</w:t>
      </w:r>
    </w:p>
    <w:p w14:paraId="61EFFA18" w14:textId="77777777" w:rsidR="009439E5" w:rsidRDefault="00EF4AEC">
      <w:r>
        <w:t>Existing site use: Residential dwelling and garden</w:t>
      </w:r>
    </w:p>
    <w:p w14:paraId="4E5A6839" w14:textId="77777777" w:rsidR="009439E5" w:rsidRDefault="00EF4AEC">
      <w:r>
        <w:t>Typical residential phosphorus export coefficient: 0.8 kg/ha/year</w:t>
      </w:r>
    </w:p>
    <w:p w14:paraId="7D5D360F" w14:textId="77777777" w:rsidR="009439E5" w:rsidRDefault="00EF4AEC">
      <w:r>
        <w:t>Existing export:</w:t>
      </w:r>
      <w:r>
        <w:br/>
        <w:t>0.041 ha × 0.8 = 0.03 kg P/year</w:t>
      </w:r>
    </w:p>
    <w:p w14:paraId="7BEFD81A" w14:textId="77777777" w:rsidR="009439E5" w:rsidRDefault="00EF4AEC">
      <w:pPr>
        <w:pStyle w:val="Heading2"/>
      </w:pPr>
      <w:r>
        <w:t>Proposed Land Use</w:t>
      </w:r>
    </w:p>
    <w:p w14:paraId="3B426AFC" w14:textId="77777777" w:rsidR="009439E5" w:rsidRDefault="00EF4AEC">
      <w:r>
        <w:t>The site remains residential garden land following development.</w:t>
      </w:r>
    </w:p>
    <w:p w14:paraId="7E0F2407" w14:textId="77777777" w:rsidR="009439E5" w:rsidRDefault="00EF4AEC">
      <w:r>
        <w:t>Post‑development export:</w:t>
      </w:r>
      <w:r>
        <w:br/>
      </w:r>
      <w:r>
        <w:t>0.041 ha × 0.8 = 0.03 kg P/year</w:t>
      </w:r>
    </w:p>
    <w:p w14:paraId="25E6229F" w14:textId="77777777" w:rsidR="009439E5" w:rsidRDefault="00EF4AEC">
      <w:r>
        <w:t>Land use change contribution: 0 kg P/year</w:t>
      </w:r>
    </w:p>
    <w:p w14:paraId="08CAEDD4" w14:textId="77777777" w:rsidR="009439E5" w:rsidRDefault="00EF4AEC">
      <w:pPr>
        <w:pStyle w:val="Heading2"/>
      </w:pPr>
      <w:r>
        <w:t>Total Phosphorus Budget</w:t>
      </w:r>
    </w:p>
    <w:p w14:paraId="6C129D1A" w14:textId="77777777" w:rsidR="009439E5" w:rsidRDefault="00EF4AEC">
      <w:r>
        <w:t>Wastewater from new dwelling: 0.34 kg P/year</w:t>
      </w:r>
      <w:r>
        <w:br/>
        <w:t>Land use change: 0.00 kg P/year</w:t>
      </w:r>
    </w:p>
    <w:p w14:paraId="2121EC67" w14:textId="77777777" w:rsidR="009439E5" w:rsidRDefault="00EF4AEC">
      <w:r>
        <w:t>Net increase: 0.34 kg P/year</w:t>
      </w:r>
    </w:p>
    <w:p w14:paraId="2D76EBEF" w14:textId="77777777" w:rsidR="009439E5" w:rsidRDefault="00EF4AEC">
      <w:pPr>
        <w:pStyle w:val="Heading2"/>
      </w:pPr>
      <w:r>
        <w:t>Nutrient Neutrality Conclusion</w:t>
      </w:r>
    </w:p>
    <w:p w14:paraId="4645F25C" w14:textId="77777777" w:rsidR="009439E5" w:rsidRDefault="00EF4AEC">
      <w:r>
        <w:t>The development results in a net increase of approximately 0.34 kg phosphorus per year entering the River Avon catchment.</w:t>
      </w:r>
    </w:p>
    <w:p w14:paraId="046F98A7" w14:textId="77777777" w:rsidR="009439E5" w:rsidRDefault="00EF4AEC">
      <w:r>
        <w:t>Without mitigation the proposal is not phosphate neutral. Mitigation equivalent to 0.34 kg P/year is therefore required.</w:t>
      </w:r>
    </w:p>
    <w:p w14:paraId="4840015B" w14:textId="77777777" w:rsidR="009439E5" w:rsidRDefault="00EF4AEC">
      <w:pPr>
        <w:pStyle w:val="Heading2"/>
      </w:pPr>
      <w:r>
        <w:t>Proposed Mitigation Strategy</w:t>
      </w:r>
    </w:p>
    <w:p w14:paraId="5A80CCDC" w14:textId="77777777" w:rsidR="009439E5" w:rsidRDefault="00EF4AEC">
      <w:r>
        <w:t>Mitigation can be secured through:</w:t>
      </w:r>
      <w:r>
        <w:br/>
        <w:t>• Purchase of phosphate mitigation credits</w:t>
      </w:r>
      <w:r>
        <w:br/>
        <w:t>• Third‑party mitigation schemes</w:t>
      </w:r>
      <w:r>
        <w:br/>
        <w:t>• Land use change delivering phosphorus reduction</w:t>
      </w:r>
    </w:p>
    <w:p w14:paraId="1A3FF4BB" w14:textId="77777777" w:rsidR="009439E5" w:rsidRDefault="00EF4AEC">
      <w:r>
        <w:lastRenderedPageBreak/>
        <w:t>Mitigation would typically be secured through a Section 106 agreement or legal undertaking to ensure delivery in perpetuity.</w:t>
      </w:r>
    </w:p>
    <w:p w14:paraId="229C777D" w14:textId="77777777" w:rsidR="009439E5" w:rsidRDefault="00EF4AEC">
      <w:pPr>
        <w:pStyle w:val="Heading2"/>
      </w:pPr>
      <w:r>
        <w:t>Summary</w:t>
      </w:r>
    </w:p>
    <w:p w14:paraId="67A0A9CF" w14:textId="77777777" w:rsidR="009439E5" w:rsidRDefault="00EF4AEC">
      <w:r>
        <w:t>Existing dwellings: 1</w:t>
      </w:r>
      <w:r>
        <w:br/>
        <w:t>Proposed dwellings: 2</w:t>
      </w:r>
      <w:r>
        <w:br/>
        <w:t>Net increase: 1</w:t>
      </w:r>
      <w:r>
        <w:br/>
        <w:t>Additional residents: 1.4</w:t>
      </w:r>
      <w:r>
        <w:br/>
        <w:t>Phosphorus generated: 0.34 kg/year</w:t>
      </w:r>
      <w:r>
        <w:br/>
        <w:t>Mitigation required: 0.34 kg/year</w:t>
      </w:r>
    </w:p>
    <w:p w14:paraId="199F5B45" w14:textId="77777777" w:rsidR="009439E5" w:rsidRDefault="00EF4AEC">
      <w:r>
        <w:t>Conclusion: With appropriate mitigation secured, the development can achieve nutrient neutrality and comply with the Habitats Regulations for the River Avon SAC.</w:t>
      </w:r>
    </w:p>
    <w:sectPr w:rsidR="009439E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6510479">
    <w:abstractNumId w:val="8"/>
  </w:num>
  <w:num w:numId="2" w16cid:durableId="62991127">
    <w:abstractNumId w:val="6"/>
  </w:num>
  <w:num w:numId="3" w16cid:durableId="2016104336">
    <w:abstractNumId w:val="5"/>
  </w:num>
  <w:num w:numId="4" w16cid:durableId="1676959949">
    <w:abstractNumId w:val="4"/>
  </w:num>
  <w:num w:numId="5" w16cid:durableId="1840921673">
    <w:abstractNumId w:val="7"/>
  </w:num>
  <w:num w:numId="6" w16cid:durableId="122432028">
    <w:abstractNumId w:val="3"/>
  </w:num>
  <w:num w:numId="7" w16cid:durableId="750544214">
    <w:abstractNumId w:val="2"/>
  </w:num>
  <w:num w:numId="8" w16cid:durableId="1210528097">
    <w:abstractNumId w:val="1"/>
  </w:num>
  <w:num w:numId="9" w16cid:durableId="671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6CC"/>
    <w:rsid w:val="0015074B"/>
    <w:rsid w:val="0029639D"/>
    <w:rsid w:val="002B6509"/>
    <w:rsid w:val="00326F90"/>
    <w:rsid w:val="009439E5"/>
    <w:rsid w:val="00AA1D8D"/>
    <w:rsid w:val="00B47730"/>
    <w:rsid w:val="00CB0664"/>
    <w:rsid w:val="00EF4A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BFAD41"/>
  <w14:defaultImageDpi w14:val="300"/>
  <w15:docId w15:val="{8D00A1C7-5812-49E4-9A4F-5C9CD78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2843</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GARRY GRIFFITHS</cp:lastModifiedBy>
  <cp:revision>2</cp:revision>
  <dcterms:created xsi:type="dcterms:W3CDTF">2026-05-10T18:36:00Z</dcterms:created>
  <dcterms:modified xsi:type="dcterms:W3CDTF">2026-05-10T18:36:00Z</dcterms:modified>
  <cp:category/>
</cp:coreProperties>
</file>