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48662" w14:textId="77777777" w:rsidR="007A57F6" w:rsidRPr="007A57F6" w:rsidRDefault="007A57F6" w:rsidP="007A57F6">
      <w:pPr>
        <w:jc w:val="center"/>
        <w:rPr>
          <w:rFonts w:ascii="Arial" w:hAnsi="Arial" w:cs="Arial"/>
          <w:b/>
          <w:bCs/>
          <w:sz w:val="28"/>
          <w:szCs w:val="28"/>
        </w:rPr>
      </w:pPr>
      <w:r w:rsidRPr="007A57F6">
        <w:rPr>
          <w:rFonts w:ascii="Arial" w:hAnsi="Arial" w:cs="Arial"/>
          <w:b/>
          <w:bCs/>
          <w:sz w:val="28"/>
          <w:szCs w:val="28"/>
        </w:rPr>
        <w:t>Strategic Planning Response</w:t>
      </w:r>
    </w:p>
    <w:p w14:paraId="0DF0F36C" w14:textId="77777777" w:rsidR="007A57F6" w:rsidRDefault="007A57F6" w:rsidP="007A57F6">
      <w:pPr>
        <w:rPr>
          <w:rFonts w:ascii="Arial" w:hAnsi="Arial" w:cs="Arial"/>
          <w:b/>
          <w:bCs/>
          <w:sz w:val="22"/>
          <w:szCs w:val="22"/>
        </w:rPr>
      </w:pPr>
    </w:p>
    <w:p w14:paraId="73F400BD" w14:textId="524A782B" w:rsidR="007A57F6" w:rsidRPr="007A57F6" w:rsidRDefault="007A57F6" w:rsidP="007A57F6">
      <w:pPr>
        <w:rPr>
          <w:rFonts w:ascii="Arial" w:hAnsi="Arial" w:cs="Arial"/>
          <w:sz w:val="22"/>
          <w:szCs w:val="22"/>
        </w:rPr>
      </w:pPr>
      <w:r w:rsidRPr="007A57F6">
        <w:rPr>
          <w:rFonts w:ascii="Arial" w:hAnsi="Arial" w:cs="Arial"/>
          <w:b/>
          <w:bCs/>
          <w:sz w:val="22"/>
          <w:szCs w:val="22"/>
        </w:rPr>
        <w:t>Application reference</w:t>
      </w:r>
      <w:r w:rsidRPr="007A57F6">
        <w:rPr>
          <w:rFonts w:ascii="Arial" w:hAnsi="Arial" w:cs="Arial"/>
          <w:sz w:val="22"/>
          <w:szCs w:val="22"/>
        </w:rPr>
        <w:t>: PL/2026/01867</w:t>
      </w:r>
    </w:p>
    <w:p w14:paraId="72CD5A21" w14:textId="77777777" w:rsidR="007A57F6" w:rsidRPr="007A57F6" w:rsidRDefault="007A57F6" w:rsidP="007A57F6">
      <w:pPr>
        <w:rPr>
          <w:rFonts w:ascii="Arial" w:hAnsi="Arial" w:cs="Arial"/>
          <w:sz w:val="22"/>
          <w:szCs w:val="22"/>
        </w:rPr>
      </w:pPr>
      <w:r w:rsidRPr="007A57F6">
        <w:rPr>
          <w:rFonts w:ascii="Arial" w:hAnsi="Arial" w:cs="Arial"/>
          <w:b/>
          <w:bCs/>
          <w:sz w:val="22"/>
          <w:szCs w:val="22"/>
        </w:rPr>
        <w:t>Site Address</w:t>
      </w:r>
      <w:r w:rsidRPr="007A57F6">
        <w:rPr>
          <w:rFonts w:ascii="Arial" w:hAnsi="Arial" w:cs="Arial"/>
          <w:sz w:val="22"/>
          <w:szCs w:val="22"/>
        </w:rPr>
        <w:t>: Land adjacent to A345, High Post, Salisbury, SP4 6AT</w:t>
      </w:r>
    </w:p>
    <w:p w14:paraId="49E80CBF" w14:textId="77777777" w:rsidR="008C2706" w:rsidRDefault="008C2706" w:rsidP="007A57F6">
      <w:pPr>
        <w:rPr>
          <w:rFonts w:ascii="Arial" w:hAnsi="Arial" w:cs="Arial"/>
          <w:b/>
          <w:bCs/>
          <w:sz w:val="22"/>
          <w:szCs w:val="22"/>
        </w:rPr>
      </w:pPr>
    </w:p>
    <w:p w14:paraId="29E4433F" w14:textId="3F80510E" w:rsidR="00B002B3" w:rsidRDefault="008C2706" w:rsidP="007A57F6">
      <w:pPr>
        <w:rPr>
          <w:rFonts w:ascii="Arial" w:hAnsi="Arial" w:cs="Arial"/>
          <w:b/>
          <w:bCs/>
          <w:sz w:val="22"/>
          <w:szCs w:val="22"/>
        </w:rPr>
      </w:pPr>
      <w:r>
        <w:rPr>
          <w:rFonts w:ascii="Arial" w:hAnsi="Arial" w:cs="Arial"/>
          <w:b/>
          <w:bCs/>
          <w:sz w:val="22"/>
          <w:szCs w:val="22"/>
        </w:rPr>
        <w:t>Preliminary p</w:t>
      </w:r>
      <w:r w:rsidR="00B002B3">
        <w:rPr>
          <w:rFonts w:ascii="Arial" w:hAnsi="Arial" w:cs="Arial"/>
          <w:b/>
          <w:bCs/>
          <w:sz w:val="22"/>
          <w:szCs w:val="22"/>
        </w:rPr>
        <w:t xml:space="preserve">rocedural </w:t>
      </w:r>
      <w:r>
        <w:rPr>
          <w:rFonts w:ascii="Arial" w:hAnsi="Arial" w:cs="Arial"/>
          <w:b/>
          <w:bCs/>
          <w:sz w:val="22"/>
          <w:szCs w:val="22"/>
        </w:rPr>
        <w:t>matter:</w:t>
      </w:r>
    </w:p>
    <w:p w14:paraId="0CBBEC9A" w14:textId="77777777" w:rsidR="00527AD4" w:rsidRDefault="005E55D0" w:rsidP="007A6853">
      <w:pPr>
        <w:rPr>
          <w:rFonts w:ascii="Arial" w:hAnsi="Arial" w:cs="Arial"/>
          <w:sz w:val="22"/>
          <w:szCs w:val="22"/>
        </w:rPr>
      </w:pPr>
      <w:r>
        <w:rPr>
          <w:rFonts w:ascii="Arial" w:hAnsi="Arial" w:cs="Arial"/>
          <w:sz w:val="22"/>
          <w:szCs w:val="22"/>
        </w:rPr>
        <w:t xml:space="preserve">The </w:t>
      </w:r>
      <w:r w:rsidR="00ED5FCF">
        <w:rPr>
          <w:rFonts w:ascii="Arial" w:hAnsi="Arial" w:cs="Arial"/>
          <w:sz w:val="22"/>
          <w:szCs w:val="22"/>
        </w:rPr>
        <w:t xml:space="preserve">draft Wiltshire Local Plan review was submitted </w:t>
      </w:r>
      <w:r w:rsidR="000328CA">
        <w:rPr>
          <w:rFonts w:ascii="Arial" w:hAnsi="Arial" w:cs="Arial"/>
          <w:sz w:val="22"/>
          <w:szCs w:val="22"/>
        </w:rPr>
        <w:t xml:space="preserve">for independent examination in November 2024.  </w:t>
      </w:r>
      <w:r w:rsidR="00DF7B8D">
        <w:rPr>
          <w:rFonts w:ascii="Arial" w:hAnsi="Arial" w:cs="Arial"/>
          <w:sz w:val="22"/>
          <w:szCs w:val="22"/>
        </w:rPr>
        <w:t>Although initial hearing sessions were held in 2025</w:t>
      </w:r>
      <w:r w:rsidR="00026164">
        <w:rPr>
          <w:rFonts w:ascii="Arial" w:hAnsi="Arial" w:cs="Arial"/>
          <w:sz w:val="22"/>
          <w:szCs w:val="22"/>
        </w:rPr>
        <w:t>,</w:t>
      </w:r>
      <w:r w:rsidR="00BB39F1">
        <w:rPr>
          <w:rFonts w:ascii="Arial" w:hAnsi="Arial" w:cs="Arial"/>
          <w:sz w:val="22"/>
          <w:szCs w:val="22"/>
        </w:rPr>
        <w:t xml:space="preserve"> the examination was effectively </w:t>
      </w:r>
      <w:r w:rsidR="00816149">
        <w:rPr>
          <w:rFonts w:ascii="Arial" w:hAnsi="Arial" w:cs="Arial"/>
          <w:sz w:val="22"/>
          <w:szCs w:val="22"/>
        </w:rPr>
        <w:t xml:space="preserve">halted </w:t>
      </w:r>
      <w:r w:rsidR="00BB39F1">
        <w:rPr>
          <w:rFonts w:ascii="Arial" w:hAnsi="Arial" w:cs="Arial"/>
          <w:sz w:val="22"/>
          <w:szCs w:val="22"/>
        </w:rPr>
        <w:t>by the examining Inspectors in early 2026</w:t>
      </w:r>
      <w:r w:rsidR="00816149">
        <w:rPr>
          <w:rFonts w:ascii="Arial" w:hAnsi="Arial" w:cs="Arial"/>
          <w:sz w:val="22"/>
          <w:szCs w:val="22"/>
        </w:rPr>
        <w:t xml:space="preserve">. </w:t>
      </w:r>
    </w:p>
    <w:p w14:paraId="1BC3DC8A" w14:textId="200845CF" w:rsidR="007A6853" w:rsidRPr="007A6853" w:rsidRDefault="007A6853" w:rsidP="007A6853">
      <w:pPr>
        <w:rPr>
          <w:rFonts w:ascii="Arial" w:hAnsi="Arial" w:cs="Arial"/>
          <w:sz w:val="22"/>
          <w:szCs w:val="22"/>
        </w:rPr>
      </w:pPr>
      <w:r w:rsidRPr="007A6853">
        <w:rPr>
          <w:rFonts w:ascii="Arial" w:hAnsi="Arial" w:cs="Arial"/>
          <w:sz w:val="22"/>
          <w:szCs w:val="22"/>
        </w:rPr>
        <w:t xml:space="preserve">The Wiltshire Local Plan Review (2020–2038) has not been adopted and its future status is currently subject to </w:t>
      </w:r>
      <w:r w:rsidR="008F29A0">
        <w:rPr>
          <w:rFonts w:ascii="Arial" w:hAnsi="Arial" w:cs="Arial"/>
          <w:sz w:val="22"/>
          <w:szCs w:val="22"/>
        </w:rPr>
        <w:t xml:space="preserve">a </w:t>
      </w:r>
      <w:r w:rsidRPr="007A6853">
        <w:rPr>
          <w:rFonts w:ascii="Arial" w:hAnsi="Arial" w:cs="Arial"/>
          <w:sz w:val="22"/>
          <w:szCs w:val="22"/>
        </w:rPr>
        <w:t>decision by Cabinet and Full Council</w:t>
      </w:r>
      <w:r w:rsidR="008F29A0">
        <w:rPr>
          <w:rFonts w:ascii="Arial" w:hAnsi="Arial" w:cs="Arial"/>
          <w:sz w:val="22"/>
          <w:szCs w:val="22"/>
        </w:rPr>
        <w:t xml:space="preserve"> in May 2026</w:t>
      </w:r>
      <w:r w:rsidRPr="007A6853">
        <w:rPr>
          <w:rFonts w:ascii="Arial" w:hAnsi="Arial" w:cs="Arial"/>
          <w:sz w:val="22"/>
          <w:szCs w:val="22"/>
        </w:rPr>
        <w:t xml:space="preserve"> following receipt of the Inspectors</w:t>
      </w:r>
      <w:r w:rsidR="00C550A2">
        <w:rPr>
          <w:rFonts w:ascii="Arial" w:hAnsi="Arial" w:cs="Arial"/>
          <w:sz w:val="22"/>
          <w:szCs w:val="22"/>
        </w:rPr>
        <w:t>’</w:t>
      </w:r>
      <w:r w:rsidRPr="007A6853">
        <w:rPr>
          <w:rFonts w:ascii="Arial" w:hAnsi="Arial" w:cs="Arial"/>
          <w:sz w:val="22"/>
          <w:szCs w:val="22"/>
        </w:rPr>
        <w:t xml:space="preserve"> post</w:t>
      </w:r>
      <w:r w:rsidRPr="007A6853">
        <w:rPr>
          <w:rFonts w:ascii="Cambria Math" w:hAnsi="Cambria Math" w:cs="Cambria Math"/>
          <w:sz w:val="22"/>
          <w:szCs w:val="22"/>
        </w:rPr>
        <w:t>‑</w:t>
      </w:r>
      <w:r w:rsidRPr="007A6853">
        <w:rPr>
          <w:rFonts w:ascii="Arial" w:hAnsi="Arial" w:cs="Arial"/>
          <w:sz w:val="22"/>
          <w:szCs w:val="22"/>
        </w:rPr>
        <w:t xml:space="preserve">hearing correspondence. In this context, policies within the </w:t>
      </w:r>
      <w:r w:rsidR="00290A9C">
        <w:rPr>
          <w:rFonts w:ascii="Arial" w:hAnsi="Arial" w:cs="Arial"/>
          <w:sz w:val="22"/>
          <w:szCs w:val="22"/>
        </w:rPr>
        <w:t>draft</w:t>
      </w:r>
      <w:r w:rsidRPr="007A6853">
        <w:rPr>
          <w:rFonts w:ascii="Arial" w:hAnsi="Arial" w:cs="Arial"/>
          <w:sz w:val="22"/>
          <w:szCs w:val="22"/>
        </w:rPr>
        <w:t xml:space="preserve"> </w:t>
      </w:r>
      <w:r w:rsidR="00290A9C">
        <w:rPr>
          <w:rFonts w:ascii="Arial" w:hAnsi="Arial" w:cs="Arial"/>
          <w:sz w:val="22"/>
          <w:szCs w:val="22"/>
        </w:rPr>
        <w:t xml:space="preserve">Local Plan review </w:t>
      </w:r>
      <w:r w:rsidRPr="007A6853">
        <w:rPr>
          <w:rFonts w:ascii="Arial" w:hAnsi="Arial" w:cs="Arial"/>
          <w:sz w:val="22"/>
          <w:szCs w:val="22"/>
        </w:rPr>
        <w:t>carry limited weight for decision</w:t>
      </w:r>
      <w:r w:rsidRPr="007A6853">
        <w:rPr>
          <w:rFonts w:ascii="Cambria Math" w:hAnsi="Cambria Math" w:cs="Cambria Math"/>
          <w:sz w:val="22"/>
          <w:szCs w:val="22"/>
        </w:rPr>
        <w:t>‑</w:t>
      </w:r>
      <w:r w:rsidRPr="007A6853">
        <w:rPr>
          <w:rFonts w:ascii="Arial" w:hAnsi="Arial" w:cs="Arial"/>
          <w:sz w:val="22"/>
          <w:szCs w:val="22"/>
        </w:rPr>
        <w:t>making purposes, having regard to its stage of preparation, unresolved objections and the guidance in paragraph 49 of the National Planning Policy Framework.</w:t>
      </w:r>
    </w:p>
    <w:p w14:paraId="7919F196" w14:textId="36DA8DB0" w:rsidR="007A6853" w:rsidRPr="007A6853" w:rsidRDefault="007A6853" w:rsidP="007A6853">
      <w:pPr>
        <w:rPr>
          <w:rFonts w:ascii="Arial" w:hAnsi="Arial" w:cs="Arial"/>
          <w:sz w:val="22"/>
          <w:szCs w:val="22"/>
        </w:rPr>
      </w:pPr>
      <w:r w:rsidRPr="007A6853">
        <w:rPr>
          <w:rFonts w:ascii="Arial" w:hAnsi="Arial" w:cs="Arial"/>
          <w:sz w:val="22"/>
          <w:szCs w:val="22"/>
        </w:rPr>
        <w:t xml:space="preserve">The application site itself was not proposed </w:t>
      </w:r>
      <w:r w:rsidR="00290A9C">
        <w:rPr>
          <w:rFonts w:ascii="Arial" w:hAnsi="Arial" w:cs="Arial"/>
          <w:sz w:val="22"/>
          <w:szCs w:val="22"/>
        </w:rPr>
        <w:t xml:space="preserve">by the Council </w:t>
      </w:r>
      <w:r w:rsidRPr="007A6853">
        <w:rPr>
          <w:rFonts w:ascii="Arial" w:hAnsi="Arial" w:cs="Arial"/>
          <w:sz w:val="22"/>
          <w:szCs w:val="22"/>
        </w:rPr>
        <w:t xml:space="preserve">for allocation in the emerging Local Plan </w:t>
      </w:r>
      <w:r w:rsidR="00290A9C">
        <w:rPr>
          <w:rFonts w:ascii="Arial" w:hAnsi="Arial" w:cs="Arial"/>
          <w:sz w:val="22"/>
          <w:szCs w:val="22"/>
        </w:rPr>
        <w:t>r</w:t>
      </w:r>
      <w:r w:rsidRPr="007A6853">
        <w:rPr>
          <w:rFonts w:ascii="Arial" w:hAnsi="Arial" w:cs="Arial"/>
          <w:sz w:val="22"/>
          <w:szCs w:val="22"/>
        </w:rPr>
        <w:t>eview. However, land in this general location was promoted by the applicant through that process as an omission site. That promotion related to a smaller area than is now proposed and was not identical to the current site boundary.</w:t>
      </w:r>
    </w:p>
    <w:p w14:paraId="27EA4E60" w14:textId="47E7B899" w:rsidR="00B002B3" w:rsidRPr="008C2706" w:rsidRDefault="007A6853" w:rsidP="007A6853">
      <w:pPr>
        <w:rPr>
          <w:rFonts w:ascii="Arial" w:hAnsi="Arial" w:cs="Arial"/>
          <w:sz w:val="22"/>
          <w:szCs w:val="22"/>
        </w:rPr>
      </w:pPr>
      <w:r w:rsidRPr="007A6853">
        <w:rPr>
          <w:rFonts w:ascii="Arial" w:hAnsi="Arial" w:cs="Arial"/>
          <w:sz w:val="22"/>
          <w:szCs w:val="22"/>
        </w:rPr>
        <w:t>Evidence prepared to support the emerging Local Plan Review (such as Planning for Westbury, September 2023) may provide background context. However, as it does not form part of the adopted development plan, it should be treated with appropriate caution and does not establish a policy basis for development.</w:t>
      </w:r>
      <w:r w:rsidR="00ED5FCF">
        <w:rPr>
          <w:rFonts w:ascii="Arial" w:hAnsi="Arial" w:cs="Arial"/>
          <w:sz w:val="22"/>
          <w:szCs w:val="22"/>
        </w:rPr>
        <w:t xml:space="preserve"> </w:t>
      </w:r>
    </w:p>
    <w:p w14:paraId="2F9DDBF7" w14:textId="77777777" w:rsidR="008C2706" w:rsidRDefault="007A57F6" w:rsidP="007A57F6">
      <w:pPr>
        <w:rPr>
          <w:rFonts w:ascii="Arial" w:hAnsi="Arial" w:cs="Arial"/>
          <w:sz w:val="22"/>
          <w:szCs w:val="22"/>
        </w:rPr>
      </w:pPr>
      <w:r w:rsidRPr="007A57F6">
        <w:rPr>
          <w:rFonts w:ascii="Arial" w:hAnsi="Arial" w:cs="Arial"/>
          <w:b/>
          <w:bCs/>
          <w:sz w:val="22"/>
          <w:szCs w:val="22"/>
        </w:rPr>
        <w:t>Proposal</w:t>
      </w:r>
      <w:r w:rsidRPr="007A57F6">
        <w:rPr>
          <w:rFonts w:ascii="Arial" w:hAnsi="Arial" w:cs="Arial"/>
          <w:sz w:val="22"/>
          <w:szCs w:val="22"/>
        </w:rPr>
        <w:t xml:space="preserve">: </w:t>
      </w:r>
    </w:p>
    <w:p w14:paraId="4B078D69" w14:textId="14AF996E" w:rsidR="007A57F6" w:rsidRPr="007A57F6" w:rsidRDefault="007A57F6" w:rsidP="007A57F6">
      <w:pPr>
        <w:rPr>
          <w:rFonts w:ascii="Arial" w:hAnsi="Arial" w:cs="Arial"/>
          <w:sz w:val="22"/>
          <w:szCs w:val="22"/>
        </w:rPr>
      </w:pPr>
      <w:r w:rsidRPr="007A57F6">
        <w:rPr>
          <w:rFonts w:ascii="Arial" w:hAnsi="Arial" w:cs="Arial"/>
          <w:sz w:val="22"/>
          <w:szCs w:val="22"/>
        </w:rPr>
        <w:t xml:space="preserve">Erection of a building amounting to 6,968 sqm GIA (Use Classes E(g), B2 and B8) with associated facilities, access with security, parking, hard and soft landscaping, drainage and associated works; A new roundabout from the A345 with footways and bus stops; A new access to </w:t>
      </w:r>
      <w:proofErr w:type="spellStart"/>
      <w:r w:rsidRPr="007A57F6">
        <w:rPr>
          <w:rFonts w:ascii="Arial" w:hAnsi="Arial" w:cs="Arial"/>
          <w:sz w:val="22"/>
          <w:szCs w:val="22"/>
        </w:rPr>
        <w:t>Chemring</w:t>
      </w:r>
      <w:proofErr w:type="spellEnd"/>
      <w:r w:rsidRPr="007A57F6">
        <w:rPr>
          <w:rFonts w:ascii="Arial" w:hAnsi="Arial" w:cs="Arial"/>
          <w:sz w:val="22"/>
          <w:szCs w:val="22"/>
        </w:rPr>
        <w:t xml:space="preserve"> Countermeasures UK including turning and security; Solar Fields; and associated works.</w:t>
      </w:r>
    </w:p>
    <w:p w14:paraId="7BC8E4DC" w14:textId="77777777" w:rsidR="007A57F6" w:rsidRPr="007A57F6" w:rsidRDefault="007A57F6" w:rsidP="007A57F6">
      <w:pPr>
        <w:rPr>
          <w:rFonts w:ascii="Arial" w:hAnsi="Arial" w:cs="Arial"/>
          <w:sz w:val="22"/>
          <w:szCs w:val="22"/>
        </w:rPr>
      </w:pPr>
      <w:r w:rsidRPr="007A57F6">
        <w:rPr>
          <w:rFonts w:ascii="Arial" w:hAnsi="Arial" w:cs="Arial"/>
          <w:b/>
          <w:bCs/>
          <w:sz w:val="22"/>
          <w:szCs w:val="22"/>
        </w:rPr>
        <w:t>Comments</w:t>
      </w:r>
      <w:r w:rsidRPr="007A57F6">
        <w:rPr>
          <w:rFonts w:ascii="Arial" w:hAnsi="Arial" w:cs="Arial"/>
          <w:sz w:val="22"/>
          <w:szCs w:val="22"/>
        </w:rPr>
        <w:t>:</w:t>
      </w:r>
    </w:p>
    <w:p w14:paraId="0690134D" w14:textId="17CBC313" w:rsidR="009A68BF" w:rsidRDefault="00DB36F9" w:rsidP="007A57F6">
      <w:pPr>
        <w:rPr>
          <w:rFonts w:ascii="Arial" w:hAnsi="Arial" w:cs="Arial"/>
          <w:sz w:val="22"/>
          <w:szCs w:val="22"/>
        </w:rPr>
      </w:pPr>
      <w:r w:rsidRPr="00DB36F9">
        <w:rPr>
          <w:rFonts w:ascii="Arial" w:hAnsi="Arial" w:cs="Arial"/>
          <w:sz w:val="22"/>
          <w:szCs w:val="22"/>
        </w:rPr>
        <w:t>From a strategic planning policy perspective, the application site lies outside the defined limits of development and is not allocated for employment use in the Wiltshire Core Strategy. The proposal is therefore, in principle, contrary to the spatial strategy set out in Core Policies CP1 and CP2, which seek to direct significant employment growth to the main settlements.</w:t>
      </w:r>
    </w:p>
    <w:p w14:paraId="6500C574" w14:textId="19C0B829" w:rsidR="007A57F6" w:rsidRPr="007A57F6" w:rsidRDefault="00DB36F9" w:rsidP="007A57F6">
      <w:pPr>
        <w:rPr>
          <w:rFonts w:ascii="Arial" w:hAnsi="Arial" w:cs="Arial"/>
          <w:sz w:val="22"/>
          <w:szCs w:val="22"/>
        </w:rPr>
      </w:pPr>
      <w:r w:rsidRPr="00DB36F9">
        <w:rPr>
          <w:rFonts w:ascii="Arial" w:hAnsi="Arial" w:cs="Arial"/>
          <w:sz w:val="22"/>
          <w:szCs w:val="22"/>
        </w:rPr>
        <w:t xml:space="preserve">As a result, the development can only be supported where it is clearly justified as an exception under Core Policy CP34. </w:t>
      </w:r>
      <w:r w:rsidR="00F1045B">
        <w:rPr>
          <w:rFonts w:ascii="Arial" w:hAnsi="Arial" w:cs="Arial"/>
          <w:sz w:val="22"/>
          <w:szCs w:val="22"/>
        </w:rPr>
        <w:t>T</w:t>
      </w:r>
      <w:r w:rsidRPr="00DB36F9">
        <w:rPr>
          <w:rFonts w:ascii="Arial" w:hAnsi="Arial" w:cs="Arial"/>
          <w:sz w:val="22"/>
          <w:szCs w:val="22"/>
        </w:rPr>
        <w:t>he defence</w:t>
      </w:r>
      <w:r w:rsidRPr="00DB36F9">
        <w:rPr>
          <w:rFonts w:ascii="Cambria Math" w:hAnsi="Cambria Math" w:cs="Cambria Math"/>
          <w:sz w:val="22"/>
          <w:szCs w:val="22"/>
        </w:rPr>
        <w:t>‑</w:t>
      </w:r>
      <w:r w:rsidRPr="00DB36F9">
        <w:rPr>
          <w:rFonts w:ascii="Arial" w:hAnsi="Arial" w:cs="Arial"/>
          <w:sz w:val="22"/>
          <w:szCs w:val="22"/>
        </w:rPr>
        <w:t xml:space="preserve">related nature of the proposal and its relationship with the existing </w:t>
      </w:r>
      <w:proofErr w:type="spellStart"/>
      <w:r w:rsidRPr="00DB36F9">
        <w:rPr>
          <w:rFonts w:ascii="Arial" w:hAnsi="Arial" w:cs="Arial"/>
          <w:sz w:val="22"/>
          <w:szCs w:val="22"/>
        </w:rPr>
        <w:t>Chemring</w:t>
      </w:r>
      <w:proofErr w:type="spellEnd"/>
      <w:r w:rsidRPr="00DB36F9">
        <w:rPr>
          <w:rFonts w:ascii="Arial" w:hAnsi="Arial" w:cs="Arial"/>
          <w:sz w:val="22"/>
          <w:szCs w:val="22"/>
        </w:rPr>
        <w:t xml:space="preserve"> facility mean that the “wider strategic interest” element of CP34 is engaged, particularly in the context of established defence</w:t>
      </w:r>
      <w:r w:rsidRPr="00DB36F9">
        <w:rPr>
          <w:rFonts w:ascii="Cambria Math" w:hAnsi="Cambria Math" w:cs="Cambria Math"/>
          <w:sz w:val="22"/>
          <w:szCs w:val="22"/>
        </w:rPr>
        <w:t>‑</w:t>
      </w:r>
      <w:r w:rsidRPr="00DB36F9">
        <w:rPr>
          <w:rFonts w:ascii="Arial" w:hAnsi="Arial" w:cs="Arial"/>
          <w:sz w:val="22"/>
          <w:szCs w:val="22"/>
        </w:rPr>
        <w:t>related activity at High Post</w:t>
      </w:r>
      <w:r w:rsidR="00394B16">
        <w:rPr>
          <w:rFonts w:ascii="Arial" w:hAnsi="Arial" w:cs="Arial"/>
          <w:sz w:val="22"/>
          <w:szCs w:val="22"/>
        </w:rPr>
        <w:t>. However,</w:t>
      </w:r>
      <w:r w:rsidRPr="00DB36F9">
        <w:rPr>
          <w:rFonts w:ascii="Arial" w:hAnsi="Arial" w:cs="Arial"/>
          <w:sz w:val="22"/>
          <w:szCs w:val="22"/>
        </w:rPr>
        <w:t xml:space="preserve"> this does not in itself outweigh the plan</w:t>
      </w:r>
      <w:r w:rsidRPr="00DB36F9">
        <w:rPr>
          <w:rFonts w:ascii="Cambria Math" w:hAnsi="Cambria Math" w:cs="Cambria Math"/>
          <w:sz w:val="22"/>
          <w:szCs w:val="22"/>
        </w:rPr>
        <w:t>‑</w:t>
      </w:r>
      <w:r w:rsidRPr="00DB36F9">
        <w:rPr>
          <w:rFonts w:ascii="Arial" w:hAnsi="Arial" w:cs="Arial"/>
          <w:sz w:val="22"/>
          <w:szCs w:val="22"/>
        </w:rPr>
        <w:t xml:space="preserve">led approach, nor </w:t>
      </w:r>
      <w:r w:rsidRPr="00DB36F9">
        <w:rPr>
          <w:rFonts w:ascii="Arial" w:hAnsi="Arial" w:cs="Arial"/>
          <w:sz w:val="22"/>
          <w:szCs w:val="22"/>
        </w:rPr>
        <w:lastRenderedPageBreak/>
        <w:t>remove the need for the proposal to satisfy the remaining criteria of the policy, including demonstrating that it cannot reasonably be accommodated within a defined settlement.</w:t>
      </w:r>
    </w:p>
    <w:p w14:paraId="788F36C6" w14:textId="13040199" w:rsidR="00A75479" w:rsidRDefault="00CF6490" w:rsidP="007A57F6">
      <w:pPr>
        <w:rPr>
          <w:rFonts w:ascii="Arial" w:hAnsi="Arial" w:cs="Arial"/>
          <w:sz w:val="22"/>
          <w:szCs w:val="22"/>
        </w:rPr>
      </w:pPr>
      <w:r w:rsidRPr="00CF6490">
        <w:rPr>
          <w:rFonts w:ascii="Arial" w:hAnsi="Arial" w:cs="Arial"/>
          <w:sz w:val="22"/>
          <w:szCs w:val="22"/>
        </w:rPr>
        <w:t>In policy terms, the acceptability of the proposal is finely balanced and will depend largely on whether it can be demonstrated that it is supported by adequate infrastructure, particularly in transport terms, in accordance with CP34(e) and Core Policies CP60–CP62. Given the scale of employment proposed, together with the site’s countryside location, the impact on the A345 and the wider network is likely to be a key consideration. The extent to which the proposal accords with the Core Strategy’s sustainability objectives will therefore depend on the conclusions reached in relation to transport impacts and the effectiveness of any proposed mitigation.</w:t>
      </w:r>
    </w:p>
    <w:p w14:paraId="10C9B21B" w14:textId="77777777" w:rsidR="00466732" w:rsidRPr="00466732" w:rsidRDefault="00466732" w:rsidP="007A57F6">
      <w:pPr>
        <w:rPr>
          <w:rFonts w:ascii="Arial" w:hAnsi="Arial" w:cs="Arial"/>
          <w:sz w:val="22"/>
          <w:szCs w:val="22"/>
        </w:rPr>
      </w:pPr>
    </w:p>
    <w:p w14:paraId="52E9F397" w14:textId="77777777" w:rsidR="003B28E8" w:rsidRPr="007A57F6" w:rsidRDefault="003B28E8" w:rsidP="007A57F6">
      <w:pPr>
        <w:rPr>
          <w:rFonts w:ascii="Arial" w:hAnsi="Arial" w:cs="Arial"/>
          <w:sz w:val="22"/>
          <w:szCs w:val="22"/>
        </w:rPr>
      </w:pPr>
    </w:p>
    <w:sectPr w:rsidR="003B28E8" w:rsidRPr="007A57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7F6"/>
    <w:rsid w:val="00026164"/>
    <w:rsid w:val="000328CA"/>
    <w:rsid w:val="000A74CE"/>
    <w:rsid w:val="000F1824"/>
    <w:rsid w:val="00155668"/>
    <w:rsid w:val="0019360E"/>
    <w:rsid w:val="001D13EC"/>
    <w:rsid w:val="0027556E"/>
    <w:rsid w:val="00290A9C"/>
    <w:rsid w:val="002B2486"/>
    <w:rsid w:val="00384CAF"/>
    <w:rsid w:val="00387BD5"/>
    <w:rsid w:val="00394B16"/>
    <w:rsid w:val="003B28E8"/>
    <w:rsid w:val="00431DFC"/>
    <w:rsid w:val="00466732"/>
    <w:rsid w:val="004C05EA"/>
    <w:rsid w:val="00513D9E"/>
    <w:rsid w:val="00527AD4"/>
    <w:rsid w:val="00540F6B"/>
    <w:rsid w:val="005E55D0"/>
    <w:rsid w:val="00616D00"/>
    <w:rsid w:val="006734BC"/>
    <w:rsid w:val="00710AEB"/>
    <w:rsid w:val="007A57F6"/>
    <w:rsid w:val="007A6853"/>
    <w:rsid w:val="007C4C1A"/>
    <w:rsid w:val="007F4518"/>
    <w:rsid w:val="00816149"/>
    <w:rsid w:val="00822A3C"/>
    <w:rsid w:val="008720EC"/>
    <w:rsid w:val="008C2706"/>
    <w:rsid w:val="008F29A0"/>
    <w:rsid w:val="009A68BF"/>
    <w:rsid w:val="009C3870"/>
    <w:rsid w:val="00A37A02"/>
    <w:rsid w:val="00A4462E"/>
    <w:rsid w:val="00A47ED8"/>
    <w:rsid w:val="00A75479"/>
    <w:rsid w:val="00AB6B3D"/>
    <w:rsid w:val="00B002B3"/>
    <w:rsid w:val="00BB39F1"/>
    <w:rsid w:val="00C550A2"/>
    <w:rsid w:val="00C844F5"/>
    <w:rsid w:val="00CF6490"/>
    <w:rsid w:val="00D31B1A"/>
    <w:rsid w:val="00DB36F9"/>
    <w:rsid w:val="00DF7B8D"/>
    <w:rsid w:val="00E90639"/>
    <w:rsid w:val="00ED5FCF"/>
    <w:rsid w:val="00F1045B"/>
    <w:rsid w:val="00F92725"/>
    <w:rsid w:val="00FF68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714A8"/>
  <w15:chartTrackingRefBased/>
  <w15:docId w15:val="{40A3F49B-80FC-4143-AF25-1E4BFE668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57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57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57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57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57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57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57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57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57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7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57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57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57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57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57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57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57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57F6"/>
    <w:rPr>
      <w:rFonts w:eastAsiaTheme="majorEastAsia" w:cstheme="majorBidi"/>
      <w:color w:val="272727" w:themeColor="text1" w:themeTint="D8"/>
    </w:rPr>
  </w:style>
  <w:style w:type="paragraph" w:styleId="Title">
    <w:name w:val="Title"/>
    <w:basedOn w:val="Normal"/>
    <w:next w:val="Normal"/>
    <w:link w:val="TitleChar"/>
    <w:uiPriority w:val="10"/>
    <w:qFormat/>
    <w:rsid w:val="007A57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57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57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57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57F6"/>
    <w:pPr>
      <w:spacing w:before="160"/>
      <w:jc w:val="center"/>
    </w:pPr>
    <w:rPr>
      <w:i/>
      <w:iCs/>
      <w:color w:val="404040" w:themeColor="text1" w:themeTint="BF"/>
    </w:rPr>
  </w:style>
  <w:style w:type="character" w:customStyle="1" w:styleId="QuoteChar">
    <w:name w:val="Quote Char"/>
    <w:basedOn w:val="DefaultParagraphFont"/>
    <w:link w:val="Quote"/>
    <w:uiPriority w:val="29"/>
    <w:rsid w:val="007A57F6"/>
    <w:rPr>
      <w:i/>
      <w:iCs/>
      <w:color w:val="404040" w:themeColor="text1" w:themeTint="BF"/>
    </w:rPr>
  </w:style>
  <w:style w:type="paragraph" w:styleId="ListParagraph">
    <w:name w:val="List Paragraph"/>
    <w:basedOn w:val="Normal"/>
    <w:uiPriority w:val="34"/>
    <w:qFormat/>
    <w:rsid w:val="007A57F6"/>
    <w:pPr>
      <w:ind w:left="720"/>
      <w:contextualSpacing/>
    </w:pPr>
  </w:style>
  <w:style w:type="character" w:styleId="IntenseEmphasis">
    <w:name w:val="Intense Emphasis"/>
    <w:basedOn w:val="DefaultParagraphFont"/>
    <w:uiPriority w:val="21"/>
    <w:qFormat/>
    <w:rsid w:val="007A57F6"/>
    <w:rPr>
      <w:i/>
      <w:iCs/>
      <w:color w:val="0F4761" w:themeColor="accent1" w:themeShade="BF"/>
    </w:rPr>
  </w:style>
  <w:style w:type="paragraph" w:styleId="IntenseQuote">
    <w:name w:val="Intense Quote"/>
    <w:basedOn w:val="Normal"/>
    <w:next w:val="Normal"/>
    <w:link w:val="IntenseQuoteChar"/>
    <w:uiPriority w:val="30"/>
    <w:qFormat/>
    <w:rsid w:val="007A57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57F6"/>
    <w:rPr>
      <w:i/>
      <w:iCs/>
      <w:color w:val="0F4761" w:themeColor="accent1" w:themeShade="BF"/>
    </w:rPr>
  </w:style>
  <w:style w:type="character" w:styleId="IntenseReference">
    <w:name w:val="Intense Reference"/>
    <w:basedOn w:val="DefaultParagraphFont"/>
    <w:uiPriority w:val="32"/>
    <w:qFormat/>
    <w:rsid w:val="007A57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121</TotalTime>
  <Pages>2</Pages>
  <Words>532</Words>
  <Characters>3036</Characters>
  <Application>Microsoft Office Word</Application>
  <DocSecurity>0</DocSecurity>
  <Lines>25</Lines>
  <Paragraphs>7</Paragraphs>
  <ScaleCrop>false</ScaleCrop>
  <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Luke</dc:creator>
  <cp:keywords/>
  <dc:description/>
  <cp:lastModifiedBy>Winslow, Geoff</cp:lastModifiedBy>
  <cp:revision>46</cp:revision>
  <dcterms:created xsi:type="dcterms:W3CDTF">2026-04-24T10:18:00Z</dcterms:created>
  <dcterms:modified xsi:type="dcterms:W3CDTF">2026-05-05T14:31:00Z</dcterms:modified>
</cp:coreProperties>
</file>