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2B2CBE"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2B2CBE">
        <w:rPr>
          <w:rFonts w:ascii="Arial" w:hAnsi="Arial" w:cs="Arial"/>
          <w:b/>
          <w:bCs/>
          <w:sz w:val="28"/>
          <w:szCs w:val="28"/>
        </w:rPr>
        <w:t xml:space="preserve">APPLICATION FOR 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244BF2">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53FD4BE" w:rsidR="000E38BA" w:rsidRPr="004908AE" w:rsidRDefault="002B2CBE"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PL/2026/00550</w:t>
            </w:r>
          </w:p>
        </w:tc>
      </w:tr>
      <w:tr w:rsidR="000E38BA" w14:paraId="14619158" w14:textId="77777777" w:rsidTr="00244BF2">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1ECA723" w:rsidR="000E38BA" w:rsidRDefault="002B2CBE" w:rsidP="00AE4D3F">
            <w:pPr>
              <w:spacing w:before="100" w:beforeAutospacing="1" w:after="100" w:afterAutospacing="1" w:line="276" w:lineRule="auto"/>
              <w:rPr>
                <w:rFonts w:ascii="Arial" w:hAnsi="Arial" w:cs="Arial"/>
                <w:b/>
                <w:bCs/>
                <w:sz w:val="22"/>
                <w:szCs w:val="22"/>
                <w:lang w:eastAsia="en-GB"/>
              </w:rPr>
            </w:pPr>
            <w:r>
              <w:rPr>
                <w:rFonts w:ascii="Arial" w:hAnsi="Arial" w:cs="Arial"/>
                <w:sz w:val="22"/>
                <w:szCs w:val="22"/>
                <w:lang w:eastAsia="en-GB"/>
              </w:rPr>
              <w:t>Householder Planning Permission</w:t>
            </w:r>
          </w:p>
        </w:tc>
      </w:tr>
      <w:tr w:rsidR="000E38BA" w14:paraId="4E05CCB9" w14:textId="77777777" w:rsidTr="00244BF2">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3549064" w:rsidR="000E38BA" w:rsidRDefault="00F0252B" w:rsidP="00AE4D3F">
            <w:pPr>
              <w:spacing w:before="100" w:beforeAutospacing="1" w:after="100" w:afterAutospacing="1" w:line="276" w:lineRule="auto"/>
              <w:rPr>
                <w:rFonts w:ascii="Arial" w:hAnsi="Arial" w:cs="Arial"/>
                <w:b/>
                <w:bCs/>
                <w:sz w:val="22"/>
                <w:szCs w:val="22"/>
                <w:lang w:eastAsia="en-GB"/>
              </w:rPr>
            </w:pPr>
            <w:r w:rsidRPr="00F0252B">
              <w:rPr>
                <w:rFonts w:ascii="Arial" w:hAnsi="Arial" w:cs="Arial"/>
                <w:sz w:val="22"/>
                <w:szCs w:val="22"/>
                <w:lang w:eastAsia="en-GB"/>
              </w:rPr>
              <w:t>Moorfield Farm, 2 Church Street, Steeple Ashton, Trowbridge, BA14 6EW</w:t>
            </w:r>
          </w:p>
        </w:tc>
      </w:tr>
      <w:tr w:rsidR="000E38BA" w14:paraId="2AEB40D9" w14:textId="77777777" w:rsidTr="00244BF2">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A06D39C" w:rsidR="000E38BA" w:rsidRDefault="006A4DC3" w:rsidP="00AE4D3F">
            <w:pPr>
              <w:spacing w:before="100" w:beforeAutospacing="1" w:after="100" w:afterAutospacing="1" w:line="276" w:lineRule="auto"/>
              <w:rPr>
                <w:rFonts w:ascii="Arial" w:hAnsi="Arial" w:cs="Arial"/>
                <w:b/>
                <w:bCs/>
                <w:sz w:val="22"/>
                <w:szCs w:val="22"/>
                <w:lang w:eastAsia="en-GB"/>
              </w:rPr>
            </w:pPr>
            <w:r w:rsidRPr="006A4DC3">
              <w:rPr>
                <w:rFonts w:ascii="Arial" w:hAnsi="Arial" w:cs="Arial"/>
                <w:sz w:val="22"/>
                <w:szCs w:val="22"/>
                <w:lang w:eastAsia="en-GB"/>
              </w:rPr>
              <w:t xml:space="preserve">Retrospective planning application for rear dormer/balcony alteration, solar panels, </w:t>
            </w:r>
            <w:proofErr w:type="spellStart"/>
            <w:r w:rsidRPr="006A4DC3">
              <w:rPr>
                <w:rFonts w:ascii="Arial" w:hAnsi="Arial" w:cs="Arial"/>
                <w:sz w:val="22"/>
                <w:szCs w:val="22"/>
                <w:lang w:eastAsia="en-GB"/>
              </w:rPr>
              <w:t>rooflights</w:t>
            </w:r>
            <w:proofErr w:type="spellEnd"/>
            <w:r w:rsidRPr="006A4DC3">
              <w:rPr>
                <w:rFonts w:ascii="Arial" w:hAnsi="Arial" w:cs="Arial"/>
                <w:sz w:val="22"/>
                <w:szCs w:val="22"/>
                <w:lang w:eastAsia="en-GB"/>
              </w:rPr>
              <w:t xml:space="preserve"> and variations to rear elevation construction.</w:t>
            </w:r>
          </w:p>
        </w:tc>
      </w:tr>
      <w:tr w:rsidR="000E38BA" w14:paraId="4BF33E98" w14:textId="77777777" w:rsidTr="00244BF2">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5F93D2C2" w:rsidR="000E38BA" w:rsidRPr="004E7A6C" w:rsidRDefault="00F148CA" w:rsidP="00F148CA">
      <w:pPr>
        <w:tabs>
          <w:tab w:val="left" w:pos="2520"/>
        </w:tabs>
        <w:jc w:val="center"/>
        <w:rPr>
          <w:rFonts w:ascii="Arial" w:hAnsi="Arial" w:cs="Arial"/>
          <w:bCs/>
          <w:sz w:val="22"/>
          <w:szCs w:val="22"/>
        </w:rPr>
      </w:pPr>
      <w:r w:rsidRPr="00F148CA">
        <w:rPr>
          <w:rFonts w:ascii="Arial" w:hAnsi="Arial" w:cs="Arial"/>
          <w:bCs/>
          <w:noProof/>
          <w:sz w:val="22"/>
          <w:szCs w:val="22"/>
          <w:bdr w:val="single" w:sz="12" w:space="0" w:color="auto"/>
        </w:rPr>
        <w:drawing>
          <wp:inline distT="0" distB="0" distL="0" distR="0" wp14:anchorId="450943F4" wp14:editId="1993D0F4">
            <wp:extent cx="2352675" cy="2368673"/>
            <wp:effectExtent l="0" t="0" r="0" b="0"/>
            <wp:docPr id="21518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88481" name=""/>
                    <pic:cNvPicPr/>
                  </pic:nvPicPr>
                  <pic:blipFill>
                    <a:blip r:embed="rId5"/>
                    <a:stretch>
                      <a:fillRect/>
                    </a:stretch>
                  </pic:blipFill>
                  <pic:spPr>
                    <a:xfrm>
                      <a:off x="0" y="0"/>
                      <a:ext cx="2366156" cy="2382246"/>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00647A07" w14:textId="569116F6" w:rsidR="00303474" w:rsidRPr="00303474" w:rsidRDefault="00303474" w:rsidP="00303474">
      <w:pPr>
        <w:pStyle w:val="NoSpacing"/>
        <w:spacing w:line="276" w:lineRule="auto"/>
      </w:pPr>
      <w:r w:rsidRPr="00303474">
        <w:t xml:space="preserve">The proposal relates to works at Moorfield Farmhouse comprising alterations and additions to the rear of the dwelling, including the regularisation of previously undertaken works. These include the reinstatement of an approved rear dormer in place of an unauthorised balcony and door, the retention of rooflights and solar panels on rear-facing roof </w:t>
      </w:r>
      <w:proofErr w:type="gramStart"/>
      <w:r w:rsidRPr="00303474">
        <w:t>slopes, and</w:t>
      </w:r>
      <w:proofErr w:type="gramEnd"/>
      <w:r w:rsidRPr="00303474">
        <w:t xml:space="preserve"> associated minor variations to the rear elevation. The works are intended to </w:t>
      </w:r>
      <w:r w:rsidR="00A40B5B">
        <w:t>support</w:t>
      </w:r>
      <w:r w:rsidRPr="00303474">
        <w:t xml:space="preserve"> </w:t>
      </w:r>
      <w:r w:rsidR="00A40B5B">
        <w:t xml:space="preserve">loft space </w:t>
      </w:r>
      <w:r w:rsidRPr="00303474">
        <w:t>living accommodation.</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E124E4E" w14:textId="52A0FEE1" w:rsidR="00E203D9" w:rsidRPr="00EF118D" w:rsidRDefault="00EF118D" w:rsidP="00EF118D">
      <w:pPr>
        <w:spacing w:line="276" w:lineRule="auto"/>
        <w:jc w:val="both"/>
        <w:rPr>
          <w:rFonts w:ascii="Arial" w:hAnsi="Arial" w:cs="Arial"/>
          <w:sz w:val="22"/>
          <w:szCs w:val="22"/>
        </w:rPr>
      </w:pPr>
      <w:r w:rsidRPr="00EF118D">
        <w:rPr>
          <w:rFonts w:ascii="Arial" w:hAnsi="Arial" w:cs="Arial"/>
          <w:sz w:val="22"/>
          <w:szCs w:val="22"/>
        </w:rPr>
        <w:t xml:space="preserve">The site comprises Moorfield Farmhouse, a Grade II listed dwelling situated on Church Street within the Steeple Ashton Conservation Area. The site lies opposite other Grade II listed buildings at 1 and 3 Church Street and approximately 25 metres south of the Grade I listed Church of St Mary and its associated Grade II listed gate piers and gates. The surrounding area is characterised by historic village development and designated heritage assets. The site lies within the 6.4km buffer of the Salisbury Plain Special Protection Area, is located within the Trowbridge and Westbury Bat Mitigation Strategy grey </w:t>
      </w:r>
      <w:proofErr w:type="gramStart"/>
      <w:r w:rsidRPr="00EF118D">
        <w:rPr>
          <w:rFonts w:ascii="Arial" w:hAnsi="Arial" w:cs="Arial"/>
          <w:sz w:val="22"/>
          <w:szCs w:val="22"/>
        </w:rPr>
        <w:t>zone, and</w:t>
      </w:r>
      <w:proofErr w:type="gramEnd"/>
      <w:r w:rsidRPr="00EF118D">
        <w:rPr>
          <w:rFonts w:ascii="Arial" w:hAnsi="Arial" w:cs="Arial"/>
          <w:sz w:val="22"/>
          <w:szCs w:val="22"/>
        </w:rPr>
        <w:t xml:space="preserve"> is adjacent to a public right of way (SASH24) to the north. While the site is within Flood Zone 1, the Strategic Flood Risk Assessment identifies a potential risk of groundwater flooding, which represents an additional environmental constraint to be considered.</w:t>
      </w:r>
    </w:p>
    <w:p w14:paraId="49FCA2F2" w14:textId="77777777" w:rsidR="00736736" w:rsidRPr="00075C07" w:rsidRDefault="00736736"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35591A1C" w14:textId="77777777" w:rsidR="00C25413" w:rsidRPr="00075C07" w:rsidRDefault="00C25413" w:rsidP="00CC6665">
      <w:pPr>
        <w:spacing w:line="276" w:lineRule="auto"/>
        <w:rPr>
          <w:rFonts w:ascii="Arial" w:hAnsi="Arial" w:cs="Arial"/>
          <w:sz w:val="22"/>
          <w:szCs w:val="22"/>
        </w:rPr>
      </w:pPr>
    </w:p>
    <w:tbl>
      <w:tblPr>
        <w:tblW w:w="1048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92"/>
        <w:gridCol w:w="7312"/>
        <w:gridCol w:w="1276"/>
      </w:tblGrid>
      <w:tr w:rsidR="00303570" w:rsidRPr="00075C07" w14:paraId="75CA40BE" w14:textId="77777777" w:rsidTr="00244BF2">
        <w:tc>
          <w:tcPr>
            <w:tcW w:w="1892" w:type="dxa"/>
            <w:tcBorders>
              <w:top w:val="single" w:sz="6" w:space="0" w:color="auto"/>
              <w:bottom w:val="single" w:sz="4"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7312" w:type="dxa"/>
            <w:tcBorders>
              <w:top w:val="single" w:sz="6" w:space="0" w:color="auto"/>
              <w:left w:val="single" w:sz="12" w:space="0" w:color="auto"/>
              <w:bottom w:val="single" w:sz="4"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276" w:type="dxa"/>
            <w:tcBorders>
              <w:top w:val="single" w:sz="6" w:space="0" w:color="auto"/>
              <w:left w:val="single" w:sz="12" w:space="0" w:color="auto"/>
              <w:bottom w:val="single" w:sz="4"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E03E96" w:rsidRPr="00075C07" w14:paraId="5483CA9F"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5C108290"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W/89/00956/LBC</w:t>
            </w:r>
          </w:p>
        </w:tc>
        <w:tc>
          <w:tcPr>
            <w:tcW w:w="7312" w:type="dxa"/>
            <w:tcBorders>
              <w:top w:val="single" w:sz="4" w:space="0" w:color="auto"/>
              <w:left w:val="single" w:sz="4" w:space="0" w:color="auto"/>
              <w:bottom w:val="single" w:sz="4" w:space="0" w:color="auto"/>
              <w:right w:val="single" w:sz="4" w:space="0" w:color="auto"/>
            </w:tcBorders>
            <w:vAlign w:val="center"/>
          </w:tcPr>
          <w:p w14:paraId="006DC4DA"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Raise height of wall 1'6''</w:t>
            </w:r>
          </w:p>
        </w:tc>
        <w:tc>
          <w:tcPr>
            <w:tcW w:w="1276" w:type="dxa"/>
            <w:tcBorders>
              <w:top w:val="single" w:sz="4" w:space="0" w:color="auto"/>
              <w:left w:val="single" w:sz="4" w:space="0" w:color="auto"/>
              <w:bottom w:val="single" w:sz="4" w:space="0" w:color="auto"/>
              <w:right w:val="single" w:sz="4" w:space="0" w:color="auto"/>
            </w:tcBorders>
            <w:vAlign w:val="center"/>
          </w:tcPr>
          <w:p w14:paraId="0E25A050"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54DBEB48"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5F010585"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W/89/00955/FUL</w:t>
            </w:r>
          </w:p>
        </w:tc>
        <w:tc>
          <w:tcPr>
            <w:tcW w:w="7312" w:type="dxa"/>
            <w:tcBorders>
              <w:top w:val="single" w:sz="4" w:space="0" w:color="auto"/>
              <w:left w:val="single" w:sz="4" w:space="0" w:color="auto"/>
              <w:bottom w:val="single" w:sz="4" w:space="0" w:color="auto"/>
              <w:right w:val="single" w:sz="4" w:space="0" w:color="auto"/>
            </w:tcBorders>
            <w:vAlign w:val="center"/>
          </w:tcPr>
          <w:p w14:paraId="453DBA0D"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Raise height of wall 1'6''</w:t>
            </w:r>
          </w:p>
        </w:tc>
        <w:tc>
          <w:tcPr>
            <w:tcW w:w="1276" w:type="dxa"/>
            <w:tcBorders>
              <w:top w:val="single" w:sz="4" w:space="0" w:color="auto"/>
              <w:left w:val="single" w:sz="4" w:space="0" w:color="auto"/>
              <w:bottom w:val="single" w:sz="4" w:space="0" w:color="auto"/>
              <w:right w:val="single" w:sz="4" w:space="0" w:color="auto"/>
            </w:tcBorders>
            <w:vAlign w:val="center"/>
          </w:tcPr>
          <w:p w14:paraId="6C174C6D"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A70F42" w:rsidRPr="00075C07" w14:paraId="004E79CB"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359FBBDE"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W/08/01241/LBC</w:t>
            </w:r>
          </w:p>
        </w:tc>
        <w:tc>
          <w:tcPr>
            <w:tcW w:w="7312" w:type="dxa"/>
            <w:tcBorders>
              <w:top w:val="single" w:sz="4" w:space="0" w:color="auto"/>
              <w:left w:val="single" w:sz="4" w:space="0" w:color="auto"/>
              <w:bottom w:val="single" w:sz="4" w:space="0" w:color="auto"/>
              <w:right w:val="single" w:sz="4" w:space="0" w:color="auto"/>
            </w:tcBorders>
            <w:vAlign w:val="center"/>
          </w:tcPr>
          <w:p w14:paraId="4BF7168E"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Repairs to cowshed</w:t>
            </w:r>
          </w:p>
        </w:tc>
        <w:tc>
          <w:tcPr>
            <w:tcW w:w="1276" w:type="dxa"/>
            <w:tcBorders>
              <w:top w:val="single" w:sz="4" w:space="0" w:color="auto"/>
              <w:left w:val="single" w:sz="4" w:space="0" w:color="auto"/>
              <w:bottom w:val="single" w:sz="4" w:space="0" w:color="auto"/>
              <w:right w:val="single" w:sz="4" w:space="0" w:color="auto"/>
            </w:tcBorders>
            <w:vAlign w:val="center"/>
          </w:tcPr>
          <w:p w14:paraId="6129166F"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A70F42" w:rsidRPr="00075C07" w14:paraId="1ED0A350"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5DA30F93"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W/08/02817/LBC</w:t>
            </w:r>
          </w:p>
        </w:tc>
        <w:tc>
          <w:tcPr>
            <w:tcW w:w="7312" w:type="dxa"/>
            <w:tcBorders>
              <w:top w:val="single" w:sz="4" w:space="0" w:color="auto"/>
              <w:left w:val="single" w:sz="4" w:space="0" w:color="auto"/>
              <w:bottom w:val="single" w:sz="4" w:space="0" w:color="auto"/>
              <w:right w:val="single" w:sz="4" w:space="0" w:color="auto"/>
            </w:tcBorders>
            <w:vAlign w:val="center"/>
          </w:tcPr>
          <w:p w14:paraId="53996866"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Proposed boundary walling</w:t>
            </w:r>
          </w:p>
        </w:tc>
        <w:tc>
          <w:tcPr>
            <w:tcW w:w="1276" w:type="dxa"/>
            <w:tcBorders>
              <w:top w:val="single" w:sz="4" w:space="0" w:color="auto"/>
              <w:left w:val="single" w:sz="4" w:space="0" w:color="auto"/>
              <w:bottom w:val="single" w:sz="4" w:space="0" w:color="auto"/>
              <w:right w:val="single" w:sz="4" w:space="0" w:color="auto"/>
            </w:tcBorders>
            <w:vAlign w:val="center"/>
          </w:tcPr>
          <w:p w14:paraId="3F46EBCB" w14:textId="77777777" w:rsidR="00A70F42" w:rsidRPr="007A0569" w:rsidRDefault="00A70F42"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2AA6E6C0"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4CCB0426"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W/09/02433/FUL</w:t>
            </w:r>
          </w:p>
        </w:tc>
        <w:tc>
          <w:tcPr>
            <w:tcW w:w="7312" w:type="dxa"/>
            <w:tcBorders>
              <w:top w:val="single" w:sz="4" w:space="0" w:color="auto"/>
              <w:left w:val="single" w:sz="4" w:space="0" w:color="auto"/>
              <w:bottom w:val="single" w:sz="4" w:space="0" w:color="auto"/>
              <w:right w:val="single" w:sz="4" w:space="0" w:color="auto"/>
            </w:tcBorders>
            <w:vAlign w:val="center"/>
          </w:tcPr>
          <w:p w14:paraId="236AF5D5"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Proposed demolition of existing sheds and replacement with double carport, and store/workshop/studio building</w:t>
            </w:r>
          </w:p>
        </w:tc>
        <w:tc>
          <w:tcPr>
            <w:tcW w:w="1276" w:type="dxa"/>
            <w:tcBorders>
              <w:top w:val="single" w:sz="4" w:space="0" w:color="auto"/>
              <w:left w:val="single" w:sz="4" w:space="0" w:color="auto"/>
              <w:bottom w:val="single" w:sz="4" w:space="0" w:color="auto"/>
              <w:right w:val="single" w:sz="4" w:space="0" w:color="auto"/>
            </w:tcBorders>
            <w:vAlign w:val="center"/>
          </w:tcPr>
          <w:p w14:paraId="59659F8E"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74C96254"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320789A1"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W/11/01484/LBC</w:t>
            </w:r>
          </w:p>
        </w:tc>
        <w:tc>
          <w:tcPr>
            <w:tcW w:w="7312" w:type="dxa"/>
            <w:tcBorders>
              <w:top w:val="single" w:sz="4" w:space="0" w:color="auto"/>
              <w:left w:val="single" w:sz="4" w:space="0" w:color="auto"/>
              <w:bottom w:val="single" w:sz="4" w:space="0" w:color="auto"/>
              <w:right w:val="single" w:sz="4" w:space="0" w:color="auto"/>
            </w:tcBorders>
            <w:vAlign w:val="center"/>
          </w:tcPr>
          <w:p w14:paraId="6637AA6C"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and lean-to garage Construction of new two storey wing to southwest corner</w:t>
            </w:r>
          </w:p>
        </w:tc>
        <w:tc>
          <w:tcPr>
            <w:tcW w:w="1276" w:type="dxa"/>
            <w:tcBorders>
              <w:top w:val="single" w:sz="4" w:space="0" w:color="auto"/>
              <w:left w:val="single" w:sz="4" w:space="0" w:color="auto"/>
              <w:bottom w:val="single" w:sz="4" w:space="0" w:color="auto"/>
              <w:right w:val="single" w:sz="4" w:space="0" w:color="auto"/>
            </w:tcBorders>
            <w:vAlign w:val="center"/>
          </w:tcPr>
          <w:p w14:paraId="0091CF46"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642B9F47"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3128F79A"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W/11/01483/FUL</w:t>
            </w:r>
          </w:p>
        </w:tc>
        <w:tc>
          <w:tcPr>
            <w:tcW w:w="7312" w:type="dxa"/>
            <w:tcBorders>
              <w:top w:val="single" w:sz="4" w:space="0" w:color="auto"/>
              <w:left w:val="single" w:sz="4" w:space="0" w:color="auto"/>
              <w:bottom w:val="single" w:sz="4" w:space="0" w:color="auto"/>
              <w:right w:val="single" w:sz="4" w:space="0" w:color="auto"/>
            </w:tcBorders>
            <w:vAlign w:val="center"/>
          </w:tcPr>
          <w:p w14:paraId="0BAFA0D8"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Demolition of flat roof extension and lean-to garage, construction of two storey wing to southwest corner</w:t>
            </w:r>
          </w:p>
        </w:tc>
        <w:tc>
          <w:tcPr>
            <w:tcW w:w="1276" w:type="dxa"/>
            <w:tcBorders>
              <w:top w:val="single" w:sz="4" w:space="0" w:color="auto"/>
              <w:left w:val="single" w:sz="4" w:space="0" w:color="auto"/>
              <w:bottom w:val="single" w:sz="4" w:space="0" w:color="auto"/>
              <w:right w:val="single" w:sz="4" w:space="0" w:color="auto"/>
            </w:tcBorders>
            <w:vAlign w:val="center"/>
          </w:tcPr>
          <w:p w14:paraId="6BBA4666"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0604EC6E"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20AF9B8B"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14/04215/FUL</w:t>
            </w:r>
          </w:p>
        </w:tc>
        <w:tc>
          <w:tcPr>
            <w:tcW w:w="7312" w:type="dxa"/>
            <w:tcBorders>
              <w:top w:val="single" w:sz="4" w:space="0" w:color="auto"/>
              <w:left w:val="single" w:sz="4" w:space="0" w:color="auto"/>
              <w:bottom w:val="single" w:sz="4" w:space="0" w:color="auto"/>
              <w:right w:val="single" w:sz="4" w:space="0" w:color="auto"/>
            </w:tcBorders>
            <w:vAlign w:val="center"/>
          </w:tcPr>
          <w:p w14:paraId="0BEEF9E4"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Partially retrospective outbuilding with double car port (Alteration to planning permission W/09/02433/FUL)</w:t>
            </w:r>
          </w:p>
        </w:tc>
        <w:tc>
          <w:tcPr>
            <w:tcW w:w="1276" w:type="dxa"/>
            <w:tcBorders>
              <w:top w:val="single" w:sz="4" w:space="0" w:color="auto"/>
              <w:left w:val="single" w:sz="4" w:space="0" w:color="auto"/>
              <w:bottom w:val="single" w:sz="4" w:space="0" w:color="auto"/>
              <w:right w:val="single" w:sz="4" w:space="0" w:color="auto"/>
            </w:tcBorders>
            <w:vAlign w:val="center"/>
          </w:tcPr>
          <w:p w14:paraId="69F563DC"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303570" w:rsidRPr="00075C07" w14:paraId="7205AC3B"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6B22C25D" w14:textId="0132AFF4" w:rsidR="00303570" w:rsidRPr="007A0569" w:rsidRDefault="00317514" w:rsidP="00CC6665">
            <w:pPr>
              <w:spacing w:line="276" w:lineRule="auto"/>
              <w:rPr>
                <w:rFonts w:ascii="Arial" w:hAnsi="Arial" w:cs="Arial"/>
                <w:color w:val="000000"/>
                <w:sz w:val="22"/>
                <w:szCs w:val="22"/>
              </w:rPr>
            </w:pPr>
            <w:r w:rsidRPr="007A0569">
              <w:rPr>
                <w:rFonts w:ascii="Arial" w:hAnsi="Arial" w:cs="Arial"/>
                <w:color w:val="000000"/>
                <w:sz w:val="22"/>
                <w:szCs w:val="22"/>
              </w:rPr>
              <w:t>15/10171/FUL</w:t>
            </w:r>
          </w:p>
        </w:tc>
        <w:tc>
          <w:tcPr>
            <w:tcW w:w="7312" w:type="dxa"/>
            <w:tcBorders>
              <w:top w:val="single" w:sz="4" w:space="0" w:color="auto"/>
              <w:left w:val="single" w:sz="4" w:space="0" w:color="auto"/>
              <w:bottom w:val="single" w:sz="4" w:space="0" w:color="auto"/>
              <w:right w:val="single" w:sz="4" w:space="0" w:color="auto"/>
            </w:tcBorders>
            <w:vAlign w:val="center"/>
          </w:tcPr>
          <w:p w14:paraId="2F87680A" w14:textId="4531A2EE" w:rsidR="00303570" w:rsidRPr="007A0569" w:rsidRDefault="00317514" w:rsidP="00CC6665">
            <w:pPr>
              <w:spacing w:line="276" w:lineRule="auto"/>
              <w:rPr>
                <w:rFonts w:ascii="Arial" w:hAnsi="Arial" w:cs="Arial"/>
                <w:color w:val="000000"/>
                <w:sz w:val="22"/>
                <w:szCs w:val="22"/>
              </w:rPr>
            </w:pPr>
            <w:r w:rsidRPr="007A0569">
              <w:rPr>
                <w:rFonts w:ascii="Arial" w:hAnsi="Arial" w:cs="Arial"/>
                <w:color w:val="000000"/>
                <w:sz w:val="22"/>
                <w:szCs w:val="22"/>
              </w:rPr>
              <w:t>Retrospective application for windows and roof lights already inserted and proposed flat roofed store addition at rear of car port ancillary outbuilding located at the rear of the dwellinghouse.</w:t>
            </w:r>
          </w:p>
        </w:tc>
        <w:tc>
          <w:tcPr>
            <w:tcW w:w="1276" w:type="dxa"/>
            <w:tcBorders>
              <w:top w:val="single" w:sz="4" w:space="0" w:color="auto"/>
              <w:left w:val="single" w:sz="4" w:space="0" w:color="auto"/>
              <w:bottom w:val="single" w:sz="4" w:space="0" w:color="auto"/>
              <w:right w:val="single" w:sz="4" w:space="0" w:color="auto"/>
            </w:tcBorders>
            <w:vAlign w:val="center"/>
          </w:tcPr>
          <w:p w14:paraId="78AF2404" w14:textId="499EE8B6" w:rsidR="00303570" w:rsidRPr="007A0569" w:rsidRDefault="00317514"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E03E96" w:rsidRPr="00075C07" w14:paraId="46E658A5"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469A2D8E"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15/10271/LBC</w:t>
            </w:r>
          </w:p>
        </w:tc>
        <w:tc>
          <w:tcPr>
            <w:tcW w:w="7312" w:type="dxa"/>
            <w:tcBorders>
              <w:top w:val="single" w:sz="4" w:space="0" w:color="auto"/>
              <w:left w:val="single" w:sz="4" w:space="0" w:color="auto"/>
              <w:bottom w:val="single" w:sz="4" w:space="0" w:color="auto"/>
              <w:right w:val="single" w:sz="4" w:space="0" w:color="auto"/>
            </w:tcBorders>
            <w:vAlign w:val="center"/>
          </w:tcPr>
          <w:p w14:paraId="23D27DB9"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Retrospective application for windows and roof lights already inserted and proposed flat roofed store addition at rear of car port ancillary outbuilding located at the rear of the dwellinghouse.</w:t>
            </w:r>
          </w:p>
        </w:tc>
        <w:tc>
          <w:tcPr>
            <w:tcW w:w="1276" w:type="dxa"/>
            <w:tcBorders>
              <w:top w:val="single" w:sz="4" w:space="0" w:color="auto"/>
              <w:left w:val="single" w:sz="4" w:space="0" w:color="auto"/>
              <w:bottom w:val="single" w:sz="4" w:space="0" w:color="auto"/>
              <w:right w:val="single" w:sz="4" w:space="0" w:color="auto"/>
            </w:tcBorders>
            <w:vAlign w:val="center"/>
          </w:tcPr>
          <w:p w14:paraId="5D2DF394" w14:textId="77777777" w:rsidR="00E03E96" w:rsidRPr="007A0569" w:rsidRDefault="00E03E9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79122C" w:rsidRPr="00075C07" w14:paraId="624534EF"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6376407E" w14:textId="45A589BA" w:rsidR="0079122C" w:rsidRPr="007A0569" w:rsidRDefault="00C50B66" w:rsidP="00CC6665">
            <w:pPr>
              <w:spacing w:line="276" w:lineRule="auto"/>
              <w:rPr>
                <w:rFonts w:ascii="Arial" w:hAnsi="Arial" w:cs="Arial"/>
                <w:color w:val="000000"/>
                <w:sz w:val="22"/>
                <w:szCs w:val="22"/>
              </w:rPr>
            </w:pPr>
            <w:r w:rsidRPr="007A0569">
              <w:rPr>
                <w:rFonts w:ascii="Arial" w:hAnsi="Arial" w:cs="Arial"/>
                <w:color w:val="000000"/>
                <w:sz w:val="22"/>
                <w:szCs w:val="22"/>
              </w:rPr>
              <w:t>17/01611/LBC</w:t>
            </w:r>
          </w:p>
        </w:tc>
        <w:tc>
          <w:tcPr>
            <w:tcW w:w="7312" w:type="dxa"/>
            <w:tcBorders>
              <w:top w:val="single" w:sz="4" w:space="0" w:color="auto"/>
              <w:left w:val="single" w:sz="4" w:space="0" w:color="auto"/>
              <w:bottom w:val="single" w:sz="4" w:space="0" w:color="auto"/>
              <w:right w:val="single" w:sz="4" w:space="0" w:color="auto"/>
            </w:tcBorders>
            <w:vAlign w:val="center"/>
          </w:tcPr>
          <w:p w14:paraId="4A9513BD" w14:textId="42F3A90C" w:rsidR="0079122C" w:rsidRPr="007A0569" w:rsidRDefault="00C50B66" w:rsidP="00CC6665">
            <w:pPr>
              <w:spacing w:line="276" w:lineRule="auto"/>
              <w:rPr>
                <w:rFonts w:ascii="Arial" w:hAnsi="Arial" w:cs="Arial"/>
                <w:color w:val="000000"/>
                <w:sz w:val="22"/>
                <w:szCs w:val="22"/>
              </w:rPr>
            </w:pPr>
            <w:r w:rsidRPr="007A0569">
              <w:rPr>
                <w:rFonts w:ascii="Arial" w:hAnsi="Arial" w:cs="Arial"/>
                <w:color w:val="000000"/>
                <w:sz w:val="22"/>
                <w:szCs w:val="22"/>
              </w:rPr>
              <w:t xml:space="preserve">Demolition of flat roof extension &amp; lean to garage and construction of two storey wing to </w:t>
            </w:r>
            <w:proofErr w:type="gramStart"/>
            <w:r w:rsidRPr="007A0569">
              <w:rPr>
                <w:rFonts w:ascii="Arial" w:hAnsi="Arial" w:cs="Arial"/>
                <w:color w:val="000000"/>
                <w:sz w:val="22"/>
                <w:szCs w:val="22"/>
              </w:rPr>
              <w:t>South West</w:t>
            </w:r>
            <w:proofErr w:type="gramEnd"/>
            <w:r w:rsidRPr="007A0569">
              <w:rPr>
                <w:rFonts w:ascii="Arial" w:hAnsi="Arial" w:cs="Arial"/>
                <w:color w:val="000000"/>
                <w:sz w:val="22"/>
                <w:szCs w:val="22"/>
              </w:rPr>
              <w:t xml:space="preserve"> corner (Amendment to 11/01484/LBC)</w:t>
            </w:r>
          </w:p>
        </w:tc>
        <w:tc>
          <w:tcPr>
            <w:tcW w:w="1276" w:type="dxa"/>
            <w:tcBorders>
              <w:top w:val="single" w:sz="4" w:space="0" w:color="auto"/>
              <w:left w:val="single" w:sz="4" w:space="0" w:color="auto"/>
              <w:bottom w:val="single" w:sz="4" w:space="0" w:color="auto"/>
              <w:right w:val="single" w:sz="4" w:space="0" w:color="auto"/>
            </w:tcBorders>
            <w:vAlign w:val="center"/>
          </w:tcPr>
          <w:p w14:paraId="54231E10" w14:textId="4AEAB3F3" w:rsidR="0079122C" w:rsidRPr="007A0569" w:rsidRDefault="00C50B66"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r w:rsidR="00D50ACC" w:rsidRPr="00075C07" w14:paraId="57C445AD" w14:textId="77777777" w:rsidTr="00244BF2">
        <w:tc>
          <w:tcPr>
            <w:tcW w:w="1892" w:type="dxa"/>
            <w:tcBorders>
              <w:top w:val="single" w:sz="4" w:space="0" w:color="auto"/>
              <w:left w:val="single" w:sz="4" w:space="0" w:color="auto"/>
              <w:bottom w:val="single" w:sz="4" w:space="0" w:color="auto"/>
              <w:right w:val="single" w:sz="4" w:space="0" w:color="auto"/>
            </w:tcBorders>
            <w:vAlign w:val="center"/>
          </w:tcPr>
          <w:p w14:paraId="67D2A2FD" w14:textId="0D3BEC6F" w:rsidR="00D50ACC" w:rsidRPr="007A0569" w:rsidRDefault="00D50ACC" w:rsidP="00CC6665">
            <w:pPr>
              <w:spacing w:line="276" w:lineRule="auto"/>
              <w:rPr>
                <w:rFonts w:ascii="Arial" w:hAnsi="Arial" w:cs="Arial"/>
                <w:color w:val="000000"/>
                <w:sz w:val="22"/>
                <w:szCs w:val="22"/>
              </w:rPr>
            </w:pPr>
            <w:r w:rsidRPr="007A0569">
              <w:rPr>
                <w:rFonts w:ascii="Arial" w:hAnsi="Arial" w:cs="Arial"/>
                <w:color w:val="000000"/>
                <w:sz w:val="22"/>
                <w:szCs w:val="22"/>
              </w:rPr>
              <w:t>17/01207/FUL</w:t>
            </w:r>
          </w:p>
        </w:tc>
        <w:tc>
          <w:tcPr>
            <w:tcW w:w="7312" w:type="dxa"/>
            <w:tcBorders>
              <w:top w:val="single" w:sz="4" w:space="0" w:color="auto"/>
              <w:left w:val="single" w:sz="4" w:space="0" w:color="auto"/>
              <w:bottom w:val="single" w:sz="4" w:space="0" w:color="auto"/>
              <w:right w:val="single" w:sz="4" w:space="0" w:color="auto"/>
            </w:tcBorders>
            <w:vAlign w:val="center"/>
          </w:tcPr>
          <w:p w14:paraId="16C3A95E" w14:textId="7408DF5F" w:rsidR="00D50ACC" w:rsidRPr="007A0569" w:rsidRDefault="00D50ACC" w:rsidP="00CC6665">
            <w:pPr>
              <w:spacing w:line="276" w:lineRule="auto"/>
              <w:rPr>
                <w:rFonts w:ascii="Arial" w:hAnsi="Arial" w:cs="Arial"/>
                <w:color w:val="000000"/>
                <w:sz w:val="22"/>
                <w:szCs w:val="22"/>
              </w:rPr>
            </w:pPr>
            <w:r w:rsidRPr="007A0569">
              <w:rPr>
                <w:rFonts w:ascii="Arial" w:hAnsi="Arial" w:cs="Arial"/>
                <w:color w:val="000000"/>
                <w:sz w:val="22"/>
                <w:szCs w:val="22"/>
              </w:rPr>
              <w:t xml:space="preserve">Demolition of flat roof extension &amp; lean to garage and construction of two storey wing to </w:t>
            </w:r>
            <w:proofErr w:type="gramStart"/>
            <w:r w:rsidRPr="007A0569">
              <w:rPr>
                <w:rFonts w:ascii="Arial" w:hAnsi="Arial" w:cs="Arial"/>
                <w:color w:val="000000"/>
                <w:sz w:val="22"/>
                <w:szCs w:val="22"/>
              </w:rPr>
              <w:t>South West</w:t>
            </w:r>
            <w:proofErr w:type="gramEnd"/>
            <w:r w:rsidRPr="007A0569">
              <w:rPr>
                <w:rFonts w:ascii="Arial" w:hAnsi="Arial" w:cs="Arial"/>
                <w:color w:val="000000"/>
                <w:sz w:val="22"/>
                <w:szCs w:val="22"/>
              </w:rPr>
              <w:t xml:space="preserve"> corner (Amendment to 11/01483/FUL)</w:t>
            </w:r>
          </w:p>
        </w:tc>
        <w:tc>
          <w:tcPr>
            <w:tcW w:w="1276" w:type="dxa"/>
            <w:tcBorders>
              <w:top w:val="single" w:sz="4" w:space="0" w:color="auto"/>
              <w:left w:val="single" w:sz="4" w:space="0" w:color="auto"/>
              <w:bottom w:val="single" w:sz="4" w:space="0" w:color="auto"/>
              <w:right w:val="single" w:sz="4" w:space="0" w:color="auto"/>
            </w:tcBorders>
            <w:vAlign w:val="center"/>
          </w:tcPr>
          <w:p w14:paraId="6B452C60" w14:textId="3B6D2819" w:rsidR="00D50ACC" w:rsidRPr="007A0569" w:rsidRDefault="00D50ACC" w:rsidP="00CC6665">
            <w:pPr>
              <w:spacing w:line="276" w:lineRule="auto"/>
              <w:rPr>
                <w:rFonts w:ascii="Arial" w:hAnsi="Arial" w:cs="Arial"/>
                <w:color w:val="000000"/>
                <w:sz w:val="22"/>
                <w:szCs w:val="22"/>
              </w:rPr>
            </w:pPr>
            <w:r w:rsidRPr="007A0569">
              <w:rPr>
                <w:rFonts w:ascii="Arial" w:hAnsi="Arial" w:cs="Arial"/>
                <w:color w:val="000000"/>
                <w:sz w:val="22"/>
                <w:szCs w:val="22"/>
              </w:rPr>
              <w:t>Approved</w:t>
            </w:r>
          </w:p>
        </w:tc>
      </w:tr>
    </w:tbl>
    <w:p w14:paraId="3017DD94" w14:textId="77777777" w:rsidR="00B75933" w:rsidRDefault="00B75933" w:rsidP="00CC6665">
      <w:pPr>
        <w:spacing w:line="276" w:lineRule="auto"/>
        <w:rPr>
          <w:rFonts w:ascii="Arial" w:hAnsi="Arial" w:cs="Arial"/>
          <w:b/>
          <w:sz w:val="22"/>
          <w:szCs w:val="22"/>
        </w:rPr>
      </w:pPr>
    </w:p>
    <w:p w14:paraId="60544207" w14:textId="5E8F3DB2" w:rsidR="00244BF2" w:rsidRDefault="00244BF2" w:rsidP="00CC6665">
      <w:pPr>
        <w:spacing w:line="276" w:lineRule="auto"/>
        <w:rPr>
          <w:rFonts w:ascii="Arial" w:hAnsi="Arial" w:cs="Arial"/>
          <w:b/>
          <w:bCs/>
          <w:color w:val="000000"/>
          <w:sz w:val="22"/>
          <w:szCs w:val="22"/>
        </w:rPr>
      </w:pPr>
      <w:r w:rsidRPr="00244BF2">
        <w:rPr>
          <w:rFonts w:ascii="Arial" w:hAnsi="Arial" w:cs="Arial"/>
          <w:color w:val="000000"/>
          <w:sz w:val="22"/>
          <w:szCs w:val="22"/>
        </w:rPr>
        <w:t xml:space="preserve">Planning permission </w:t>
      </w:r>
      <w:r w:rsidRPr="00244BF2">
        <w:rPr>
          <w:rFonts w:ascii="Arial" w:hAnsi="Arial" w:cs="Arial"/>
          <w:b/>
          <w:bCs/>
          <w:color w:val="000000"/>
          <w:sz w:val="22"/>
          <w:szCs w:val="22"/>
        </w:rPr>
        <w:t>17/01207/FUL</w:t>
      </w:r>
      <w:r w:rsidRPr="00244BF2">
        <w:rPr>
          <w:rFonts w:ascii="Arial" w:hAnsi="Arial" w:cs="Arial"/>
          <w:color w:val="000000"/>
          <w:sz w:val="22"/>
          <w:szCs w:val="22"/>
        </w:rPr>
        <w:t xml:space="preserve"> and the associated listed building consent </w:t>
      </w:r>
      <w:r w:rsidRPr="00244BF2">
        <w:rPr>
          <w:rFonts w:ascii="Arial" w:hAnsi="Arial" w:cs="Arial"/>
          <w:b/>
          <w:bCs/>
          <w:color w:val="000000"/>
          <w:sz w:val="22"/>
          <w:szCs w:val="22"/>
        </w:rPr>
        <w:t>17/01611/LBC</w:t>
      </w:r>
      <w:r w:rsidRPr="00244BF2">
        <w:rPr>
          <w:rFonts w:ascii="Arial" w:hAnsi="Arial" w:cs="Arial"/>
          <w:color w:val="000000"/>
          <w:sz w:val="22"/>
          <w:szCs w:val="22"/>
        </w:rPr>
        <w:t xml:space="preserve"> approved the re</w:t>
      </w:r>
      <w:r w:rsidRPr="00244BF2">
        <w:rPr>
          <w:rFonts w:ascii="Cambria Math" w:hAnsi="Cambria Math" w:cs="Cambria Math"/>
          <w:color w:val="000000"/>
          <w:sz w:val="22"/>
          <w:szCs w:val="22"/>
        </w:rPr>
        <w:t>‑</w:t>
      </w:r>
      <w:r w:rsidRPr="00244BF2">
        <w:rPr>
          <w:rFonts w:ascii="Arial" w:hAnsi="Arial" w:cs="Arial"/>
          <w:color w:val="000000"/>
          <w:sz w:val="22"/>
          <w:szCs w:val="22"/>
        </w:rPr>
        <w:t>arrangement of the loft space to provide two separate storage rooms, an attic room and a small offshoot room from the attic space, together with the erection of a rear dormer. This is a material consideration as the current proposal relates directly to the form and use of the approved loft conversion and dormer.</w:t>
      </w:r>
      <w:r w:rsidRPr="00244BF2">
        <w:rPr>
          <w:rFonts w:ascii="Arial" w:hAnsi="Arial" w:cs="Arial"/>
          <w:b/>
          <w:bCs/>
          <w:color w:val="000000"/>
          <w:sz w:val="22"/>
          <w:szCs w:val="22"/>
        </w:rPr>
        <w:t xml:space="preserve"> </w:t>
      </w:r>
    </w:p>
    <w:p w14:paraId="0B8526D0" w14:textId="77777777" w:rsidR="00244BF2" w:rsidRPr="00244BF2" w:rsidRDefault="00244BF2" w:rsidP="00CC6665">
      <w:pPr>
        <w:spacing w:line="276" w:lineRule="auto"/>
        <w:rPr>
          <w:rFonts w:ascii="Arial" w:hAnsi="Arial" w:cs="Arial"/>
          <w:b/>
          <w:bCs/>
          <w:color w:val="000000"/>
          <w:sz w:val="22"/>
          <w:szCs w:val="22"/>
        </w:rPr>
      </w:pPr>
    </w:p>
    <w:p w14:paraId="572325BE" w14:textId="5AF3AF4D" w:rsidR="003B136F" w:rsidRDefault="005606CA" w:rsidP="00CC6665">
      <w:pPr>
        <w:spacing w:line="276" w:lineRule="auto"/>
        <w:rPr>
          <w:rFonts w:ascii="Arial" w:hAnsi="Arial" w:cs="Arial"/>
          <w:b/>
          <w:sz w:val="22"/>
          <w:szCs w:val="22"/>
        </w:rPr>
      </w:pPr>
      <w:r>
        <w:rPr>
          <w:rFonts w:ascii="Arial" w:hAnsi="Arial" w:cs="Arial"/>
          <w:b/>
          <w:noProof/>
          <w:sz w:val="22"/>
          <w:szCs w:val="22"/>
        </w:rPr>
        <w:drawing>
          <wp:inline distT="0" distB="0" distL="0" distR="0" wp14:anchorId="3C7CE190" wp14:editId="23FF89F7">
            <wp:extent cx="6624955" cy="2105025"/>
            <wp:effectExtent l="0" t="0" r="4445" b="9525"/>
            <wp:docPr id="405760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4955" cy="2105025"/>
                    </a:xfrm>
                    <a:prstGeom prst="rect">
                      <a:avLst/>
                    </a:prstGeom>
                    <a:noFill/>
                    <a:ln>
                      <a:noFill/>
                    </a:ln>
                  </pic:spPr>
                </pic:pic>
              </a:graphicData>
            </a:graphic>
          </wp:inline>
        </w:drawing>
      </w:r>
    </w:p>
    <w:p w14:paraId="563388DD" w14:textId="06291C5C" w:rsidR="00A02198" w:rsidRPr="00A02198" w:rsidRDefault="00A02198" w:rsidP="00A02198">
      <w:pPr>
        <w:spacing w:line="276" w:lineRule="auto"/>
        <w:jc w:val="center"/>
        <w:rPr>
          <w:rFonts w:ascii="Arial" w:hAnsi="Arial" w:cs="Arial"/>
          <w:bCs/>
          <w:i/>
          <w:iCs/>
          <w:sz w:val="22"/>
          <w:szCs w:val="22"/>
        </w:rPr>
      </w:pPr>
      <w:r w:rsidRPr="00A02198">
        <w:rPr>
          <w:rFonts w:ascii="Arial" w:hAnsi="Arial" w:cs="Arial"/>
          <w:bCs/>
          <w:i/>
          <w:iCs/>
          <w:sz w:val="22"/>
          <w:szCs w:val="22"/>
        </w:rPr>
        <w:t>Approved Floor Plan</w:t>
      </w:r>
    </w:p>
    <w:p w14:paraId="74CAA100" w14:textId="56E1DA96" w:rsidR="00A02198" w:rsidRDefault="00A02198" w:rsidP="00CC6665">
      <w:pPr>
        <w:spacing w:line="276" w:lineRule="auto"/>
        <w:rPr>
          <w:rFonts w:ascii="Arial" w:hAnsi="Arial" w:cs="Arial"/>
          <w:b/>
          <w:sz w:val="22"/>
          <w:szCs w:val="22"/>
        </w:rPr>
      </w:pPr>
      <w:r>
        <w:rPr>
          <w:rFonts w:ascii="Arial" w:hAnsi="Arial" w:cs="Arial"/>
          <w:b/>
          <w:noProof/>
          <w:sz w:val="22"/>
          <w:szCs w:val="22"/>
        </w:rPr>
        <w:lastRenderedPageBreak/>
        <w:drawing>
          <wp:inline distT="0" distB="0" distL="0" distR="0" wp14:anchorId="755DAB22" wp14:editId="26D5105F">
            <wp:extent cx="6562725" cy="2514600"/>
            <wp:effectExtent l="0" t="0" r="9525" b="0"/>
            <wp:docPr id="1698024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2725" cy="2514600"/>
                    </a:xfrm>
                    <a:prstGeom prst="rect">
                      <a:avLst/>
                    </a:prstGeom>
                    <a:noFill/>
                    <a:ln>
                      <a:noFill/>
                    </a:ln>
                  </pic:spPr>
                </pic:pic>
              </a:graphicData>
            </a:graphic>
          </wp:inline>
        </w:drawing>
      </w:r>
    </w:p>
    <w:p w14:paraId="5239EAB4" w14:textId="61CD6AC7" w:rsidR="00A02198" w:rsidRPr="00A02198" w:rsidRDefault="00A02198" w:rsidP="00A02198">
      <w:pPr>
        <w:spacing w:line="276" w:lineRule="auto"/>
        <w:jc w:val="center"/>
        <w:rPr>
          <w:rFonts w:ascii="Arial" w:hAnsi="Arial" w:cs="Arial"/>
          <w:bCs/>
          <w:i/>
          <w:iCs/>
          <w:sz w:val="22"/>
          <w:szCs w:val="22"/>
        </w:rPr>
      </w:pPr>
      <w:r w:rsidRPr="00A02198">
        <w:rPr>
          <w:rFonts w:ascii="Arial" w:hAnsi="Arial" w:cs="Arial"/>
          <w:bCs/>
          <w:i/>
          <w:iCs/>
          <w:sz w:val="22"/>
          <w:szCs w:val="22"/>
        </w:rPr>
        <w:t>Approved Elevations</w:t>
      </w:r>
    </w:p>
    <w:p w14:paraId="6D54E1B1" w14:textId="77777777" w:rsidR="005606CA" w:rsidRPr="00075C07" w:rsidRDefault="005606CA"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1E1AD3" w:rsidRDefault="00C53B6A" w:rsidP="00CC6665">
      <w:pPr>
        <w:spacing w:line="276" w:lineRule="auto"/>
        <w:rPr>
          <w:rFonts w:ascii="Arial" w:hAnsi="Arial" w:cs="Arial"/>
          <w:sz w:val="22"/>
          <w:szCs w:val="22"/>
        </w:rPr>
      </w:pPr>
    </w:p>
    <w:p w14:paraId="10B576DA" w14:textId="1112F6FD" w:rsidR="00C53B6A"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1</w:t>
      </w:r>
      <w:r w:rsidR="00601AAD" w:rsidRPr="001E1AD3">
        <w:rPr>
          <w:rFonts w:ascii="Arial" w:hAnsi="Arial" w:cs="Arial"/>
          <w:sz w:val="22"/>
          <w:szCs w:val="22"/>
        </w:rPr>
        <w:tab/>
      </w:r>
      <w:r w:rsidR="00601AAD" w:rsidRPr="001E1AD3">
        <w:rPr>
          <w:rFonts w:ascii="Arial" w:hAnsi="Arial" w:cs="Arial"/>
          <w:sz w:val="22"/>
          <w:szCs w:val="22"/>
        </w:rPr>
        <w:tab/>
      </w:r>
      <w:r w:rsidRPr="001E1AD3">
        <w:rPr>
          <w:rFonts w:ascii="Arial" w:hAnsi="Arial" w:cs="Arial"/>
          <w:sz w:val="22"/>
          <w:szCs w:val="22"/>
        </w:rPr>
        <w:t xml:space="preserve">Settlement </w:t>
      </w:r>
      <w:proofErr w:type="gramStart"/>
      <w:r w:rsidR="007A61A7" w:rsidRPr="001E1AD3">
        <w:rPr>
          <w:rFonts w:ascii="Arial" w:hAnsi="Arial" w:cs="Arial"/>
          <w:sz w:val="22"/>
          <w:szCs w:val="22"/>
        </w:rPr>
        <w:t>S</w:t>
      </w:r>
      <w:r w:rsidRPr="001E1AD3">
        <w:rPr>
          <w:rFonts w:ascii="Arial" w:hAnsi="Arial" w:cs="Arial"/>
          <w:sz w:val="22"/>
          <w:szCs w:val="22"/>
        </w:rPr>
        <w:t>trategy;</w:t>
      </w:r>
      <w:proofErr w:type="gramEnd"/>
      <w:r w:rsidRPr="001E1AD3">
        <w:rPr>
          <w:rFonts w:ascii="Arial" w:hAnsi="Arial" w:cs="Arial"/>
          <w:sz w:val="22"/>
          <w:szCs w:val="22"/>
        </w:rPr>
        <w:t xml:space="preserve"> </w:t>
      </w:r>
    </w:p>
    <w:p w14:paraId="476E7C45" w14:textId="745033F9" w:rsidR="00DC64E7"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2</w:t>
      </w:r>
      <w:r w:rsidR="00601AAD" w:rsidRPr="001E1AD3">
        <w:rPr>
          <w:rFonts w:ascii="Arial" w:hAnsi="Arial" w:cs="Arial"/>
          <w:sz w:val="22"/>
          <w:szCs w:val="22"/>
        </w:rPr>
        <w:t xml:space="preserve"> </w:t>
      </w:r>
      <w:r w:rsidR="00601AAD" w:rsidRPr="001E1AD3">
        <w:rPr>
          <w:rFonts w:ascii="Arial" w:hAnsi="Arial" w:cs="Arial"/>
          <w:sz w:val="22"/>
          <w:szCs w:val="22"/>
        </w:rPr>
        <w:tab/>
      </w:r>
      <w:r w:rsidR="00601AAD" w:rsidRPr="001E1AD3">
        <w:rPr>
          <w:rFonts w:ascii="Arial" w:hAnsi="Arial" w:cs="Arial"/>
          <w:sz w:val="22"/>
          <w:szCs w:val="22"/>
        </w:rPr>
        <w:tab/>
      </w:r>
      <w:r w:rsidRPr="001E1AD3">
        <w:rPr>
          <w:rFonts w:ascii="Arial" w:hAnsi="Arial" w:cs="Arial"/>
          <w:sz w:val="22"/>
          <w:szCs w:val="22"/>
        </w:rPr>
        <w:t xml:space="preserve">Delivery </w:t>
      </w:r>
      <w:proofErr w:type="gramStart"/>
      <w:r w:rsidR="007A61A7" w:rsidRPr="001E1AD3">
        <w:rPr>
          <w:rFonts w:ascii="Arial" w:hAnsi="Arial" w:cs="Arial"/>
          <w:sz w:val="22"/>
          <w:szCs w:val="22"/>
        </w:rPr>
        <w:t>S</w:t>
      </w:r>
      <w:r w:rsidRPr="001E1AD3">
        <w:rPr>
          <w:rFonts w:ascii="Arial" w:hAnsi="Arial" w:cs="Arial"/>
          <w:sz w:val="22"/>
          <w:szCs w:val="22"/>
        </w:rPr>
        <w:t>trategy;</w:t>
      </w:r>
      <w:proofErr w:type="gramEnd"/>
    </w:p>
    <w:p w14:paraId="330F5E8C" w14:textId="77777777" w:rsidR="00A772C3" w:rsidRPr="001E1AD3" w:rsidRDefault="00A772C3" w:rsidP="00A772C3">
      <w:pPr>
        <w:autoSpaceDE w:val="0"/>
        <w:autoSpaceDN w:val="0"/>
        <w:adjustRightInd w:val="0"/>
        <w:spacing w:line="276" w:lineRule="auto"/>
        <w:rPr>
          <w:rFonts w:ascii="Arial" w:hAnsi="Arial" w:cs="Arial"/>
          <w:sz w:val="22"/>
          <w:szCs w:val="22"/>
        </w:rPr>
      </w:pPr>
      <w:r w:rsidRPr="001E1AD3">
        <w:rPr>
          <w:rFonts w:ascii="Arial" w:hAnsi="Arial" w:cs="Arial"/>
          <w:sz w:val="22"/>
          <w:szCs w:val="22"/>
        </w:rPr>
        <w:t xml:space="preserve">Core Policy 15 </w:t>
      </w:r>
      <w:r w:rsidRPr="001E1AD3">
        <w:rPr>
          <w:rFonts w:ascii="Arial" w:hAnsi="Arial" w:cs="Arial"/>
          <w:sz w:val="22"/>
          <w:szCs w:val="22"/>
        </w:rPr>
        <w:tab/>
        <w:t xml:space="preserve">Spatial Strategy: Melksham Community </w:t>
      </w:r>
      <w:proofErr w:type="gramStart"/>
      <w:r w:rsidRPr="001E1AD3">
        <w:rPr>
          <w:rFonts w:ascii="Arial" w:hAnsi="Arial" w:cs="Arial"/>
          <w:sz w:val="22"/>
          <w:szCs w:val="22"/>
        </w:rPr>
        <w:t>Area;</w:t>
      </w:r>
      <w:proofErr w:type="gramEnd"/>
    </w:p>
    <w:p w14:paraId="72359717" w14:textId="5D2923D3" w:rsidR="007336B3" w:rsidRPr="001E1AD3" w:rsidRDefault="007336B3"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50</w:t>
      </w:r>
      <w:r w:rsidRPr="001E1AD3">
        <w:rPr>
          <w:rFonts w:ascii="Arial" w:hAnsi="Arial" w:cs="Arial"/>
          <w:sz w:val="22"/>
          <w:szCs w:val="22"/>
        </w:rPr>
        <w:tab/>
      </w:r>
      <w:r w:rsidRPr="001E1AD3">
        <w:rPr>
          <w:rFonts w:ascii="Arial" w:hAnsi="Arial" w:cs="Arial"/>
          <w:sz w:val="22"/>
          <w:szCs w:val="22"/>
        </w:rPr>
        <w:tab/>
        <w:t xml:space="preserve">Biodiversity and </w:t>
      </w:r>
      <w:proofErr w:type="gramStart"/>
      <w:r w:rsidRPr="001E1AD3">
        <w:rPr>
          <w:rFonts w:ascii="Arial" w:hAnsi="Arial" w:cs="Arial"/>
          <w:sz w:val="22"/>
          <w:szCs w:val="22"/>
        </w:rPr>
        <w:t>Geodiversity;</w:t>
      </w:r>
      <w:proofErr w:type="gramEnd"/>
    </w:p>
    <w:p w14:paraId="2C9A8F56" w14:textId="6C82D516" w:rsidR="00C53B6A"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51</w:t>
      </w:r>
      <w:r w:rsidR="00601AAD" w:rsidRPr="001E1AD3">
        <w:rPr>
          <w:rFonts w:ascii="Arial" w:hAnsi="Arial" w:cs="Arial"/>
          <w:sz w:val="22"/>
          <w:szCs w:val="22"/>
        </w:rPr>
        <w:t xml:space="preserve"> </w:t>
      </w:r>
      <w:r w:rsidR="00601AAD" w:rsidRPr="001E1AD3">
        <w:rPr>
          <w:rFonts w:ascii="Arial" w:hAnsi="Arial" w:cs="Arial"/>
          <w:sz w:val="22"/>
          <w:szCs w:val="22"/>
        </w:rPr>
        <w:tab/>
      </w:r>
      <w:proofErr w:type="gramStart"/>
      <w:r w:rsidRPr="001E1AD3">
        <w:rPr>
          <w:rFonts w:ascii="Arial" w:hAnsi="Arial" w:cs="Arial"/>
          <w:sz w:val="22"/>
          <w:szCs w:val="22"/>
        </w:rPr>
        <w:t>Landscape;</w:t>
      </w:r>
      <w:proofErr w:type="gramEnd"/>
      <w:r w:rsidRPr="001E1AD3">
        <w:rPr>
          <w:rFonts w:ascii="Arial" w:hAnsi="Arial" w:cs="Arial"/>
          <w:sz w:val="22"/>
          <w:szCs w:val="22"/>
        </w:rPr>
        <w:t xml:space="preserve"> </w:t>
      </w:r>
    </w:p>
    <w:p w14:paraId="40D32787" w14:textId="78D7E7D9" w:rsidR="00A938B9"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57</w:t>
      </w:r>
      <w:r w:rsidR="00601AAD" w:rsidRPr="001E1AD3">
        <w:rPr>
          <w:rFonts w:ascii="Arial" w:hAnsi="Arial" w:cs="Arial"/>
          <w:sz w:val="22"/>
          <w:szCs w:val="22"/>
        </w:rPr>
        <w:t xml:space="preserve"> </w:t>
      </w:r>
      <w:r w:rsidR="00601AAD" w:rsidRPr="001E1AD3">
        <w:rPr>
          <w:rFonts w:ascii="Arial" w:hAnsi="Arial" w:cs="Arial"/>
          <w:sz w:val="22"/>
          <w:szCs w:val="22"/>
        </w:rPr>
        <w:tab/>
      </w:r>
      <w:r w:rsidRPr="001E1AD3">
        <w:rPr>
          <w:rFonts w:ascii="Arial" w:hAnsi="Arial" w:cs="Arial"/>
          <w:sz w:val="22"/>
          <w:szCs w:val="22"/>
        </w:rPr>
        <w:t xml:space="preserve">Ensuring </w:t>
      </w:r>
      <w:r w:rsidR="007A61A7" w:rsidRPr="001E1AD3">
        <w:rPr>
          <w:rFonts w:ascii="Arial" w:hAnsi="Arial" w:cs="Arial"/>
          <w:sz w:val="22"/>
          <w:szCs w:val="22"/>
        </w:rPr>
        <w:t>H</w:t>
      </w:r>
      <w:r w:rsidRPr="001E1AD3">
        <w:rPr>
          <w:rFonts w:ascii="Arial" w:hAnsi="Arial" w:cs="Arial"/>
          <w:sz w:val="22"/>
          <w:szCs w:val="22"/>
        </w:rPr>
        <w:t>igh-</w:t>
      </w:r>
      <w:r w:rsidR="007A61A7" w:rsidRPr="001E1AD3">
        <w:rPr>
          <w:rFonts w:ascii="Arial" w:hAnsi="Arial" w:cs="Arial"/>
          <w:sz w:val="22"/>
          <w:szCs w:val="22"/>
        </w:rPr>
        <w:t>Q</w:t>
      </w:r>
      <w:r w:rsidRPr="001E1AD3">
        <w:rPr>
          <w:rFonts w:ascii="Arial" w:hAnsi="Arial" w:cs="Arial"/>
          <w:sz w:val="22"/>
          <w:szCs w:val="22"/>
        </w:rPr>
        <w:t xml:space="preserve">uality </w:t>
      </w:r>
      <w:r w:rsidR="007A61A7" w:rsidRPr="001E1AD3">
        <w:rPr>
          <w:rFonts w:ascii="Arial" w:hAnsi="Arial" w:cs="Arial"/>
          <w:sz w:val="22"/>
          <w:szCs w:val="22"/>
        </w:rPr>
        <w:t>D</w:t>
      </w:r>
      <w:r w:rsidRPr="001E1AD3">
        <w:rPr>
          <w:rFonts w:ascii="Arial" w:hAnsi="Arial" w:cs="Arial"/>
          <w:sz w:val="22"/>
          <w:szCs w:val="22"/>
        </w:rPr>
        <w:t xml:space="preserve">esign and </w:t>
      </w:r>
      <w:r w:rsidR="007A61A7" w:rsidRPr="001E1AD3">
        <w:rPr>
          <w:rFonts w:ascii="Arial" w:hAnsi="Arial" w:cs="Arial"/>
          <w:sz w:val="22"/>
          <w:szCs w:val="22"/>
        </w:rPr>
        <w:t>P</w:t>
      </w:r>
      <w:r w:rsidRPr="001E1AD3">
        <w:rPr>
          <w:rFonts w:ascii="Arial" w:hAnsi="Arial" w:cs="Arial"/>
          <w:sz w:val="22"/>
          <w:szCs w:val="22"/>
        </w:rPr>
        <w:t xml:space="preserve">lace </w:t>
      </w:r>
      <w:proofErr w:type="gramStart"/>
      <w:r w:rsidR="007A61A7" w:rsidRPr="001E1AD3">
        <w:rPr>
          <w:rFonts w:ascii="Arial" w:hAnsi="Arial" w:cs="Arial"/>
          <w:sz w:val="22"/>
          <w:szCs w:val="22"/>
        </w:rPr>
        <w:t>S</w:t>
      </w:r>
      <w:r w:rsidRPr="001E1AD3">
        <w:rPr>
          <w:rFonts w:ascii="Arial" w:hAnsi="Arial" w:cs="Arial"/>
          <w:sz w:val="22"/>
          <w:szCs w:val="22"/>
        </w:rPr>
        <w:t>haping;</w:t>
      </w:r>
      <w:proofErr w:type="gramEnd"/>
      <w:r w:rsidRPr="001E1AD3">
        <w:rPr>
          <w:rFonts w:ascii="Arial" w:hAnsi="Arial" w:cs="Arial"/>
          <w:sz w:val="22"/>
          <w:szCs w:val="22"/>
        </w:rPr>
        <w:t xml:space="preserve"> </w:t>
      </w:r>
    </w:p>
    <w:p w14:paraId="5D5EEFD7" w14:textId="6F800EB9" w:rsidR="00A938B9" w:rsidRPr="001E1AD3" w:rsidRDefault="00A938B9"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58</w:t>
      </w:r>
      <w:r w:rsidRPr="001E1AD3">
        <w:rPr>
          <w:rFonts w:ascii="Arial" w:hAnsi="Arial" w:cs="Arial"/>
          <w:sz w:val="22"/>
          <w:szCs w:val="22"/>
        </w:rPr>
        <w:tab/>
      </w:r>
      <w:r w:rsidRPr="001E1AD3">
        <w:rPr>
          <w:rFonts w:ascii="Arial" w:hAnsi="Arial" w:cs="Arial"/>
          <w:sz w:val="22"/>
          <w:szCs w:val="22"/>
        </w:rPr>
        <w:tab/>
        <w:t xml:space="preserve">Ensuring Conservation of the Historic </w:t>
      </w:r>
      <w:proofErr w:type="gramStart"/>
      <w:r w:rsidRPr="001E1AD3">
        <w:rPr>
          <w:rFonts w:ascii="Arial" w:hAnsi="Arial" w:cs="Arial"/>
          <w:sz w:val="22"/>
          <w:szCs w:val="22"/>
        </w:rPr>
        <w:t>Environment;</w:t>
      </w:r>
      <w:proofErr w:type="gramEnd"/>
    </w:p>
    <w:p w14:paraId="11ED6A25" w14:textId="7AF5F23B" w:rsidR="00EB3DCC" w:rsidRPr="001E1AD3" w:rsidRDefault="00EB3DCC"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60</w:t>
      </w:r>
      <w:r w:rsidRPr="001E1AD3">
        <w:rPr>
          <w:rFonts w:ascii="Arial" w:hAnsi="Arial" w:cs="Arial"/>
          <w:sz w:val="22"/>
          <w:szCs w:val="22"/>
        </w:rPr>
        <w:tab/>
      </w:r>
      <w:r w:rsidRPr="001E1AD3">
        <w:rPr>
          <w:rFonts w:ascii="Arial" w:hAnsi="Arial" w:cs="Arial"/>
          <w:sz w:val="22"/>
          <w:szCs w:val="22"/>
        </w:rPr>
        <w:tab/>
        <w:t xml:space="preserve">Sustainable </w:t>
      </w:r>
      <w:proofErr w:type="gramStart"/>
      <w:r w:rsidRPr="001E1AD3">
        <w:rPr>
          <w:rFonts w:ascii="Arial" w:hAnsi="Arial" w:cs="Arial"/>
          <w:sz w:val="22"/>
          <w:szCs w:val="22"/>
        </w:rPr>
        <w:t>Transport;</w:t>
      </w:r>
      <w:proofErr w:type="gramEnd"/>
    </w:p>
    <w:p w14:paraId="77A925A7" w14:textId="333FBA5F" w:rsidR="00C53B6A"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61</w:t>
      </w:r>
      <w:r w:rsidR="00601AAD" w:rsidRPr="001E1AD3">
        <w:rPr>
          <w:rFonts w:ascii="Arial" w:hAnsi="Arial" w:cs="Arial"/>
          <w:sz w:val="22"/>
          <w:szCs w:val="22"/>
        </w:rPr>
        <w:t xml:space="preserve"> </w:t>
      </w:r>
      <w:r w:rsidR="00601AAD" w:rsidRPr="001E1AD3">
        <w:rPr>
          <w:rFonts w:ascii="Arial" w:hAnsi="Arial" w:cs="Arial"/>
          <w:sz w:val="22"/>
          <w:szCs w:val="22"/>
        </w:rPr>
        <w:tab/>
      </w:r>
      <w:r w:rsidRPr="001E1AD3">
        <w:rPr>
          <w:rFonts w:ascii="Arial" w:hAnsi="Arial" w:cs="Arial"/>
          <w:sz w:val="22"/>
          <w:szCs w:val="22"/>
        </w:rPr>
        <w:t xml:space="preserve">Transport and </w:t>
      </w:r>
      <w:proofErr w:type="gramStart"/>
      <w:r w:rsidRPr="001E1AD3">
        <w:rPr>
          <w:rFonts w:ascii="Arial" w:hAnsi="Arial" w:cs="Arial"/>
          <w:sz w:val="22"/>
          <w:szCs w:val="22"/>
        </w:rPr>
        <w:t>Development;</w:t>
      </w:r>
      <w:proofErr w:type="gramEnd"/>
      <w:r w:rsidRPr="001E1AD3">
        <w:rPr>
          <w:rFonts w:ascii="Arial" w:hAnsi="Arial" w:cs="Arial"/>
          <w:sz w:val="22"/>
          <w:szCs w:val="22"/>
        </w:rPr>
        <w:t xml:space="preserve"> </w:t>
      </w:r>
    </w:p>
    <w:p w14:paraId="2F1672C7" w14:textId="2EDD9E9D" w:rsidR="00C53B6A" w:rsidRPr="001E1AD3" w:rsidRDefault="00C53B6A"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64</w:t>
      </w:r>
      <w:r w:rsidR="00601AAD" w:rsidRPr="001E1AD3">
        <w:rPr>
          <w:rFonts w:ascii="Arial" w:hAnsi="Arial" w:cs="Arial"/>
          <w:sz w:val="22"/>
          <w:szCs w:val="22"/>
        </w:rPr>
        <w:t xml:space="preserve"> </w:t>
      </w:r>
      <w:r w:rsidR="00601AAD" w:rsidRPr="001E1AD3">
        <w:rPr>
          <w:rFonts w:ascii="Arial" w:hAnsi="Arial" w:cs="Arial"/>
          <w:sz w:val="22"/>
          <w:szCs w:val="22"/>
        </w:rPr>
        <w:tab/>
      </w:r>
      <w:r w:rsidRPr="001E1AD3">
        <w:rPr>
          <w:rFonts w:ascii="Arial" w:hAnsi="Arial" w:cs="Arial"/>
          <w:sz w:val="22"/>
          <w:szCs w:val="22"/>
        </w:rPr>
        <w:t xml:space="preserve">Demand </w:t>
      </w:r>
      <w:proofErr w:type="gramStart"/>
      <w:r w:rsidRPr="001E1AD3">
        <w:rPr>
          <w:rFonts w:ascii="Arial" w:hAnsi="Arial" w:cs="Arial"/>
          <w:sz w:val="22"/>
          <w:szCs w:val="22"/>
        </w:rPr>
        <w:t>Management;</w:t>
      </w:r>
      <w:proofErr w:type="gramEnd"/>
      <w:r w:rsidRPr="001E1AD3">
        <w:rPr>
          <w:rFonts w:ascii="Arial" w:hAnsi="Arial" w:cs="Arial"/>
          <w:sz w:val="22"/>
          <w:szCs w:val="22"/>
        </w:rPr>
        <w:t xml:space="preserve"> </w:t>
      </w:r>
    </w:p>
    <w:p w14:paraId="2911E291" w14:textId="49AA6B9B" w:rsidR="0023524B" w:rsidRPr="001E1AD3" w:rsidRDefault="0023524B" w:rsidP="00CC6665">
      <w:pPr>
        <w:autoSpaceDE w:val="0"/>
        <w:autoSpaceDN w:val="0"/>
        <w:adjustRightInd w:val="0"/>
        <w:spacing w:line="276" w:lineRule="auto"/>
        <w:rPr>
          <w:rFonts w:ascii="Arial" w:hAnsi="Arial" w:cs="Arial"/>
          <w:sz w:val="22"/>
          <w:szCs w:val="22"/>
        </w:rPr>
      </w:pPr>
      <w:r w:rsidRPr="001E1AD3">
        <w:rPr>
          <w:rFonts w:ascii="Arial" w:hAnsi="Arial" w:cs="Arial"/>
          <w:sz w:val="22"/>
          <w:szCs w:val="22"/>
        </w:rPr>
        <w:t>Core Policy 67</w:t>
      </w:r>
      <w:r w:rsidRPr="001E1AD3">
        <w:rPr>
          <w:rFonts w:ascii="Arial" w:hAnsi="Arial" w:cs="Arial"/>
          <w:sz w:val="22"/>
          <w:szCs w:val="22"/>
        </w:rPr>
        <w:tab/>
      </w:r>
      <w:r w:rsidRPr="001E1AD3">
        <w:rPr>
          <w:rFonts w:ascii="Arial" w:hAnsi="Arial" w:cs="Arial"/>
          <w:sz w:val="22"/>
          <w:szCs w:val="22"/>
        </w:rPr>
        <w:tab/>
        <w:t xml:space="preserve">Flood </w:t>
      </w:r>
      <w:proofErr w:type="gramStart"/>
      <w:r w:rsidRPr="001E1AD3">
        <w:rPr>
          <w:rFonts w:ascii="Arial" w:hAnsi="Arial" w:cs="Arial"/>
          <w:sz w:val="22"/>
          <w:szCs w:val="22"/>
        </w:rPr>
        <w:t>Risk;</w:t>
      </w:r>
      <w:proofErr w:type="gramEnd"/>
    </w:p>
    <w:p w14:paraId="64F53B99" w14:textId="77777777" w:rsidR="00DC4F3E" w:rsidRPr="001E1AD3" w:rsidRDefault="00DC4F3E" w:rsidP="00CC6665">
      <w:pPr>
        <w:spacing w:line="276" w:lineRule="auto"/>
        <w:rPr>
          <w:rFonts w:ascii="Arial" w:hAnsi="Arial" w:cs="Arial"/>
          <w:sz w:val="22"/>
          <w:szCs w:val="22"/>
          <w:u w:val="single"/>
        </w:rPr>
      </w:pPr>
    </w:p>
    <w:p w14:paraId="1C924897" w14:textId="124CBC9B" w:rsidR="00DC4F3E" w:rsidRPr="001E1AD3" w:rsidRDefault="00DC4F3E" w:rsidP="00CC6665">
      <w:pPr>
        <w:spacing w:line="276" w:lineRule="auto"/>
        <w:rPr>
          <w:rFonts w:ascii="Arial" w:hAnsi="Arial" w:cs="Arial"/>
          <w:sz w:val="22"/>
          <w:szCs w:val="22"/>
          <w:u w:val="single"/>
        </w:rPr>
      </w:pPr>
      <w:bookmarkStart w:id="0" w:name="_Hlk212452795"/>
      <w:bookmarkStart w:id="1" w:name="_Hlk212461860"/>
      <w:r w:rsidRPr="001E1AD3">
        <w:rPr>
          <w:rFonts w:ascii="Arial" w:hAnsi="Arial" w:cs="Arial"/>
          <w:sz w:val="22"/>
          <w:szCs w:val="22"/>
          <w:u w:val="single"/>
        </w:rPr>
        <w:t>The National Planning Policy Framework (NPPF)</w:t>
      </w:r>
      <w:r w:rsidR="001E1AD3" w:rsidRPr="001E1AD3">
        <w:rPr>
          <w:rFonts w:ascii="Arial" w:hAnsi="Arial" w:cs="Arial"/>
          <w:sz w:val="22"/>
          <w:szCs w:val="22"/>
          <w:u w:val="single"/>
        </w:rPr>
        <w:t xml:space="preserve"> and </w:t>
      </w:r>
      <w:r w:rsidRPr="001E1AD3">
        <w:rPr>
          <w:rFonts w:ascii="Arial" w:hAnsi="Arial" w:cs="Arial"/>
          <w:sz w:val="22"/>
          <w:szCs w:val="22"/>
          <w:u w:val="single"/>
        </w:rPr>
        <w:t>The Planning Practice Guidance (PPG)</w:t>
      </w:r>
    </w:p>
    <w:p w14:paraId="4930FB06" w14:textId="77777777" w:rsidR="008D6C52" w:rsidRPr="001E1AD3" w:rsidRDefault="008D6C52" w:rsidP="00CC6665">
      <w:pPr>
        <w:spacing w:line="276" w:lineRule="auto"/>
        <w:rPr>
          <w:rFonts w:ascii="Arial" w:hAnsi="Arial" w:cs="Arial"/>
          <w:sz w:val="22"/>
          <w:szCs w:val="22"/>
          <w:u w:val="single"/>
        </w:rPr>
      </w:pPr>
    </w:p>
    <w:p w14:paraId="08D91513" w14:textId="2BED8373" w:rsidR="00561AE7" w:rsidRPr="001E1AD3" w:rsidRDefault="008D6C52" w:rsidP="00CC6665">
      <w:pPr>
        <w:spacing w:before="20" w:line="276" w:lineRule="auto"/>
        <w:rPr>
          <w:rFonts w:ascii="Arial" w:hAnsi="Arial" w:cs="Arial"/>
          <w:sz w:val="22"/>
          <w:szCs w:val="22"/>
          <w:u w:val="single"/>
        </w:rPr>
      </w:pPr>
      <w:r w:rsidRPr="001E1AD3">
        <w:rPr>
          <w:rFonts w:ascii="Arial" w:hAnsi="Arial" w:cs="Arial"/>
          <w:sz w:val="22"/>
          <w:szCs w:val="22"/>
          <w:u w:val="single"/>
        </w:rPr>
        <w:t xml:space="preserve">Wiltshire Design Guide </w:t>
      </w:r>
      <w:r w:rsidR="00DC4F3E" w:rsidRPr="001E1AD3">
        <w:rPr>
          <w:rFonts w:ascii="Arial" w:hAnsi="Arial" w:cs="Arial"/>
          <w:sz w:val="22"/>
          <w:szCs w:val="22"/>
          <w:u w:val="single"/>
        </w:rPr>
        <w:t>- Appendix D – Design Guidance for Householder extensions</w:t>
      </w:r>
    </w:p>
    <w:bookmarkEnd w:id="0"/>
    <w:p w14:paraId="19CD89F3" w14:textId="77777777" w:rsidR="00DC4F3E" w:rsidRPr="001E1AD3" w:rsidRDefault="00DC4F3E" w:rsidP="00CC6665">
      <w:pPr>
        <w:spacing w:line="276" w:lineRule="auto"/>
        <w:rPr>
          <w:rFonts w:ascii="Arial" w:hAnsi="Arial" w:cs="Arial"/>
          <w:sz w:val="22"/>
          <w:szCs w:val="22"/>
          <w:u w:val="single"/>
        </w:rPr>
      </w:pPr>
    </w:p>
    <w:p w14:paraId="791E8FB4" w14:textId="79324D54" w:rsidR="00561AE7" w:rsidRPr="001E1AD3" w:rsidRDefault="008D6C52" w:rsidP="00CC6665">
      <w:pPr>
        <w:spacing w:line="276" w:lineRule="auto"/>
        <w:rPr>
          <w:rFonts w:ascii="Arial" w:hAnsi="Arial" w:cs="Arial"/>
          <w:sz w:val="22"/>
          <w:szCs w:val="22"/>
          <w:u w:val="single"/>
        </w:rPr>
      </w:pPr>
      <w:r w:rsidRPr="001E1AD3">
        <w:rPr>
          <w:rFonts w:ascii="Arial" w:hAnsi="Arial" w:cs="Arial"/>
          <w:sz w:val="22"/>
          <w:szCs w:val="22"/>
          <w:u w:val="single"/>
        </w:rPr>
        <w:t>The Wiltshire Local Transport Plan 201</w:t>
      </w:r>
      <w:r w:rsidR="008D5791" w:rsidRPr="001E1AD3">
        <w:rPr>
          <w:rFonts w:ascii="Arial" w:hAnsi="Arial" w:cs="Arial"/>
          <w:sz w:val="22"/>
          <w:szCs w:val="22"/>
          <w:u w:val="single"/>
        </w:rPr>
        <w:t>1</w:t>
      </w:r>
      <w:r w:rsidRPr="001E1AD3">
        <w:rPr>
          <w:rFonts w:ascii="Arial" w:hAnsi="Arial" w:cs="Arial"/>
          <w:sz w:val="22"/>
          <w:szCs w:val="22"/>
          <w:u w:val="single"/>
        </w:rPr>
        <w:t xml:space="preserve"> – 2026: Car Parking Strategy (March 2015).</w:t>
      </w:r>
    </w:p>
    <w:p w14:paraId="68198CF8" w14:textId="77777777" w:rsidR="00DC4F3E" w:rsidRPr="001E1AD3" w:rsidRDefault="00DC4F3E" w:rsidP="00CC6665">
      <w:pPr>
        <w:spacing w:line="276" w:lineRule="auto"/>
        <w:rPr>
          <w:rFonts w:ascii="Arial" w:hAnsi="Arial" w:cs="Arial"/>
          <w:sz w:val="22"/>
          <w:szCs w:val="22"/>
        </w:rPr>
      </w:pPr>
    </w:p>
    <w:p w14:paraId="7E5B5138" w14:textId="30DA2106" w:rsidR="00CD6B35" w:rsidRPr="001E1AD3" w:rsidRDefault="00CD6B35" w:rsidP="00CC6665">
      <w:pPr>
        <w:spacing w:line="276" w:lineRule="auto"/>
        <w:rPr>
          <w:rFonts w:ascii="Arial" w:hAnsi="Arial" w:cs="Arial"/>
          <w:sz w:val="22"/>
          <w:szCs w:val="22"/>
          <w:u w:val="single"/>
        </w:rPr>
      </w:pPr>
      <w:r w:rsidRPr="001E1AD3">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3EF486B7" w14:textId="77777777" w:rsidR="0020632E" w:rsidRPr="004D5C3C" w:rsidRDefault="0020632E" w:rsidP="0020632E">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45E0E33C" w14:textId="77777777" w:rsidR="0020632E" w:rsidRDefault="0020632E" w:rsidP="0020632E">
      <w:pPr>
        <w:pStyle w:val="NormalWeb"/>
        <w:spacing w:before="0" w:beforeAutospacing="0" w:after="0" w:afterAutospacing="0" w:line="276" w:lineRule="auto"/>
        <w:jc w:val="both"/>
        <w:rPr>
          <w:rFonts w:ascii="Arial" w:hAnsi="Arial" w:cs="Arial"/>
          <w:sz w:val="22"/>
          <w:szCs w:val="22"/>
        </w:rPr>
      </w:pPr>
    </w:p>
    <w:p w14:paraId="5F7A5CF2" w14:textId="77777777" w:rsidR="0020632E" w:rsidRPr="00714DA1" w:rsidRDefault="0020632E" w:rsidP="0020632E">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5A021678" w14:textId="77777777" w:rsidR="00EF7DEB" w:rsidRDefault="00EF7DEB" w:rsidP="00CC6665">
      <w:pPr>
        <w:pStyle w:val="NoSpacing"/>
        <w:spacing w:line="276" w:lineRule="auto"/>
      </w:pP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lastRenderedPageBreak/>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E417527" w:rsidR="0060536A" w:rsidRPr="00AB408D" w:rsidRDefault="00AB408D" w:rsidP="00CC6665">
      <w:pPr>
        <w:spacing w:line="276" w:lineRule="auto"/>
        <w:rPr>
          <w:rFonts w:ascii="Arial" w:hAnsi="Arial" w:cs="Arial"/>
          <w:bCs/>
          <w:sz w:val="22"/>
          <w:szCs w:val="22"/>
          <w:u w:val="single"/>
        </w:rPr>
      </w:pPr>
      <w:r w:rsidRPr="00AB408D">
        <w:rPr>
          <w:rFonts w:ascii="Arial" w:hAnsi="Arial" w:cs="Arial"/>
          <w:bCs/>
          <w:sz w:val="22"/>
          <w:szCs w:val="22"/>
          <w:u w:val="single"/>
        </w:rPr>
        <w:t xml:space="preserve">Steeple Ashton </w:t>
      </w:r>
      <w:r w:rsidR="00DC4F3E" w:rsidRPr="00AB408D">
        <w:rPr>
          <w:rFonts w:ascii="Arial" w:hAnsi="Arial" w:cs="Arial"/>
          <w:bCs/>
          <w:sz w:val="22"/>
          <w:szCs w:val="22"/>
          <w:u w:val="single"/>
        </w:rPr>
        <w:t>Parish</w:t>
      </w:r>
      <w:r w:rsidR="005D2581" w:rsidRPr="00AB408D">
        <w:rPr>
          <w:rFonts w:ascii="Arial" w:hAnsi="Arial" w:cs="Arial"/>
          <w:bCs/>
          <w:sz w:val="22"/>
          <w:szCs w:val="22"/>
          <w:u w:val="single"/>
        </w:rPr>
        <w:t xml:space="preserve"> Council</w:t>
      </w:r>
      <w:r w:rsidR="0060536A" w:rsidRPr="00AB408D">
        <w:rPr>
          <w:rFonts w:ascii="Arial" w:hAnsi="Arial" w:cs="Arial"/>
          <w:bCs/>
          <w:sz w:val="22"/>
          <w:szCs w:val="22"/>
          <w:u w:val="single"/>
        </w:rPr>
        <w:t xml:space="preserve"> – </w:t>
      </w:r>
      <w:r w:rsidRPr="00AB408D">
        <w:rPr>
          <w:rFonts w:ascii="Arial" w:hAnsi="Arial" w:cs="Arial"/>
          <w:bCs/>
          <w:sz w:val="22"/>
          <w:szCs w:val="22"/>
          <w:u w:val="single"/>
        </w:rPr>
        <w:t>No Objection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3634B808" w:rsidR="00DC4F3E" w:rsidRPr="007271F7" w:rsidRDefault="007271F7" w:rsidP="00CC6665">
      <w:pPr>
        <w:spacing w:line="276" w:lineRule="auto"/>
        <w:rPr>
          <w:rFonts w:ascii="Arial" w:hAnsi="Arial" w:cs="Arial"/>
          <w:bCs/>
          <w:sz w:val="22"/>
          <w:szCs w:val="22"/>
          <w:u w:val="single"/>
        </w:rPr>
      </w:pPr>
      <w:r w:rsidRPr="007271F7">
        <w:rPr>
          <w:rFonts w:ascii="Arial" w:hAnsi="Arial" w:cs="Arial"/>
          <w:bCs/>
          <w:sz w:val="22"/>
          <w:szCs w:val="22"/>
          <w:u w:val="single"/>
        </w:rPr>
        <w:t xml:space="preserve">Conservation Officer </w:t>
      </w:r>
      <w:r w:rsidR="00DC4F3E" w:rsidRPr="007271F7">
        <w:rPr>
          <w:rFonts w:ascii="Arial" w:hAnsi="Arial" w:cs="Arial"/>
          <w:bCs/>
          <w:sz w:val="22"/>
          <w:szCs w:val="22"/>
          <w:u w:val="single"/>
        </w:rPr>
        <w:t xml:space="preserve">(Wiltshire Council) – </w:t>
      </w:r>
      <w:r w:rsidRPr="007271F7">
        <w:rPr>
          <w:rFonts w:ascii="Arial" w:hAnsi="Arial" w:cs="Arial"/>
          <w:bCs/>
          <w:sz w:val="22"/>
          <w:szCs w:val="22"/>
          <w:u w:val="single"/>
        </w:rPr>
        <w:t>No Objection (subject to conditions)</w:t>
      </w:r>
    </w:p>
    <w:p w14:paraId="2607A35B" w14:textId="77777777" w:rsidR="007271F7" w:rsidRPr="007271F7" w:rsidRDefault="007271F7" w:rsidP="007271F7">
      <w:pPr>
        <w:spacing w:line="276" w:lineRule="auto"/>
        <w:jc w:val="both"/>
        <w:rPr>
          <w:rFonts w:ascii="Arial" w:hAnsi="Arial" w:cs="Arial"/>
          <w:bCs/>
          <w:sz w:val="22"/>
          <w:szCs w:val="22"/>
        </w:rPr>
      </w:pPr>
      <w:r w:rsidRPr="007271F7">
        <w:rPr>
          <w:rFonts w:ascii="Arial" w:hAnsi="Arial" w:cs="Arial"/>
          <w:bCs/>
          <w:sz w:val="22"/>
          <w:szCs w:val="22"/>
        </w:rPr>
        <w:t>Initially, the Conservation Officer raised concerns regarding the use of the attic as habitable accommodation, noting that this use had not been consented and that the submitted Heritage Statement did not adequately assess the impact of the loft conversion works, including rooflights, partitions and services. Following the submission of additional detailed information and photographic evidence, the Officer concluded that the attic works had resulted in little to no adverse impact on the significance of the listed building, were largely reversible, and did not harm historic fabric. On this basis, and subject to a condition requiring removal of the solar panels at the end of their useful life, no objection was raised to the proposal.</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A26ADF" w14:textId="68388C35" w:rsidR="00606E13" w:rsidRPr="00614D1B" w:rsidRDefault="00614D1B" w:rsidP="00614D1B">
      <w:pPr>
        <w:spacing w:line="276" w:lineRule="auto"/>
        <w:jc w:val="both"/>
        <w:rPr>
          <w:rFonts w:ascii="Arial" w:hAnsi="Arial" w:cs="Arial"/>
          <w:bCs/>
          <w:sz w:val="22"/>
          <w:szCs w:val="22"/>
        </w:rPr>
      </w:pPr>
      <w:r w:rsidRPr="00614D1B">
        <w:rPr>
          <w:rFonts w:ascii="Arial" w:hAnsi="Arial" w:cs="Arial"/>
          <w:bCs/>
          <w:sz w:val="22"/>
          <w:szCs w:val="22"/>
        </w:rPr>
        <w:t>One neighbour representation was received which did not raise an objection to the proposed development but commented on the presence of a separate group of approximately 30 solar panels on a converted barn, which do not form part of the current application. The representation queried whether those panels had the benefit of planning permission, noted their visibility from neighbouring properties within the conservation area, and sought clarification on the Council’s position, including reference to the Conservation Officer’s comments regarding the need for solar panels to be removed at the end of their operational life.</w:t>
      </w:r>
    </w:p>
    <w:p w14:paraId="7687BAB3" w14:textId="77777777" w:rsidR="00614D1B" w:rsidRPr="00075C07" w:rsidRDefault="00614D1B"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AE815E5" w14:textId="77777777" w:rsidR="0013052B" w:rsidRDefault="0013052B" w:rsidP="0013052B">
      <w:pPr>
        <w:spacing w:line="276" w:lineRule="auto"/>
        <w:rPr>
          <w:rFonts w:ascii="Arial" w:hAnsi="Arial" w:cs="Arial"/>
          <w:sz w:val="22"/>
          <w:szCs w:val="22"/>
        </w:rPr>
      </w:pPr>
    </w:p>
    <w:p w14:paraId="249CC524" w14:textId="77777777" w:rsidR="0013052B" w:rsidRPr="0013052B" w:rsidRDefault="0013052B" w:rsidP="0013052B">
      <w:pPr>
        <w:spacing w:line="276" w:lineRule="auto"/>
        <w:jc w:val="both"/>
        <w:rPr>
          <w:rFonts w:ascii="Arial" w:hAnsi="Arial" w:cs="Arial"/>
          <w:sz w:val="22"/>
          <w:szCs w:val="22"/>
        </w:rPr>
      </w:pPr>
      <w:r w:rsidRPr="0013052B">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2ACD7120" w14:textId="77777777" w:rsidR="00E35CC0" w:rsidRDefault="00E35CC0" w:rsidP="00E35CC0">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27D744B" w14:textId="77777777" w:rsidR="00942643" w:rsidRDefault="00942643" w:rsidP="00E35CC0">
      <w:pPr>
        <w:spacing w:line="276" w:lineRule="auto"/>
        <w:jc w:val="both"/>
        <w:rPr>
          <w:rFonts w:ascii="Arial" w:hAnsi="Arial" w:cs="Arial"/>
          <w:sz w:val="22"/>
          <w:szCs w:val="22"/>
        </w:rPr>
      </w:pPr>
    </w:p>
    <w:p w14:paraId="4491BA18" w14:textId="77777777" w:rsidR="0027614E" w:rsidRDefault="0027614E" w:rsidP="0027614E">
      <w:pPr>
        <w:spacing w:line="276" w:lineRule="auto"/>
        <w:jc w:val="both"/>
        <w:rPr>
          <w:rFonts w:ascii="Arial" w:hAnsi="Arial" w:cs="Arial"/>
          <w:sz w:val="22"/>
          <w:szCs w:val="22"/>
        </w:rPr>
      </w:pPr>
      <w:r w:rsidRPr="0027614E">
        <w:rPr>
          <w:rFonts w:ascii="Arial" w:hAnsi="Arial" w:cs="Arial"/>
          <w:sz w:val="22"/>
          <w:szCs w:val="22"/>
        </w:rPr>
        <w:t>The proposal largely reverses unauthorised works and reinstates the development to the form previously approved under planning permission 17/01207/FUL, including the removal of the balcony and reinstatement of the flat roof and approved rear dormer. As the external form has already been found acceptable in principle, it is reasonable to assess the proposal on the same basis, noting that the submitted plans confirm the roof infill will align with the existing roof profiles and that the dormer will be reinstated exactly as approved. The original officer assessment concluded that the pitched roof dormer was more traditional in form, sympathetic to the historic character of the building, and sat comfortably within its overall design.</w:t>
      </w:r>
    </w:p>
    <w:p w14:paraId="1FAC9C8E" w14:textId="77777777" w:rsidR="0027614E" w:rsidRPr="0027614E" w:rsidRDefault="0027614E" w:rsidP="0027614E">
      <w:pPr>
        <w:spacing w:line="276" w:lineRule="auto"/>
        <w:jc w:val="both"/>
        <w:rPr>
          <w:rFonts w:ascii="Arial" w:hAnsi="Arial" w:cs="Arial"/>
          <w:sz w:val="22"/>
          <w:szCs w:val="22"/>
        </w:rPr>
      </w:pPr>
    </w:p>
    <w:p w14:paraId="1DB34BF4" w14:textId="77777777" w:rsidR="00CA38AF" w:rsidRDefault="0027614E" w:rsidP="0027614E">
      <w:pPr>
        <w:spacing w:line="276" w:lineRule="auto"/>
        <w:jc w:val="both"/>
        <w:rPr>
          <w:rFonts w:ascii="Arial" w:hAnsi="Arial" w:cs="Arial"/>
          <w:sz w:val="22"/>
          <w:szCs w:val="22"/>
        </w:rPr>
      </w:pPr>
      <w:r w:rsidRPr="0027614E">
        <w:rPr>
          <w:rFonts w:ascii="Arial" w:hAnsi="Arial" w:cs="Arial"/>
          <w:sz w:val="22"/>
          <w:szCs w:val="22"/>
        </w:rPr>
        <w:t>The proposal also includes the retention of rear-facing rooflights, which are small in scale, conservation</w:t>
      </w:r>
      <w:r w:rsidRPr="0027614E">
        <w:rPr>
          <w:rFonts w:ascii="Cambria Math" w:hAnsi="Cambria Math" w:cs="Cambria Math"/>
          <w:sz w:val="22"/>
          <w:szCs w:val="22"/>
        </w:rPr>
        <w:t>‑</w:t>
      </w:r>
      <w:r w:rsidRPr="0027614E">
        <w:rPr>
          <w:rFonts w:ascii="Arial" w:hAnsi="Arial" w:cs="Arial"/>
          <w:sz w:val="22"/>
          <w:szCs w:val="22"/>
        </w:rPr>
        <w:t xml:space="preserve">style in appearance, and use materials that are sympathetic to the host dwelling. These are confined to the rear roof slope, have limited public visibility, and have not raised any objection from the Conservation Officer. </w:t>
      </w:r>
    </w:p>
    <w:p w14:paraId="75CB92AC" w14:textId="77777777" w:rsidR="00CA38AF" w:rsidRDefault="00CA38AF" w:rsidP="0027614E">
      <w:pPr>
        <w:spacing w:line="276" w:lineRule="auto"/>
        <w:jc w:val="both"/>
        <w:rPr>
          <w:rFonts w:ascii="Arial" w:hAnsi="Arial" w:cs="Arial"/>
          <w:sz w:val="22"/>
          <w:szCs w:val="22"/>
        </w:rPr>
      </w:pPr>
    </w:p>
    <w:p w14:paraId="259D11E6" w14:textId="0275A1C4" w:rsidR="0027614E" w:rsidRDefault="0027614E" w:rsidP="0027614E">
      <w:pPr>
        <w:spacing w:line="276" w:lineRule="auto"/>
        <w:jc w:val="both"/>
        <w:rPr>
          <w:rFonts w:ascii="Arial" w:hAnsi="Arial" w:cs="Arial"/>
          <w:sz w:val="22"/>
          <w:szCs w:val="22"/>
        </w:rPr>
      </w:pPr>
      <w:r w:rsidRPr="0027614E">
        <w:rPr>
          <w:rFonts w:ascii="Arial" w:hAnsi="Arial" w:cs="Arial"/>
          <w:sz w:val="22"/>
          <w:szCs w:val="22"/>
        </w:rPr>
        <w:t>The Design and Access Statement confirms that all materials will match or complement the existing dwelling, including red facing brick, stone window surrounds, triple Roman clay tiles and cast</w:t>
      </w:r>
      <w:r w:rsidRPr="0027614E">
        <w:rPr>
          <w:rFonts w:ascii="Cambria Math" w:hAnsi="Cambria Math" w:cs="Cambria Math"/>
          <w:sz w:val="22"/>
          <w:szCs w:val="22"/>
        </w:rPr>
        <w:t>‑</w:t>
      </w:r>
      <w:r w:rsidRPr="0027614E">
        <w:rPr>
          <w:rFonts w:ascii="Arial" w:hAnsi="Arial" w:cs="Arial"/>
          <w:sz w:val="22"/>
          <w:szCs w:val="22"/>
        </w:rPr>
        <w:t>iron rainwater goods, ensuring visual consistency. The omission of quoin stones to the inner corners of the rear wings and the absence of recessed brickwork between the gables have also been assessed as a more appropriate treatment for this secondary elevation.</w:t>
      </w:r>
    </w:p>
    <w:p w14:paraId="364A20BB" w14:textId="77777777" w:rsidR="0027614E" w:rsidRPr="0027614E" w:rsidRDefault="0027614E" w:rsidP="0027614E">
      <w:pPr>
        <w:spacing w:line="276" w:lineRule="auto"/>
        <w:jc w:val="both"/>
        <w:rPr>
          <w:rFonts w:ascii="Arial" w:hAnsi="Arial" w:cs="Arial"/>
          <w:sz w:val="22"/>
          <w:szCs w:val="22"/>
        </w:rPr>
      </w:pPr>
    </w:p>
    <w:p w14:paraId="1EC178D7" w14:textId="15C45C9B" w:rsidR="00942643" w:rsidRDefault="0027614E" w:rsidP="0027614E">
      <w:pPr>
        <w:spacing w:line="276" w:lineRule="auto"/>
        <w:jc w:val="both"/>
        <w:rPr>
          <w:rFonts w:ascii="Arial" w:hAnsi="Arial" w:cs="Arial"/>
          <w:sz w:val="22"/>
          <w:szCs w:val="22"/>
        </w:rPr>
      </w:pPr>
      <w:r w:rsidRPr="0027614E">
        <w:rPr>
          <w:rFonts w:ascii="Arial" w:hAnsi="Arial" w:cs="Arial"/>
          <w:sz w:val="22"/>
          <w:szCs w:val="22"/>
        </w:rPr>
        <w:t>In respect of the solar panels, while such features are not inherently the most sympathetic additions to a historic dwelling, their siting on the two internally facing roof slopes significantly limits their visibility. They do not harm historic fabric and, when balanced against their contribution to climate change objectives, are considered to result in a neutral impact on the significance of the listed building, subject to a condition requiring their removal when no longer operational. Overall, the development demonstrates a high standard of design that responds positively to its context and accords with the aims of Core Policy CP57.</w:t>
      </w:r>
    </w:p>
    <w:p w14:paraId="43A8C3D6" w14:textId="77777777" w:rsidR="0027614E" w:rsidRDefault="0027614E" w:rsidP="0027614E">
      <w:pPr>
        <w:spacing w:line="276" w:lineRule="auto"/>
        <w:jc w:val="both"/>
        <w:rPr>
          <w:rFonts w:ascii="Arial" w:hAnsi="Arial" w:cs="Arial"/>
          <w:sz w:val="22"/>
          <w:szCs w:val="22"/>
        </w:rPr>
      </w:pPr>
    </w:p>
    <w:p w14:paraId="04ECAAD7" w14:textId="77777777" w:rsidR="00CA38AF" w:rsidRDefault="00CA38AF" w:rsidP="0027614E">
      <w:pPr>
        <w:spacing w:line="276" w:lineRule="auto"/>
        <w:jc w:val="both"/>
        <w:rPr>
          <w:rFonts w:ascii="Arial" w:hAnsi="Arial" w:cs="Arial"/>
          <w:sz w:val="22"/>
          <w:szCs w:val="22"/>
        </w:rPr>
      </w:pPr>
    </w:p>
    <w:p w14:paraId="0188589D" w14:textId="77777777" w:rsidR="00713A31" w:rsidRDefault="00713A31" w:rsidP="00CC6665">
      <w:pPr>
        <w:spacing w:line="276" w:lineRule="auto"/>
        <w:jc w:val="both"/>
        <w:rPr>
          <w:rFonts w:ascii="Arial" w:hAnsi="Arial" w:cs="Arial"/>
          <w:color w:val="000000" w:themeColor="text1"/>
          <w:sz w:val="22"/>
          <w:szCs w:val="22"/>
        </w:rPr>
      </w:pPr>
    </w:p>
    <w:p w14:paraId="34862072" w14:textId="60A69220" w:rsidR="00F033B3" w:rsidRDefault="00F033B3"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094BF08" wp14:editId="29F1E76D">
            <wp:extent cx="6616700" cy="2389505"/>
            <wp:effectExtent l="0" t="0" r="0" b="0"/>
            <wp:docPr id="1823592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6700" cy="2389505"/>
                    </a:xfrm>
                    <a:prstGeom prst="rect">
                      <a:avLst/>
                    </a:prstGeom>
                    <a:noFill/>
                    <a:ln>
                      <a:noFill/>
                    </a:ln>
                  </pic:spPr>
                </pic:pic>
              </a:graphicData>
            </a:graphic>
          </wp:inline>
        </w:drawing>
      </w:r>
    </w:p>
    <w:p w14:paraId="6F8E7531" w14:textId="77777777" w:rsidR="00CA38AF" w:rsidRDefault="00CA38AF" w:rsidP="00CC6665">
      <w:pPr>
        <w:spacing w:line="276" w:lineRule="auto"/>
        <w:jc w:val="both"/>
        <w:rPr>
          <w:rFonts w:ascii="Arial" w:hAnsi="Arial" w:cs="Arial"/>
          <w:color w:val="000000" w:themeColor="text1"/>
          <w:sz w:val="22"/>
          <w:szCs w:val="22"/>
        </w:rPr>
      </w:pPr>
    </w:p>
    <w:p w14:paraId="7A5D1EA5" w14:textId="7D682D8E" w:rsidR="0027614E" w:rsidRPr="0027614E" w:rsidRDefault="0027614E" w:rsidP="0027614E">
      <w:pPr>
        <w:spacing w:line="276" w:lineRule="auto"/>
        <w:jc w:val="center"/>
        <w:rPr>
          <w:rFonts w:ascii="Arial" w:hAnsi="Arial" w:cs="Arial"/>
          <w:i/>
          <w:iCs/>
          <w:color w:val="000000" w:themeColor="text1"/>
          <w:sz w:val="22"/>
          <w:szCs w:val="22"/>
        </w:rPr>
      </w:pPr>
      <w:r w:rsidRPr="0027614E">
        <w:rPr>
          <w:rFonts w:ascii="Arial" w:hAnsi="Arial" w:cs="Arial"/>
          <w:i/>
          <w:iCs/>
          <w:color w:val="000000" w:themeColor="text1"/>
          <w:sz w:val="22"/>
          <w:szCs w:val="22"/>
        </w:rPr>
        <w:t>Proposed Floor Plans</w:t>
      </w:r>
    </w:p>
    <w:p w14:paraId="274F2150" w14:textId="10340645" w:rsidR="00DB3A0B" w:rsidRDefault="00DB3A0B" w:rsidP="00CC6665">
      <w:pPr>
        <w:spacing w:line="276" w:lineRule="auto"/>
        <w:jc w:val="both"/>
        <w:rPr>
          <w:rFonts w:ascii="Arial" w:hAnsi="Arial" w:cs="Arial"/>
          <w:color w:val="000000" w:themeColor="text1"/>
          <w:sz w:val="22"/>
          <w:szCs w:val="22"/>
        </w:rPr>
      </w:pPr>
      <w:r w:rsidRPr="00DB3A0B">
        <w:rPr>
          <w:rFonts w:ascii="Arial" w:hAnsi="Arial" w:cs="Arial"/>
          <w:noProof/>
          <w:color w:val="000000" w:themeColor="text1"/>
          <w:sz w:val="22"/>
          <w:szCs w:val="22"/>
        </w:rPr>
        <w:lastRenderedPageBreak/>
        <w:drawing>
          <wp:inline distT="0" distB="0" distL="0" distR="0" wp14:anchorId="1E5B8259" wp14:editId="3EE08B9A">
            <wp:extent cx="6629400" cy="2352040"/>
            <wp:effectExtent l="0" t="0" r="0" b="0"/>
            <wp:docPr id="69689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9177" name=""/>
                    <pic:cNvPicPr/>
                  </pic:nvPicPr>
                  <pic:blipFill>
                    <a:blip r:embed="rId9"/>
                    <a:stretch>
                      <a:fillRect/>
                    </a:stretch>
                  </pic:blipFill>
                  <pic:spPr>
                    <a:xfrm>
                      <a:off x="0" y="0"/>
                      <a:ext cx="6629400" cy="2352040"/>
                    </a:xfrm>
                    <a:prstGeom prst="rect">
                      <a:avLst/>
                    </a:prstGeom>
                  </pic:spPr>
                </pic:pic>
              </a:graphicData>
            </a:graphic>
          </wp:inline>
        </w:drawing>
      </w:r>
    </w:p>
    <w:p w14:paraId="5CD414A8" w14:textId="694EF230" w:rsidR="00DB3A0B" w:rsidRDefault="00DB3A0B" w:rsidP="00DB3A0B">
      <w:pPr>
        <w:spacing w:line="276" w:lineRule="auto"/>
        <w:jc w:val="center"/>
        <w:rPr>
          <w:rFonts w:ascii="Arial" w:hAnsi="Arial" w:cs="Arial"/>
          <w:i/>
          <w:iCs/>
          <w:color w:val="000000" w:themeColor="text1"/>
          <w:sz w:val="22"/>
          <w:szCs w:val="22"/>
        </w:rPr>
      </w:pPr>
      <w:r w:rsidRPr="00DB3A0B">
        <w:rPr>
          <w:rFonts w:ascii="Arial" w:hAnsi="Arial" w:cs="Arial"/>
          <w:i/>
          <w:iCs/>
          <w:color w:val="000000" w:themeColor="text1"/>
          <w:sz w:val="22"/>
          <w:szCs w:val="22"/>
        </w:rPr>
        <w:t>Proposed Plans</w:t>
      </w:r>
    </w:p>
    <w:p w14:paraId="57EE9566" w14:textId="77777777" w:rsidR="0027614E" w:rsidRPr="00DB3A0B" w:rsidRDefault="0027614E" w:rsidP="00DB3A0B">
      <w:pPr>
        <w:spacing w:line="276" w:lineRule="auto"/>
        <w:jc w:val="center"/>
        <w:rPr>
          <w:rFonts w:ascii="Arial" w:hAnsi="Arial" w:cs="Arial"/>
          <w:i/>
          <w:iCs/>
          <w:color w:val="000000" w:themeColor="text1"/>
          <w:sz w:val="22"/>
          <w:szCs w:val="22"/>
        </w:rPr>
      </w:pPr>
    </w:p>
    <w:p w14:paraId="45ED02BC" w14:textId="06820B00" w:rsidR="00DE472A" w:rsidRDefault="00DE472A" w:rsidP="00CC6665">
      <w:pPr>
        <w:spacing w:line="276" w:lineRule="auto"/>
        <w:jc w:val="both"/>
        <w:rPr>
          <w:rFonts w:ascii="Arial" w:hAnsi="Arial" w:cs="Arial"/>
          <w:color w:val="000000" w:themeColor="text1"/>
          <w:sz w:val="22"/>
          <w:szCs w:val="22"/>
        </w:rPr>
      </w:pPr>
      <w:r w:rsidRPr="00DE472A">
        <w:rPr>
          <w:rFonts w:ascii="Arial" w:hAnsi="Arial" w:cs="Arial"/>
          <w:noProof/>
          <w:color w:val="000000" w:themeColor="text1"/>
          <w:sz w:val="22"/>
          <w:szCs w:val="22"/>
        </w:rPr>
        <w:drawing>
          <wp:inline distT="0" distB="0" distL="0" distR="0" wp14:anchorId="45ECBB2B" wp14:editId="6F82B11A">
            <wp:extent cx="6629400" cy="2621280"/>
            <wp:effectExtent l="0" t="0" r="0" b="7620"/>
            <wp:docPr id="1883105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05932" name=""/>
                    <pic:cNvPicPr/>
                  </pic:nvPicPr>
                  <pic:blipFill>
                    <a:blip r:embed="rId10"/>
                    <a:stretch>
                      <a:fillRect/>
                    </a:stretch>
                  </pic:blipFill>
                  <pic:spPr>
                    <a:xfrm>
                      <a:off x="0" y="0"/>
                      <a:ext cx="6629400" cy="2621280"/>
                    </a:xfrm>
                    <a:prstGeom prst="rect">
                      <a:avLst/>
                    </a:prstGeom>
                  </pic:spPr>
                </pic:pic>
              </a:graphicData>
            </a:graphic>
          </wp:inline>
        </w:drawing>
      </w:r>
    </w:p>
    <w:p w14:paraId="07BF8807" w14:textId="3C4AC340" w:rsidR="00DE472A" w:rsidRDefault="00DE472A" w:rsidP="00DE472A">
      <w:pPr>
        <w:spacing w:line="276" w:lineRule="auto"/>
        <w:jc w:val="center"/>
        <w:rPr>
          <w:rFonts w:ascii="Arial" w:hAnsi="Arial" w:cs="Arial"/>
          <w:i/>
          <w:iCs/>
          <w:color w:val="000000" w:themeColor="text1"/>
          <w:sz w:val="22"/>
          <w:szCs w:val="22"/>
        </w:rPr>
      </w:pPr>
      <w:r w:rsidRPr="00DE472A">
        <w:rPr>
          <w:rFonts w:ascii="Arial" w:hAnsi="Arial" w:cs="Arial"/>
          <w:i/>
          <w:iCs/>
          <w:color w:val="000000" w:themeColor="text1"/>
          <w:sz w:val="22"/>
          <w:szCs w:val="22"/>
        </w:rPr>
        <w:t>Site Visit Rear Elevation</w:t>
      </w:r>
    </w:p>
    <w:p w14:paraId="4380A173" w14:textId="77777777" w:rsidR="00771B69" w:rsidRPr="00DE472A" w:rsidRDefault="00771B69" w:rsidP="00DE472A">
      <w:pPr>
        <w:spacing w:line="276" w:lineRule="auto"/>
        <w:jc w:val="center"/>
        <w:rPr>
          <w:rFonts w:ascii="Arial" w:hAnsi="Arial" w:cs="Arial"/>
          <w:i/>
          <w:iCs/>
          <w:color w:val="000000" w:themeColor="text1"/>
          <w:sz w:val="22"/>
          <w:szCs w:val="22"/>
        </w:rPr>
      </w:pPr>
    </w:p>
    <w:p w14:paraId="27F5376D" w14:textId="4B3020BE" w:rsidR="00DE472A" w:rsidRDefault="00771B69" w:rsidP="00CC6665">
      <w:pPr>
        <w:spacing w:line="276" w:lineRule="auto"/>
        <w:jc w:val="both"/>
        <w:rPr>
          <w:rFonts w:ascii="Arial" w:hAnsi="Arial" w:cs="Arial"/>
          <w:color w:val="000000" w:themeColor="text1"/>
          <w:sz w:val="22"/>
          <w:szCs w:val="22"/>
        </w:rPr>
      </w:pPr>
      <w:r w:rsidRPr="00771B69">
        <w:rPr>
          <w:rFonts w:ascii="Arial" w:hAnsi="Arial" w:cs="Arial"/>
          <w:noProof/>
          <w:color w:val="000000" w:themeColor="text1"/>
          <w:sz w:val="22"/>
          <w:szCs w:val="22"/>
        </w:rPr>
        <w:drawing>
          <wp:inline distT="0" distB="0" distL="0" distR="0" wp14:anchorId="10650380" wp14:editId="6210440A">
            <wp:extent cx="6629400" cy="2584450"/>
            <wp:effectExtent l="0" t="0" r="0" b="6350"/>
            <wp:docPr id="1286837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37179" name=""/>
                    <pic:cNvPicPr/>
                  </pic:nvPicPr>
                  <pic:blipFill>
                    <a:blip r:embed="rId11"/>
                    <a:stretch>
                      <a:fillRect/>
                    </a:stretch>
                  </pic:blipFill>
                  <pic:spPr>
                    <a:xfrm>
                      <a:off x="0" y="0"/>
                      <a:ext cx="6629400" cy="2584450"/>
                    </a:xfrm>
                    <a:prstGeom prst="rect">
                      <a:avLst/>
                    </a:prstGeom>
                  </pic:spPr>
                </pic:pic>
              </a:graphicData>
            </a:graphic>
          </wp:inline>
        </w:drawing>
      </w:r>
    </w:p>
    <w:p w14:paraId="4FD1F21E" w14:textId="558D2952" w:rsidR="00771B69" w:rsidRPr="00771B69" w:rsidRDefault="00771B69" w:rsidP="00771B69">
      <w:pPr>
        <w:spacing w:line="276" w:lineRule="auto"/>
        <w:jc w:val="center"/>
        <w:rPr>
          <w:rFonts w:ascii="Arial" w:hAnsi="Arial" w:cs="Arial"/>
          <w:i/>
          <w:iCs/>
          <w:color w:val="000000" w:themeColor="text1"/>
          <w:sz w:val="22"/>
          <w:szCs w:val="22"/>
        </w:rPr>
      </w:pPr>
      <w:r w:rsidRPr="00771B69">
        <w:rPr>
          <w:rFonts w:ascii="Arial" w:hAnsi="Arial" w:cs="Arial"/>
          <w:i/>
          <w:iCs/>
          <w:color w:val="000000" w:themeColor="text1"/>
          <w:sz w:val="22"/>
          <w:szCs w:val="22"/>
        </w:rPr>
        <w:t>Site Visit Front Elevation</w:t>
      </w:r>
    </w:p>
    <w:p w14:paraId="27A16506" w14:textId="77777777" w:rsidR="00771B69" w:rsidRPr="00075C07" w:rsidRDefault="00771B69"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524E2B35" w14:textId="77777777" w:rsidR="00FE19F6" w:rsidRDefault="00FE19F6" w:rsidP="00FE19F6">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6ABB37D8" w14:textId="77777777" w:rsidR="00FE19F6" w:rsidRPr="00C03333" w:rsidRDefault="00FE19F6" w:rsidP="00FE19F6">
      <w:pPr>
        <w:spacing w:line="276" w:lineRule="auto"/>
        <w:rPr>
          <w:rFonts w:ascii="Arial" w:hAnsi="Arial" w:cs="Arial"/>
          <w:sz w:val="22"/>
          <w:szCs w:val="22"/>
          <w:u w:val="single"/>
        </w:rPr>
      </w:pPr>
    </w:p>
    <w:p w14:paraId="1BDC8213" w14:textId="77777777" w:rsidR="00FE19F6" w:rsidRPr="00C03333" w:rsidRDefault="00FE19F6" w:rsidP="00FE19F6">
      <w:pPr>
        <w:spacing w:line="276" w:lineRule="auto"/>
        <w:jc w:val="both"/>
        <w:rPr>
          <w:rFonts w:ascii="Arial" w:hAnsi="Arial" w:cs="Arial"/>
          <w:sz w:val="22"/>
          <w:szCs w:val="22"/>
        </w:rPr>
      </w:pPr>
      <w:r w:rsidRPr="00C03333">
        <w:rPr>
          <w:rFonts w:ascii="Arial" w:hAnsi="Arial" w:cs="Arial"/>
          <w:sz w:val="22"/>
          <w:szCs w:val="22"/>
        </w:rPr>
        <w:t xml:space="preserve">Core Policy 58 outlines development consideration </w:t>
      </w:r>
      <w:proofErr w:type="gramStart"/>
      <w:r w:rsidRPr="00C03333">
        <w:rPr>
          <w:rFonts w:ascii="Arial" w:hAnsi="Arial" w:cs="Arial"/>
          <w:sz w:val="22"/>
          <w:szCs w:val="22"/>
        </w:rPr>
        <w:t>with regard to</w:t>
      </w:r>
      <w:proofErr w:type="gramEnd"/>
      <w:r w:rsidRPr="00C03333">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7576C301" w14:textId="77777777" w:rsidR="00FE19F6" w:rsidRPr="00C03333" w:rsidRDefault="00FE19F6" w:rsidP="00FE19F6">
      <w:pPr>
        <w:spacing w:line="276" w:lineRule="auto"/>
        <w:rPr>
          <w:rFonts w:ascii="Arial" w:hAnsi="Arial" w:cs="Arial"/>
          <w:sz w:val="22"/>
          <w:szCs w:val="22"/>
        </w:rPr>
      </w:pPr>
    </w:p>
    <w:p w14:paraId="6823EEBA" w14:textId="77777777" w:rsidR="00FE19F6" w:rsidRDefault="00FE19F6" w:rsidP="00FE19F6">
      <w:pPr>
        <w:spacing w:line="276" w:lineRule="auto"/>
        <w:jc w:val="both"/>
        <w:rPr>
          <w:rFonts w:ascii="Arial" w:hAnsi="Arial" w:cs="Arial"/>
          <w:sz w:val="22"/>
          <w:szCs w:val="22"/>
        </w:rPr>
      </w:pPr>
      <w:r w:rsidRPr="00C03333">
        <w:rPr>
          <w:rFonts w:ascii="Arial" w:hAnsi="Arial" w:cs="Arial"/>
          <w:sz w:val="22"/>
          <w:szCs w:val="22"/>
        </w:rPr>
        <w:t xml:space="preserve">In assessing works to a listed building, Section 16(2) of the Planning (Listed Buildings and Conservation Areas) Act 1990 requires the Local Planning Authority to have </w:t>
      </w:r>
      <w:r w:rsidRPr="00C03333">
        <w:rPr>
          <w:rFonts w:ascii="Arial" w:hAnsi="Arial" w:cs="Arial"/>
          <w:i/>
          <w:iCs/>
          <w:sz w:val="22"/>
          <w:szCs w:val="22"/>
        </w:rPr>
        <w:t>special regard</w:t>
      </w:r>
      <w:r w:rsidRPr="00C03333">
        <w:rPr>
          <w:rFonts w:ascii="Arial" w:hAnsi="Arial" w:cs="Arial"/>
          <w:sz w:val="22"/>
          <w:szCs w:val="22"/>
        </w:rPr>
        <w:t xml:space="preserve"> to the desirability of preserving the building, its setting, and any features of special architectural or historic interest it possesses. Likewise, Section 72 places a statutory duty to give </w:t>
      </w:r>
      <w:r w:rsidRPr="00C03333">
        <w:rPr>
          <w:rFonts w:ascii="Arial" w:hAnsi="Arial" w:cs="Arial"/>
          <w:i/>
          <w:iCs/>
          <w:sz w:val="22"/>
          <w:szCs w:val="22"/>
        </w:rPr>
        <w:t>special attention</w:t>
      </w:r>
      <w:r w:rsidRPr="00C03333">
        <w:rPr>
          <w:rFonts w:ascii="Arial" w:hAnsi="Arial" w:cs="Arial"/>
          <w:sz w:val="22"/>
          <w:szCs w:val="22"/>
        </w:rPr>
        <w:t xml:space="preserve"> to the desirability of preserving or enhancing the character or appearance of the Conservation Area.</w:t>
      </w:r>
    </w:p>
    <w:p w14:paraId="13989412" w14:textId="77777777" w:rsidR="00CA38AF" w:rsidRPr="00C03333" w:rsidRDefault="00CA38AF" w:rsidP="00FE19F6">
      <w:pPr>
        <w:spacing w:line="276" w:lineRule="auto"/>
        <w:jc w:val="both"/>
        <w:rPr>
          <w:rFonts w:ascii="Arial" w:hAnsi="Arial" w:cs="Arial"/>
          <w:sz w:val="22"/>
          <w:szCs w:val="22"/>
        </w:rPr>
      </w:pPr>
    </w:p>
    <w:p w14:paraId="4AE3D65B" w14:textId="77777777" w:rsidR="00C03333" w:rsidRPr="00C03333" w:rsidRDefault="00C03333" w:rsidP="00C03333">
      <w:pPr>
        <w:spacing w:line="276" w:lineRule="auto"/>
        <w:jc w:val="both"/>
        <w:rPr>
          <w:rFonts w:ascii="Arial" w:hAnsi="Arial" w:cs="Arial"/>
          <w:sz w:val="22"/>
          <w:szCs w:val="22"/>
        </w:rPr>
      </w:pPr>
      <w:r w:rsidRPr="00C03333">
        <w:rPr>
          <w:rFonts w:ascii="Arial" w:hAnsi="Arial" w:cs="Arial"/>
          <w:sz w:val="22"/>
          <w:szCs w:val="22"/>
        </w:rPr>
        <w:t xml:space="preserve">The principal external elements of the scheme largely reinstate development previously approved under the 2017 planning and listed building consents, including the approved dormer, which was found to be sympathetic to the historic character of the building and its contribution to the Conservation Area. While the Conservation Officer initially raised concerns regarding the extent of internal attic alterations, further information confirmed that these works comprise lightweight and largely reversible subdivisions and services with no material loss of historic fabric. On this basis, the Conservation Officer raised no objection and concluded that the works result in little or no adverse impact on the significance of the listed building. Overall, the development preserves the special architectural and historic interest of the building and its </w:t>
      </w:r>
      <w:proofErr w:type="gramStart"/>
      <w:r w:rsidRPr="00C03333">
        <w:rPr>
          <w:rFonts w:ascii="Arial" w:hAnsi="Arial" w:cs="Arial"/>
          <w:sz w:val="22"/>
          <w:szCs w:val="22"/>
        </w:rPr>
        <w:t>setting, and</w:t>
      </w:r>
      <w:proofErr w:type="gramEnd"/>
      <w:r w:rsidRPr="00C03333">
        <w:rPr>
          <w:rFonts w:ascii="Arial" w:hAnsi="Arial" w:cs="Arial"/>
          <w:sz w:val="22"/>
          <w:szCs w:val="22"/>
        </w:rPr>
        <w:t xml:space="preserve"> satisfies the statutory and policy requirements for the historic environment.</w:t>
      </w:r>
    </w:p>
    <w:p w14:paraId="2FA7C570" w14:textId="77777777" w:rsidR="00FE19F6" w:rsidRPr="00075C07" w:rsidRDefault="00FE19F6"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8A4073" w:rsidRDefault="00BA0474" w:rsidP="00CC6665">
      <w:pPr>
        <w:spacing w:line="276" w:lineRule="auto"/>
        <w:jc w:val="both"/>
        <w:rPr>
          <w:rFonts w:ascii="Arial" w:hAnsi="Arial" w:cs="Arial"/>
          <w:sz w:val="22"/>
          <w:szCs w:val="22"/>
        </w:rPr>
      </w:pPr>
    </w:p>
    <w:p w14:paraId="545FB1A4" w14:textId="77777777" w:rsidR="008A4073" w:rsidRPr="008A4073" w:rsidRDefault="008A4073" w:rsidP="008A4073">
      <w:pPr>
        <w:spacing w:line="276" w:lineRule="auto"/>
        <w:jc w:val="both"/>
        <w:rPr>
          <w:rFonts w:ascii="Arial" w:hAnsi="Arial" w:cs="Arial"/>
          <w:sz w:val="22"/>
          <w:szCs w:val="22"/>
        </w:rPr>
      </w:pPr>
      <w:r w:rsidRPr="008A4073">
        <w:rPr>
          <w:rFonts w:ascii="Arial" w:hAnsi="Arial" w:cs="Arial"/>
          <w:sz w:val="22"/>
          <w:szCs w:val="22"/>
        </w:rPr>
        <w:t>The proposal would improve the existing situation by removing the unauthorised balcony and reinstating the previously approved dormer, thereby reducing any potential overlooking compared to the current arrangement. The dormer has already been assessed and found acceptable in terms of residential amenity under the earlier permission, and the scheme does not introduce any new built form or increase the scale or massing of the building. As such, there are no concerns in relation to overlooking, overshadowing or an overbearing impact on neighbouring properties.</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w:t>
      </w:r>
      <w:r w:rsidRPr="008A4073">
        <w:rPr>
          <w:rFonts w:ascii="Arial" w:hAnsi="Arial" w:cs="Arial"/>
          <w:sz w:val="22"/>
          <w:szCs w:val="22"/>
        </w:rPr>
        <w:t xml:space="preserve">proposal is appropriately sited, designed, and oriented to ensure that it would not result in unacceptable 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A936E2" w:rsidRDefault="006C3E6E" w:rsidP="00A936E2">
      <w:pPr>
        <w:spacing w:line="276" w:lineRule="auto"/>
        <w:jc w:val="both"/>
        <w:rPr>
          <w:rFonts w:ascii="Arial" w:hAnsi="Arial" w:cs="Arial"/>
          <w:color w:val="FF0000"/>
          <w:sz w:val="22"/>
          <w:szCs w:val="22"/>
        </w:rPr>
      </w:pPr>
    </w:p>
    <w:p w14:paraId="3B8CB067" w14:textId="77777777" w:rsidR="00A936E2" w:rsidRPr="00A936E2" w:rsidRDefault="00A936E2" w:rsidP="00A936E2">
      <w:pPr>
        <w:spacing w:line="276" w:lineRule="auto"/>
        <w:jc w:val="both"/>
        <w:rPr>
          <w:rFonts w:ascii="Arial" w:hAnsi="Arial" w:cs="Arial"/>
          <w:sz w:val="22"/>
          <w:szCs w:val="22"/>
        </w:rPr>
      </w:pPr>
      <w:r w:rsidRPr="00A936E2">
        <w:rPr>
          <w:rFonts w:ascii="Arial" w:hAnsi="Arial" w:cs="Arial"/>
          <w:sz w:val="22"/>
          <w:szCs w:val="22"/>
        </w:rPr>
        <w:t>Core Policy 50 of the Wiltshire Core Strategy seeks to avoid harm to sensitive species and habitats, while Biodiversity Net Gain (BNG) is secured through Schedule 7A of the Town and Country Planning Act 1990 (as amended). However, the proposal constitutes householder development and is therefore exempt from mandatory BNG requirements. Notwithstanding the ecological constraints previously identified, the development is entirely contained within the existing footprint of the dwelling and relates largely to external fabric changes. The attic space has already been in use as habitable accommodation, and the reinstatement of the approved dormer would not create new impacts or additional disturbance capable of affecting protected species, including roosting bats. As such, the proposal is unlikely to result in ecological harm.</w:t>
      </w:r>
    </w:p>
    <w:p w14:paraId="6618ADA4" w14:textId="77777777" w:rsidR="00A936E2" w:rsidRDefault="00A936E2" w:rsidP="00A936E2">
      <w:pPr>
        <w:spacing w:line="276" w:lineRule="auto"/>
        <w:jc w:val="both"/>
        <w:rPr>
          <w:rFonts w:ascii="Arial" w:hAnsi="Arial" w:cs="Arial"/>
          <w:sz w:val="22"/>
          <w:szCs w:val="22"/>
        </w:rPr>
      </w:pPr>
    </w:p>
    <w:p w14:paraId="15B374FF" w14:textId="61005DBB" w:rsidR="00A936E2" w:rsidRPr="00A936E2" w:rsidRDefault="00A936E2" w:rsidP="00A936E2">
      <w:pPr>
        <w:spacing w:line="276" w:lineRule="auto"/>
        <w:jc w:val="both"/>
        <w:rPr>
          <w:rFonts w:ascii="Arial" w:hAnsi="Arial" w:cs="Arial"/>
          <w:sz w:val="22"/>
          <w:szCs w:val="22"/>
        </w:rPr>
      </w:pPr>
      <w:r w:rsidRPr="00A936E2">
        <w:rPr>
          <w:rFonts w:ascii="Arial" w:hAnsi="Arial" w:cs="Arial"/>
          <w:sz w:val="22"/>
          <w:szCs w:val="22"/>
        </w:rPr>
        <w:t>The proposal does not alter the existing vehicular access arrangements or the on</w:t>
      </w:r>
      <w:r w:rsidRPr="00A936E2">
        <w:rPr>
          <w:rFonts w:ascii="Cambria Math" w:hAnsi="Cambria Math" w:cs="Cambria Math"/>
          <w:sz w:val="22"/>
          <w:szCs w:val="22"/>
        </w:rPr>
        <w:t>‑</w:t>
      </w:r>
      <w:r w:rsidRPr="00A936E2">
        <w:rPr>
          <w:rFonts w:ascii="Arial" w:hAnsi="Arial" w:cs="Arial"/>
          <w:sz w:val="22"/>
          <w:szCs w:val="22"/>
        </w:rPr>
        <w:t>site parking provision associated with the dwelling. The property benefits from a generous established parking area, and the development would not result in additional traffic generation or changes to movement patterns. Accordingly, there are no highway safety or capacity concerns arising from the proposal.</w:t>
      </w:r>
    </w:p>
    <w:p w14:paraId="20F47168" w14:textId="77777777" w:rsidR="00A936E2" w:rsidRDefault="00A936E2" w:rsidP="00A936E2">
      <w:pPr>
        <w:spacing w:line="276" w:lineRule="auto"/>
        <w:jc w:val="both"/>
        <w:rPr>
          <w:rFonts w:ascii="Arial" w:hAnsi="Arial" w:cs="Arial"/>
          <w:sz w:val="22"/>
          <w:szCs w:val="22"/>
        </w:rPr>
      </w:pPr>
    </w:p>
    <w:p w14:paraId="1FA7CA26" w14:textId="521594A5" w:rsidR="0008663E" w:rsidRDefault="00A936E2" w:rsidP="00A936E2">
      <w:pPr>
        <w:spacing w:line="276" w:lineRule="auto"/>
        <w:jc w:val="both"/>
        <w:rPr>
          <w:rFonts w:ascii="Arial" w:hAnsi="Arial" w:cs="Arial"/>
          <w:sz w:val="22"/>
          <w:szCs w:val="22"/>
        </w:rPr>
      </w:pPr>
      <w:r w:rsidRPr="00A936E2">
        <w:rPr>
          <w:rFonts w:ascii="Arial" w:hAnsi="Arial" w:cs="Arial"/>
          <w:sz w:val="22"/>
          <w:szCs w:val="22"/>
        </w:rPr>
        <w:t>Core Policy 67 of the Wiltshire Core Strategy requires development to minimise flood risk and ensure surface water is managed safely and sustainably. The application site lies within Flood Zone 1 and, although the Strategic Flood Risk Assessment identifies a potential risk of groundwater flooding, the proposal does not involve any increase in built footprint or impermeable area. In line with paragraph 176 of the NPPF, householder development of less than 250sqm is exempt from the sequential and exception tests. Given the limited nature of the works and the absence of changes to drainage arrangements, the proposal would not increase flood risk on</w:t>
      </w:r>
      <w:r w:rsidRPr="00A936E2">
        <w:rPr>
          <w:rFonts w:ascii="Cambria Math" w:hAnsi="Cambria Math" w:cs="Cambria Math"/>
          <w:sz w:val="22"/>
          <w:szCs w:val="22"/>
        </w:rPr>
        <w:t>‑</w:t>
      </w:r>
      <w:r w:rsidRPr="00A936E2">
        <w:rPr>
          <w:rFonts w:ascii="Arial" w:hAnsi="Arial" w:cs="Arial"/>
          <w:sz w:val="22"/>
          <w:szCs w:val="22"/>
        </w:rPr>
        <w:t>site or elsewhere and is therefore acceptable in flood risk and drainage terms.</w:t>
      </w:r>
    </w:p>
    <w:p w14:paraId="0AA6415E" w14:textId="77777777" w:rsidR="00075C07" w:rsidRPr="00075C07" w:rsidRDefault="00075C07"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6933739B" w14:textId="77777777" w:rsidR="00637704" w:rsidRDefault="00637704" w:rsidP="00637704">
      <w:pPr>
        <w:tabs>
          <w:tab w:val="num" w:pos="567"/>
        </w:tabs>
        <w:spacing w:line="276" w:lineRule="auto"/>
        <w:jc w:val="both"/>
        <w:rPr>
          <w:rFonts w:ascii="Arial" w:hAnsi="Arial" w:cs="Arial"/>
          <w:color w:val="000000" w:themeColor="text1"/>
          <w:sz w:val="22"/>
          <w:szCs w:val="22"/>
        </w:rPr>
      </w:pPr>
    </w:p>
    <w:p w14:paraId="57E75C15" w14:textId="3E583E22" w:rsidR="00637704" w:rsidRDefault="00637704"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Design and Access Statement 26-1055-DAS (</w:t>
      </w:r>
      <w:r w:rsidR="00DF7D65">
        <w:rPr>
          <w:rFonts w:ascii="Arial" w:hAnsi="Arial" w:cs="Arial"/>
          <w:color w:val="000000" w:themeColor="text1"/>
          <w:sz w:val="22"/>
          <w:szCs w:val="22"/>
        </w:rPr>
        <w:t>27 January 2026)</w:t>
      </w:r>
    </w:p>
    <w:p w14:paraId="73B0D732" w14:textId="5DCB1A81" w:rsidR="00DF7D65" w:rsidRDefault="00DF7D65"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Proposed Ground Floor and First Floor Plans </w:t>
      </w:r>
      <w:r w:rsidR="0055216C">
        <w:rPr>
          <w:rFonts w:ascii="Arial" w:hAnsi="Arial" w:cs="Arial"/>
          <w:color w:val="000000" w:themeColor="text1"/>
          <w:sz w:val="22"/>
          <w:szCs w:val="22"/>
        </w:rPr>
        <w:t>26-1055-202 (2 February 2026)</w:t>
      </w:r>
    </w:p>
    <w:p w14:paraId="3C020C49" w14:textId="2B0EFC4C" w:rsidR="0055216C" w:rsidRDefault="0055216C"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Location Plan 26-1055-LOC1 (</w:t>
      </w:r>
      <w:r w:rsidR="00B47344">
        <w:rPr>
          <w:rFonts w:ascii="Arial" w:hAnsi="Arial" w:cs="Arial"/>
          <w:color w:val="000000" w:themeColor="text1"/>
          <w:sz w:val="22"/>
          <w:szCs w:val="22"/>
        </w:rPr>
        <w:t>2 February 2026)</w:t>
      </w:r>
    </w:p>
    <w:p w14:paraId="6E7C75F0" w14:textId="148219CF" w:rsidR="00B47344" w:rsidRDefault="00B47344"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Proposed Elevations 26-1055-204-A</w:t>
      </w:r>
    </w:p>
    <w:p w14:paraId="471DFE8F" w14:textId="776650CE" w:rsidR="00B47344" w:rsidRDefault="00B47344"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Proposed Site Plan 26-1055-201-A (</w:t>
      </w:r>
      <w:r w:rsidR="00B53B26">
        <w:rPr>
          <w:rFonts w:ascii="Arial" w:hAnsi="Arial" w:cs="Arial"/>
          <w:color w:val="000000" w:themeColor="text1"/>
          <w:sz w:val="22"/>
          <w:szCs w:val="22"/>
        </w:rPr>
        <w:t>3 February 2026)</w:t>
      </w:r>
    </w:p>
    <w:p w14:paraId="770132FE" w14:textId="11F15E8A" w:rsidR="00B53B26" w:rsidRDefault="00B53B26" w:rsidP="00637704">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Proposed S</w:t>
      </w:r>
      <w:r w:rsidR="004E57D4">
        <w:rPr>
          <w:rFonts w:ascii="Arial" w:hAnsi="Arial" w:cs="Arial"/>
          <w:color w:val="000000" w:themeColor="text1"/>
          <w:sz w:val="22"/>
          <w:szCs w:val="22"/>
        </w:rPr>
        <w:t>econd</w:t>
      </w:r>
      <w:r>
        <w:rPr>
          <w:rFonts w:ascii="Arial" w:hAnsi="Arial" w:cs="Arial"/>
          <w:color w:val="000000" w:themeColor="text1"/>
          <w:sz w:val="22"/>
          <w:szCs w:val="22"/>
        </w:rPr>
        <w:t xml:space="preserve"> Floor and Roof Plans </w:t>
      </w:r>
      <w:r w:rsidR="004E57D4">
        <w:rPr>
          <w:rFonts w:ascii="Arial" w:hAnsi="Arial" w:cs="Arial"/>
          <w:color w:val="000000" w:themeColor="text1"/>
          <w:sz w:val="22"/>
          <w:szCs w:val="22"/>
        </w:rPr>
        <w:t>26-1055-203-B (8 April 2026)</w:t>
      </w:r>
    </w:p>
    <w:p w14:paraId="4A1BEC95" w14:textId="77777777" w:rsidR="00637704" w:rsidRPr="00637704" w:rsidRDefault="00637704" w:rsidP="00637704">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Default="006B4ED4" w:rsidP="00FE0FB2">
      <w:pPr>
        <w:rPr>
          <w:rFonts w:ascii="Arial" w:hAnsi="Arial" w:cs="Arial"/>
          <w:color w:val="FF0000"/>
          <w:sz w:val="20"/>
          <w:szCs w:val="20"/>
        </w:rPr>
      </w:pPr>
    </w:p>
    <w:p w14:paraId="6B5179FB" w14:textId="2E3F6720" w:rsidR="00191861" w:rsidRPr="00191861" w:rsidRDefault="00191861" w:rsidP="00FE0FB2">
      <w:pPr>
        <w:rPr>
          <w:rFonts w:ascii="Arial" w:hAnsi="Arial" w:cs="Arial"/>
          <w:sz w:val="22"/>
          <w:szCs w:val="22"/>
        </w:rPr>
      </w:pPr>
      <w:r w:rsidRPr="00191861">
        <w:rPr>
          <w:rFonts w:ascii="Arial" w:hAnsi="Arial" w:cs="Arial"/>
          <w:sz w:val="22"/>
          <w:szCs w:val="22"/>
        </w:rPr>
        <w:t>3.</w:t>
      </w:r>
    </w:p>
    <w:p w14:paraId="0380A875" w14:textId="77777777" w:rsidR="005B549B" w:rsidRPr="005B549B" w:rsidRDefault="005B549B" w:rsidP="005B549B">
      <w:pPr>
        <w:jc w:val="both"/>
        <w:rPr>
          <w:rFonts w:ascii="Arial" w:hAnsi="Arial" w:cs="Arial"/>
          <w:sz w:val="22"/>
          <w:szCs w:val="22"/>
        </w:rPr>
      </w:pPr>
      <w:r w:rsidRPr="005B549B">
        <w:rPr>
          <w:rFonts w:ascii="Arial" w:hAnsi="Arial" w:cs="Arial"/>
          <w:sz w:val="22"/>
          <w:szCs w:val="22"/>
        </w:rPr>
        <w:t>The solar panels hereby approved shall be removed from the building as soon as reasonably practicable when they are no longer operational or are no longer required, and the affected roof slopes shall be made good to match the appearance of the existing roof in terms of materials, colour, texture and detailing.</w:t>
      </w:r>
    </w:p>
    <w:p w14:paraId="6322137E" w14:textId="77777777" w:rsidR="005B549B" w:rsidRPr="005B549B" w:rsidRDefault="005B549B" w:rsidP="005B549B">
      <w:pPr>
        <w:jc w:val="both"/>
        <w:rPr>
          <w:rFonts w:ascii="Arial" w:hAnsi="Arial" w:cs="Arial"/>
          <w:sz w:val="22"/>
          <w:szCs w:val="22"/>
        </w:rPr>
      </w:pPr>
    </w:p>
    <w:p w14:paraId="074891DD" w14:textId="2D52B100" w:rsidR="00191861" w:rsidRPr="005B549B" w:rsidRDefault="005B549B" w:rsidP="005B549B">
      <w:pPr>
        <w:jc w:val="both"/>
        <w:rPr>
          <w:rFonts w:ascii="Arial" w:hAnsi="Arial" w:cs="Arial"/>
          <w:sz w:val="22"/>
          <w:szCs w:val="22"/>
        </w:rPr>
      </w:pPr>
      <w:r w:rsidRPr="005B549B">
        <w:rPr>
          <w:rFonts w:ascii="Arial" w:hAnsi="Arial" w:cs="Arial"/>
          <w:sz w:val="22"/>
          <w:szCs w:val="22"/>
        </w:rPr>
        <w:t>REASON:</w:t>
      </w:r>
      <w:r w:rsidRPr="005B549B">
        <w:rPr>
          <w:rFonts w:ascii="Arial" w:hAnsi="Arial" w:cs="Arial"/>
          <w:sz w:val="22"/>
          <w:szCs w:val="22"/>
        </w:rPr>
        <w:t xml:space="preserve"> </w:t>
      </w:r>
      <w:proofErr w:type="gramStart"/>
      <w:r w:rsidRPr="005B549B">
        <w:rPr>
          <w:rFonts w:ascii="Arial" w:hAnsi="Arial" w:cs="Arial"/>
          <w:sz w:val="22"/>
          <w:szCs w:val="22"/>
        </w:rPr>
        <w:t>In order to</w:t>
      </w:r>
      <w:proofErr w:type="gramEnd"/>
      <w:r w:rsidRPr="005B549B">
        <w:rPr>
          <w:rFonts w:ascii="Arial" w:hAnsi="Arial" w:cs="Arial"/>
          <w:sz w:val="22"/>
          <w:szCs w:val="22"/>
        </w:rPr>
        <w:t xml:space="preserve"> ensure the long</w:t>
      </w:r>
      <w:r w:rsidRPr="005B549B">
        <w:rPr>
          <w:rFonts w:ascii="Cambria Math" w:hAnsi="Cambria Math" w:cs="Cambria Math"/>
          <w:sz w:val="22"/>
          <w:szCs w:val="22"/>
        </w:rPr>
        <w:t>‑</w:t>
      </w:r>
      <w:r w:rsidRPr="005B549B">
        <w:rPr>
          <w:rFonts w:ascii="Arial" w:hAnsi="Arial" w:cs="Arial"/>
          <w:sz w:val="22"/>
          <w:szCs w:val="22"/>
        </w:rPr>
        <w:t>term preservation of the character and appearance of the listed building and the Steeple Ashton Conservation Area, in accordance with Section 16 of the Planning (Listed Buildings and Conservation Areas) Act 1990, the National Planning Policy Framework, and Core Policy 58 of the Wiltshire Core Strategy.</w:t>
      </w:r>
    </w:p>
    <w:sectPr w:rsidR="00191861" w:rsidRPr="005B549B"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7364A"/>
    <w:rsid w:val="00075C07"/>
    <w:rsid w:val="00075C38"/>
    <w:rsid w:val="00081734"/>
    <w:rsid w:val="0008663E"/>
    <w:rsid w:val="00087823"/>
    <w:rsid w:val="00090D45"/>
    <w:rsid w:val="000B3CAF"/>
    <w:rsid w:val="000B4D97"/>
    <w:rsid w:val="000C6EF7"/>
    <w:rsid w:val="000D01DA"/>
    <w:rsid w:val="000D0E39"/>
    <w:rsid w:val="000E3596"/>
    <w:rsid w:val="000E38BA"/>
    <w:rsid w:val="000F1D22"/>
    <w:rsid w:val="001003C2"/>
    <w:rsid w:val="00110FD1"/>
    <w:rsid w:val="00113A8D"/>
    <w:rsid w:val="0012283E"/>
    <w:rsid w:val="0012332F"/>
    <w:rsid w:val="001251AE"/>
    <w:rsid w:val="0013052B"/>
    <w:rsid w:val="001424D4"/>
    <w:rsid w:val="0015620C"/>
    <w:rsid w:val="0016397C"/>
    <w:rsid w:val="00164DC7"/>
    <w:rsid w:val="0017440C"/>
    <w:rsid w:val="0018465E"/>
    <w:rsid w:val="00191861"/>
    <w:rsid w:val="001929B3"/>
    <w:rsid w:val="00193EC7"/>
    <w:rsid w:val="001A0A2E"/>
    <w:rsid w:val="001A0F50"/>
    <w:rsid w:val="001A14B2"/>
    <w:rsid w:val="001B17F8"/>
    <w:rsid w:val="001B2AF4"/>
    <w:rsid w:val="001C4291"/>
    <w:rsid w:val="001C770A"/>
    <w:rsid w:val="001C7D2E"/>
    <w:rsid w:val="001D3680"/>
    <w:rsid w:val="001E1AD3"/>
    <w:rsid w:val="001E210B"/>
    <w:rsid w:val="001F52AF"/>
    <w:rsid w:val="0020632E"/>
    <w:rsid w:val="00212E9D"/>
    <w:rsid w:val="00215BB1"/>
    <w:rsid w:val="00220396"/>
    <w:rsid w:val="002238D3"/>
    <w:rsid w:val="00227942"/>
    <w:rsid w:val="002346D2"/>
    <w:rsid w:val="0023524B"/>
    <w:rsid w:val="00237835"/>
    <w:rsid w:val="0024344D"/>
    <w:rsid w:val="00244BF2"/>
    <w:rsid w:val="0024516A"/>
    <w:rsid w:val="00245EA8"/>
    <w:rsid w:val="00247662"/>
    <w:rsid w:val="00255042"/>
    <w:rsid w:val="002574DF"/>
    <w:rsid w:val="00262F2E"/>
    <w:rsid w:val="00273AA1"/>
    <w:rsid w:val="002755A2"/>
    <w:rsid w:val="0027614E"/>
    <w:rsid w:val="0028102A"/>
    <w:rsid w:val="002A0353"/>
    <w:rsid w:val="002A1715"/>
    <w:rsid w:val="002A5062"/>
    <w:rsid w:val="002A73D1"/>
    <w:rsid w:val="002B2380"/>
    <w:rsid w:val="002B2CBE"/>
    <w:rsid w:val="002B5192"/>
    <w:rsid w:val="002C4607"/>
    <w:rsid w:val="002C650A"/>
    <w:rsid w:val="002E02F9"/>
    <w:rsid w:val="002E6120"/>
    <w:rsid w:val="002E6332"/>
    <w:rsid w:val="002E6872"/>
    <w:rsid w:val="002F4101"/>
    <w:rsid w:val="002F53F9"/>
    <w:rsid w:val="00303474"/>
    <w:rsid w:val="00303570"/>
    <w:rsid w:val="00304DA1"/>
    <w:rsid w:val="00306089"/>
    <w:rsid w:val="00313982"/>
    <w:rsid w:val="00317514"/>
    <w:rsid w:val="003240DB"/>
    <w:rsid w:val="00327F1B"/>
    <w:rsid w:val="00330BF0"/>
    <w:rsid w:val="0033669A"/>
    <w:rsid w:val="00341989"/>
    <w:rsid w:val="0035771C"/>
    <w:rsid w:val="00363BD7"/>
    <w:rsid w:val="00371825"/>
    <w:rsid w:val="00371AAC"/>
    <w:rsid w:val="00383F2A"/>
    <w:rsid w:val="00387981"/>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1549C"/>
    <w:rsid w:val="00417846"/>
    <w:rsid w:val="00421DC5"/>
    <w:rsid w:val="004226F2"/>
    <w:rsid w:val="004330EA"/>
    <w:rsid w:val="00434323"/>
    <w:rsid w:val="00434596"/>
    <w:rsid w:val="00436238"/>
    <w:rsid w:val="00441C5A"/>
    <w:rsid w:val="004434AB"/>
    <w:rsid w:val="0045663E"/>
    <w:rsid w:val="00461560"/>
    <w:rsid w:val="00462077"/>
    <w:rsid w:val="00462BEF"/>
    <w:rsid w:val="004631CA"/>
    <w:rsid w:val="00464D3D"/>
    <w:rsid w:val="0046523C"/>
    <w:rsid w:val="004671CC"/>
    <w:rsid w:val="00475ACD"/>
    <w:rsid w:val="0048452F"/>
    <w:rsid w:val="00485212"/>
    <w:rsid w:val="004873D2"/>
    <w:rsid w:val="00491172"/>
    <w:rsid w:val="00492EB4"/>
    <w:rsid w:val="00495945"/>
    <w:rsid w:val="004A0B45"/>
    <w:rsid w:val="004A53BE"/>
    <w:rsid w:val="004A59AA"/>
    <w:rsid w:val="004B0D89"/>
    <w:rsid w:val="004D1B58"/>
    <w:rsid w:val="004D20B5"/>
    <w:rsid w:val="004D29B9"/>
    <w:rsid w:val="004E418F"/>
    <w:rsid w:val="004E5366"/>
    <w:rsid w:val="004E57D4"/>
    <w:rsid w:val="004E5947"/>
    <w:rsid w:val="004E7A6C"/>
    <w:rsid w:val="004F26D5"/>
    <w:rsid w:val="004F57B4"/>
    <w:rsid w:val="0050043D"/>
    <w:rsid w:val="0051231F"/>
    <w:rsid w:val="0051622F"/>
    <w:rsid w:val="005214B8"/>
    <w:rsid w:val="00522A6A"/>
    <w:rsid w:val="0053334B"/>
    <w:rsid w:val="00533E05"/>
    <w:rsid w:val="00540D8E"/>
    <w:rsid w:val="005435B4"/>
    <w:rsid w:val="00546EAD"/>
    <w:rsid w:val="0055216C"/>
    <w:rsid w:val="00552279"/>
    <w:rsid w:val="00552306"/>
    <w:rsid w:val="00554E40"/>
    <w:rsid w:val="00556B5B"/>
    <w:rsid w:val="00557B1E"/>
    <w:rsid w:val="005606CA"/>
    <w:rsid w:val="00561AE7"/>
    <w:rsid w:val="0056508E"/>
    <w:rsid w:val="00580DA8"/>
    <w:rsid w:val="0059063F"/>
    <w:rsid w:val="005A3D8E"/>
    <w:rsid w:val="005A7264"/>
    <w:rsid w:val="005B1CA8"/>
    <w:rsid w:val="005B549B"/>
    <w:rsid w:val="005B7582"/>
    <w:rsid w:val="005C0C82"/>
    <w:rsid w:val="005C26AE"/>
    <w:rsid w:val="005C30A6"/>
    <w:rsid w:val="005C5A46"/>
    <w:rsid w:val="005C6AA8"/>
    <w:rsid w:val="005D2581"/>
    <w:rsid w:val="005D7F1D"/>
    <w:rsid w:val="005F0C1A"/>
    <w:rsid w:val="005F0F03"/>
    <w:rsid w:val="005F4AFC"/>
    <w:rsid w:val="00601AAD"/>
    <w:rsid w:val="0060536A"/>
    <w:rsid w:val="00606E13"/>
    <w:rsid w:val="00614357"/>
    <w:rsid w:val="00614D1B"/>
    <w:rsid w:val="006325D0"/>
    <w:rsid w:val="006361C6"/>
    <w:rsid w:val="00637704"/>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A046D"/>
    <w:rsid w:val="006A134C"/>
    <w:rsid w:val="006A4DC3"/>
    <w:rsid w:val="006A676B"/>
    <w:rsid w:val="006B4ED4"/>
    <w:rsid w:val="006B7C01"/>
    <w:rsid w:val="006C0878"/>
    <w:rsid w:val="006C1101"/>
    <w:rsid w:val="006C3E6E"/>
    <w:rsid w:val="006C68D8"/>
    <w:rsid w:val="006D2DAA"/>
    <w:rsid w:val="006E26D9"/>
    <w:rsid w:val="006E7161"/>
    <w:rsid w:val="006F3CE5"/>
    <w:rsid w:val="006F6EEE"/>
    <w:rsid w:val="00701E79"/>
    <w:rsid w:val="00710117"/>
    <w:rsid w:val="007126AD"/>
    <w:rsid w:val="00713A31"/>
    <w:rsid w:val="007217E7"/>
    <w:rsid w:val="00724032"/>
    <w:rsid w:val="0072500F"/>
    <w:rsid w:val="0072605C"/>
    <w:rsid w:val="007271F7"/>
    <w:rsid w:val="007336B3"/>
    <w:rsid w:val="0073376C"/>
    <w:rsid w:val="00736736"/>
    <w:rsid w:val="00751CD6"/>
    <w:rsid w:val="00765813"/>
    <w:rsid w:val="00771B69"/>
    <w:rsid w:val="00773C1F"/>
    <w:rsid w:val="00774BF0"/>
    <w:rsid w:val="00777F61"/>
    <w:rsid w:val="0078630E"/>
    <w:rsid w:val="0079122C"/>
    <w:rsid w:val="00794688"/>
    <w:rsid w:val="007965C7"/>
    <w:rsid w:val="007A0569"/>
    <w:rsid w:val="007A3D0E"/>
    <w:rsid w:val="007A5705"/>
    <w:rsid w:val="007A61A7"/>
    <w:rsid w:val="007B2237"/>
    <w:rsid w:val="007B2589"/>
    <w:rsid w:val="007C4434"/>
    <w:rsid w:val="007C5693"/>
    <w:rsid w:val="007D167B"/>
    <w:rsid w:val="007D69FB"/>
    <w:rsid w:val="007E0B02"/>
    <w:rsid w:val="007E19A1"/>
    <w:rsid w:val="007F204C"/>
    <w:rsid w:val="00812AF8"/>
    <w:rsid w:val="0081484B"/>
    <w:rsid w:val="00820464"/>
    <w:rsid w:val="00827534"/>
    <w:rsid w:val="00827906"/>
    <w:rsid w:val="00831793"/>
    <w:rsid w:val="00841628"/>
    <w:rsid w:val="00856BF8"/>
    <w:rsid w:val="008610E2"/>
    <w:rsid w:val="0086349B"/>
    <w:rsid w:val="0086459F"/>
    <w:rsid w:val="00871565"/>
    <w:rsid w:val="00874E1A"/>
    <w:rsid w:val="0088368E"/>
    <w:rsid w:val="00890257"/>
    <w:rsid w:val="0089746E"/>
    <w:rsid w:val="0089794B"/>
    <w:rsid w:val="008A4073"/>
    <w:rsid w:val="008A6179"/>
    <w:rsid w:val="008B1BB2"/>
    <w:rsid w:val="008B6D55"/>
    <w:rsid w:val="008B781F"/>
    <w:rsid w:val="008C2CBB"/>
    <w:rsid w:val="008D5791"/>
    <w:rsid w:val="008D6C52"/>
    <w:rsid w:val="008E5C53"/>
    <w:rsid w:val="008F1CFF"/>
    <w:rsid w:val="00905C36"/>
    <w:rsid w:val="00911874"/>
    <w:rsid w:val="00911C57"/>
    <w:rsid w:val="00914E93"/>
    <w:rsid w:val="00921461"/>
    <w:rsid w:val="00937BE7"/>
    <w:rsid w:val="00942643"/>
    <w:rsid w:val="00944708"/>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3C71"/>
    <w:rsid w:val="009D621E"/>
    <w:rsid w:val="009E223C"/>
    <w:rsid w:val="009E23EC"/>
    <w:rsid w:val="009E6324"/>
    <w:rsid w:val="00A02198"/>
    <w:rsid w:val="00A30B7E"/>
    <w:rsid w:val="00A33E9B"/>
    <w:rsid w:val="00A349B0"/>
    <w:rsid w:val="00A37686"/>
    <w:rsid w:val="00A40B5B"/>
    <w:rsid w:val="00A42C19"/>
    <w:rsid w:val="00A4573C"/>
    <w:rsid w:val="00A5322E"/>
    <w:rsid w:val="00A65218"/>
    <w:rsid w:val="00A70F42"/>
    <w:rsid w:val="00A71CD4"/>
    <w:rsid w:val="00A772C3"/>
    <w:rsid w:val="00A84775"/>
    <w:rsid w:val="00A860E2"/>
    <w:rsid w:val="00A9321F"/>
    <w:rsid w:val="00A936E2"/>
    <w:rsid w:val="00A938B9"/>
    <w:rsid w:val="00AA3D23"/>
    <w:rsid w:val="00AB1E61"/>
    <w:rsid w:val="00AB2910"/>
    <w:rsid w:val="00AB408D"/>
    <w:rsid w:val="00AC22E2"/>
    <w:rsid w:val="00AC499A"/>
    <w:rsid w:val="00AD0940"/>
    <w:rsid w:val="00AD1819"/>
    <w:rsid w:val="00AD3402"/>
    <w:rsid w:val="00AD4290"/>
    <w:rsid w:val="00AE3D1A"/>
    <w:rsid w:val="00AE53C4"/>
    <w:rsid w:val="00B125B4"/>
    <w:rsid w:val="00B149EB"/>
    <w:rsid w:val="00B15AD7"/>
    <w:rsid w:val="00B16AEF"/>
    <w:rsid w:val="00B20C1F"/>
    <w:rsid w:val="00B21D27"/>
    <w:rsid w:val="00B27418"/>
    <w:rsid w:val="00B31880"/>
    <w:rsid w:val="00B40BA3"/>
    <w:rsid w:val="00B41FA9"/>
    <w:rsid w:val="00B42171"/>
    <w:rsid w:val="00B47344"/>
    <w:rsid w:val="00B47DE8"/>
    <w:rsid w:val="00B53B26"/>
    <w:rsid w:val="00B5556F"/>
    <w:rsid w:val="00B62AC6"/>
    <w:rsid w:val="00B75933"/>
    <w:rsid w:val="00B812E0"/>
    <w:rsid w:val="00B86414"/>
    <w:rsid w:val="00B86CE9"/>
    <w:rsid w:val="00BA0474"/>
    <w:rsid w:val="00BB0CA0"/>
    <w:rsid w:val="00BB2CE7"/>
    <w:rsid w:val="00BB5ED0"/>
    <w:rsid w:val="00BC0477"/>
    <w:rsid w:val="00BC39D3"/>
    <w:rsid w:val="00BC78BB"/>
    <w:rsid w:val="00BD07DC"/>
    <w:rsid w:val="00BD3BD3"/>
    <w:rsid w:val="00BD44C1"/>
    <w:rsid w:val="00BD5CE2"/>
    <w:rsid w:val="00BE04AB"/>
    <w:rsid w:val="00BE58B6"/>
    <w:rsid w:val="00BE644A"/>
    <w:rsid w:val="00BF0BA3"/>
    <w:rsid w:val="00BF19A9"/>
    <w:rsid w:val="00BF4374"/>
    <w:rsid w:val="00BF52C1"/>
    <w:rsid w:val="00C0213E"/>
    <w:rsid w:val="00C02D65"/>
    <w:rsid w:val="00C03333"/>
    <w:rsid w:val="00C25413"/>
    <w:rsid w:val="00C304DA"/>
    <w:rsid w:val="00C328B6"/>
    <w:rsid w:val="00C44B5F"/>
    <w:rsid w:val="00C50B66"/>
    <w:rsid w:val="00C53B6A"/>
    <w:rsid w:val="00C563CE"/>
    <w:rsid w:val="00C56682"/>
    <w:rsid w:val="00C568B6"/>
    <w:rsid w:val="00C63478"/>
    <w:rsid w:val="00C64924"/>
    <w:rsid w:val="00C664A5"/>
    <w:rsid w:val="00C71367"/>
    <w:rsid w:val="00C77C50"/>
    <w:rsid w:val="00C94CB8"/>
    <w:rsid w:val="00CA38AF"/>
    <w:rsid w:val="00CB502A"/>
    <w:rsid w:val="00CC03E4"/>
    <w:rsid w:val="00CC144B"/>
    <w:rsid w:val="00CC6665"/>
    <w:rsid w:val="00CC7B19"/>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22AF"/>
    <w:rsid w:val="00D50ACC"/>
    <w:rsid w:val="00D61D82"/>
    <w:rsid w:val="00D66197"/>
    <w:rsid w:val="00D70231"/>
    <w:rsid w:val="00D763FE"/>
    <w:rsid w:val="00D8714F"/>
    <w:rsid w:val="00DA037B"/>
    <w:rsid w:val="00DA5825"/>
    <w:rsid w:val="00DB3A0B"/>
    <w:rsid w:val="00DC4C05"/>
    <w:rsid w:val="00DC4F3E"/>
    <w:rsid w:val="00DC64E7"/>
    <w:rsid w:val="00DD29A1"/>
    <w:rsid w:val="00DE34F6"/>
    <w:rsid w:val="00DE472A"/>
    <w:rsid w:val="00DE745B"/>
    <w:rsid w:val="00DE7788"/>
    <w:rsid w:val="00DF7D65"/>
    <w:rsid w:val="00E00658"/>
    <w:rsid w:val="00E03E96"/>
    <w:rsid w:val="00E13EC1"/>
    <w:rsid w:val="00E203D9"/>
    <w:rsid w:val="00E35BD4"/>
    <w:rsid w:val="00E35CC0"/>
    <w:rsid w:val="00E362CA"/>
    <w:rsid w:val="00E43B49"/>
    <w:rsid w:val="00E55D48"/>
    <w:rsid w:val="00E600A1"/>
    <w:rsid w:val="00E64624"/>
    <w:rsid w:val="00E746AD"/>
    <w:rsid w:val="00E747FF"/>
    <w:rsid w:val="00E85E15"/>
    <w:rsid w:val="00E93D2E"/>
    <w:rsid w:val="00E94629"/>
    <w:rsid w:val="00EA0C6C"/>
    <w:rsid w:val="00EB3DCC"/>
    <w:rsid w:val="00EC2250"/>
    <w:rsid w:val="00EC753A"/>
    <w:rsid w:val="00ED180D"/>
    <w:rsid w:val="00EE28CA"/>
    <w:rsid w:val="00EF01B2"/>
    <w:rsid w:val="00EF118D"/>
    <w:rsid w:val="00EF4944"/>
    <w:rsid w:val="00EF556E"/>
    <w:rsid w:val="00EF7DEB"/>
    <w:rsid w:val="00F0252B"/>
    <w:rsid w:val="00F033B3"/>
    <w:rsid w:val="00F07090"/>
    <w:rsid w:val="00F1169B"/>
    <w:rsid w:val="00F148CA"/>
    <w:rsid w:val="00F168AD"/>
    <w:rsid w:val="00F1756F"/>
    <w:rsid w:val="00F21CAC"/>
    <w:rsid w:val="00F221E9"/>
    <w:rsid w:val="00F23765"/>
    <w:rsid w:val="00F35E07"/>
    <w:rsid w:val="00F40F94"/>
    <w:rsid w:val="00F45C7C"/>
    <w:rsid w:val="00F5017A"/>
    <w:rsid w:val="00F61A37"/>
    <w:rsid w:val="00F63B3C"/>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19F6"/>
    <w:rsid w:val="00FE655C"/>
    <w:rsid w:val="00FF0BCE"/>
    <w:rsid w:val="00FF2C7F"/>
    <w:rsid w:val="00FF6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224</TotalTime>
  <Pages>9</Pages>
  <Words>2597</Words>
  <Characters>14805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158</cp:revision>
  <cp:lastPrinted>2007-12-19T10:51:00Z</cp:lastPrinted>
  <dcterms:created xsi:type="dcterms:W3CDTF">2025-06-02T09:27:00Z</dcterms:created>
  <dcterms:modified xsi:type="dcterms:W3CDTF">2026-05-05T13:20:00Z</dcterms:modified>
</cp:coreProperties>
</file>