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2F09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E33A3D8"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E218603"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1C6E15D" w14:textId="77777777" w:rsidTr="00683C17">
        <w:tc>
          <w:tcPr>
            <w:tcW w:w="3681" w:type="dxa"/>
          </w:tcPr>
          <w:p w14:paraId="071EF45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990598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PL/2026/00476</w:t>
            </w:r>
          </w:p>
        </w:tc>
      </w:tr>
      <w:tr w:rsidR="00097010" w14:paraId="4DEE0B93" w14:textId="77777777" w:rsidTr="00683C17">
        <w:tc>
          <w:tcPr>
            <w:tcW w:w="3681" w:type="dxa"/>
          </w:tcPr>
          <w:p w14:paraId="05C0806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50AE48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Full planning permission</w:t>
            </w:r>
          </w:p>
        </w:tc>
      </w:tr>
      <w:tr w:rsidR="00097010" w14:paraId="3B0E65E5" w14:textId="77777777" w:rsidTr="00683C17">
        <w:tc>
          <w:tcPr>
            <w:tcW w:w="3681" w:type="dxa"/>
          </w:tcPr>
          <w:p w14:paraId="403EDBE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686C3B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Wye House, Barn Street, Marlborough, SN8 1AB</w:t>
            </w:r>
          </w:p>
        </w:tc>
      </w:tr>
      <w:tr w:rsidR="00097010" w14:paraId="4537EDD4" w14:textId="77777777" w:rsidTr="00683C17">
        <w:tc>
          <w:tcPr>
            <w:tcW w:w="3681" w:type="dxa"/>
          </w:tcPr>
          <w:p w14:paraId="3267E10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63187E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Like for like replacement of nine single glazed timber sash windows</w:t>
            </w:r>
          </w:p>
        </w:tc>
      </w:tr>
      <w:tr w:rsidR="00097010" w14:paraId="554C0B24" w14:textId="77777777" w:rsidTr="00683C17">
        <w:tc>
          <w:tcPr>
            <w:tcW w:w="3681" w:type="dxa"/>
          </w:tcPr>
          <w:p w14:paraId="0DABC55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1BE86F4"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1544F60"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A75F3E8"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A1B09EA"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A580896" w14:textId="242CAAEF" w:rsidR="005B0FD5" w:rsidRPr="004E5D68"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4E5D68">
        <w:rPr>
          <w:rFonts w:ascii="Arial" w:eastAsia="Times New Roman" w:hAnsi="Arial" w:cs="Arial"/>
          <w:kern w:val="0"/>
          <w:sz w:val="22"/>
          <w:szCs w:val="22"/>
          <w:lang w:eastAsia="en-GB"/>
          <w14:ligatures w14:val="none"/>
        </w:rPr>
        <w:t>for</w:t>
      </w:r>
      <w:r w:rsidR="0083213E" w:rsidRPr="004E5D68">
        <w:rPr>
          <w:rFonts w:ascii="Arial" w:eastAsia="Times New Roman" w:hAnsi="Arial" w:cs="Arial"/>
          <w:i/>
          <w:iCs/>
          <w:kern w:val="0"/>
          <w:sz w:val="22"/>
          <w:szCs w:val="22"/>
          <w:lang w:eastAsia="en-GB"/>
          <w14:ligatures w14:val="none"/>
        </w:rPr>
        <w:t xml:space="preserve"> </w:t>
      </w:r>
      <w:r w:rsidR="004D2E13" w:rsidRPr="004E5D68">
        <w:rPr>
          <w:rFonts w:ascii="Arial" w:eastAsia="Times New Roman" w:hAnsi="Arial" w:cs="Arial"/>
          <w:i/>
          <w:iCs/>
          <w:kern w:val="0"/>
          <w:sz w:val="22"/>
          <w:szCs w:val="22"/>
          <w:lang w:eastAsia="en-GB"/>
          <w14:ligatures w14:val="none"/>
        </w:rPr>
        <w:t xml:space="preserve">Like for like replacement of nine single glazed timber sash windows </w:t>
      </w:r>
      <w:r w:rsidR="004D2E13" w:rsidRPr="004E5D68">
        <w:rPr>
          <w:rFonts w:ascii="Arial" w:eastAsia="Times New Roman" w:hAnsi="Arial" w:cs="Arial"/>
          <w:kern w:val="0"/>
          <w:sz w:val="22"/>
          <w:szCs w:val="22"/>
          <w:lang w:eastAsia="en-GB"/>
          <w14:ligatures w14:val="none"/>
        </w:rPr>
        <w:t>at Wye House, Barn Street, Marlborough, SN8 1AB</w:t>
      </w:r>
    </w:p>
    <w:p w14:paraId="28DB2568" w14:textId="77777777" w:rsidR="00E46EA6" w:rsidRPr="004E5D68" w:rsidRDefault="00E46EA6" w:rsidP="009C1702">
      <w:pPr>
        <w:spacing w:after="0" w:line="276" w:lineRule="auto"/>
        <w:jc w:val="both"/>
        <w:outlineLvl w:val="2"/>
        <w:rPr>
          <w:rFonts w:ascii="Arial" w:eastAsia="Times New Roman" w:hAnsi="Arial" w:cs="Arial"/>
          <w:b/>
          <w:bCs/>
          <w:kern w:val="0"/>
          <w:sz w:val="22"/>
          <w:szCs w:val="22"/>
          <w:lang w:eastAsia="en-GB"/>
          <w14:ligatures w14:val="none"/>
        </w:rPr>
      </w:pPr>
    </w:p>
    <w:p w14:paraId="2F5FDD77" w14:textId="77777777" w:rsidR="00AE7AE8" w:rsidRPr="004E5D68" w:rsidRDefault="00AE7AE8" w:rsidP="00AE7AE8">
      <w:pPr>
        <w:spacing w:after="0" w:line="276" w:lineRule="auto"/>
        <w:jc w:val="both"/>
        <w:outlineLvl w:val="2"/>
        <w:rPr>
          <w:rFonts w:ascii="Arial" w:eastAsia="Times New Roman" w:hAnsi="Arial" w:cs="Arial"/>
          <w:kern w:val="0"/>
          <w:sz w:val="22"/>
          <w:szCs w:val="22"/>
          <w:lang w:eastAsia="en-GB"/>
          <w14:ligatures w14:val="none"/>
        </w:rPr>
      </w:pPr>
      <w:r w:rsidRPr="004E5D68">
        <w:rPr>
          <w:rFonts w:ascii="Arial" w:eastAsia="Times New Roman" w:hAnsi="Arial" w:cs="Arial"/>
          <w:kern w:val="0"/>
          <w:sz w:val="22"/>
          <w:szCs w:val="22"/>
          <w:lang w:eastAsia="en-GB"/>
          <w14:ligatures w14:val="none"/>
        </w:rPr>
        <w:t>The applicants have submitted 4 different window elevation plans, a full window survey report (photos) and a window condition report. The proposal is also supported by two annotated elevational window photos which corresponds to the elevation plans.</w:t>
      </w:r>
    </w:p>
    <w:p w14:paraId="0BBFEF15" w14:textId="77777777" w:rsidR="00AE7AE8" w:rsidRPr="00AE7AE8" w:rsidRDefault="00AE7AE8" w:rsidP="00AE7AE8">
      <w:pPr>
        <w:spacing w:after="0" w:line="276" w:lineRule="auto"/>
        <w:jc w:val="both"/>
        <w:outlineLvl w:val="2"/>
        <w:rPr>
          <w:rFonts w:ascii="Arial" w:eastAsia="Times New Roman" w:hAnsi="Arial" w:cs="Arial"/>
          <w:kern w:val="0"/>
          <w:sz w:val="22"/>
          <w:szCs w:val="22"/>
          <w:lang w:eastAsia="en-GB"/>
          <w14:ligatures w14:val="none"/>
        </w:rPr>
      </w:pPr>
    </w:p>
    <w:p w14:paraId="7B9DB32E" w14:textId="5D43ABBB" w:rsidR="00AE7AE8" w:rsidRPr="00AE7AE8" w:rsidRDefault="00AE7AE8" w:rsidP="00AE7AE8">
      <w:pPr>
        <w:spacing w:after="0" w:line="276" w:lineRule="auto"/>
        <w:jc w:val="both"/>
        <w:outlineLvl w:val="2"/>
        <w:rPr>
          <w:rFonts w:ascii="Arial" w:eastAsia="Times New Roman" w:hAnsi="Arial" w:cs="Arial"/>
          <w:kern w:val="0"/>
          <w:sz w:val="22"/>
          <w:szCs w:val="22"/>
          <w:lang w:eastAsia="en-GB"/>
          <w14:ligatures w14:val="none"/>
        </w:rPr>
      </w:pPr>
      <w:r w:rsidRPr="00AE7AE8">
        <w:rPr>
          <w:rFonts w:ascii="Arial" w:eastAsia="Times New Roman" w:hAnsi="Arial" w:cs="Arial"/>
          <w:kern w:val="0"/>
          <w:sz w:val="22"/>
          <w:szCs w:val="22"/>
          <w:lang w:eastAsia="en-GB"/>
          <w14:ligatures w14:val="none"/>
        </w:rPr>
        <w:t>The applicants have stated that the same glazing bar details on drawing No 112 are also proposed for the dormer window plans (113) although they have been missed off the plan. The applicants have accepted that a condition for the same details as shown on plan 112 will also apply to plan 113.</w:t>
      </w:r>
    </w:p>
    <w:p w14:paraId="6CF8503D" w14:textId="77777777" w:rsidR="00AE7AE8" w:rsidRDefault="00AE7AE8" w:rsidP="009C1702">
      <w:pPr>
        <w:spacing w:after="0" w:line="276" w:lineRule="auto"/>
        <w:jc w:val="both"/>
        <w:outlineLvl w:val="2"/>
        <w:rPr>
          <w:rFonts w:ascii="Arial" w:eastAsia="Times New Roman" w:hAnsi="Arial" w:cs="Arial"/>
          <w:b/>
          <w:bCs/>
          <w:kern w:val="0"/>
          <w:sz w:val="22"/>
          <w:szCs w:val="22"/>
          <w:lang w:eastAsia="en-GB"/>
          <w14:ligatures w14:val="none"/>
        </w:rPr>
      </w:pPr>
    </w:p>
    <w:p w14:paraId="2964F9B3" w14:textId="77777777" w:rsidR="00066F07" w:rsidRPr="00066F07" w:rsidRDefault="00066F07" w:rsidP="00066F07">
      <w:pPr>
        <w:spacing w:after="0" w:line="276" w:lineRule="auto"/>
        <w:jc w:val="both"/>
        <w:outlineLvl w:val="2"/>
        <w:rPr>
          <w:rFonts w:ascii="Arial" w:eastAsia="Times New Roman" w:hAnsi="Arial" w:cs="Arial"/>
          <w:kern w:val="0"/>
          <w:sz w:val="22"/>
          <w:szCs w:val="22"/>
          <w:lang w:eastAsia="en-GB"/>
          <w14:ligatures w14:val="none"/>
        </w:rPr>
      </w:pPr>
      <w:r w:rsidRPr="00066F07">
        <w:rPr>
          <w:rFonts w:ascii="Arial" w:eastAsia="Times New Roman" w:hAnsi="Arial" w:cs="Arial"/>
          <w:kern w:val="0"/>
          <w:sz w:val="22"/>
          <w:szCs w:val="22"/>
          <w:lang w:eastAsia="en-GB"/>
          <w14:ligatures w14:val="none"/>
        </w:rPr>
        <w:t>This planning application is accompanied by a separate listed building consent application, which addresses the acceptability of the works in heritage terms; however, the heritage impacts are also material to this planning decision and are considered below.</w:t>
      </w:r>
    </w:p>
    <w:p w14:paraId="0E0529E3" w14:textId="77777777" w:rsidR="00711BA5" w:rsidRDefault="00711BA5" w:rsidP="009C1702">
      <w:pPr>
        <w:spacing w:after="0" w:line="276" w:lineRule="auto"/>
        <w:jc w:val="both"/>
        <w:outlineLvl w:val="2"/>
        <w:rPr>
          <w:rFonts w:ascii="Arial" w:eastAsia="Times New Roman" w:hAnsi="Arial" w:cs="Arial"/>
          <w:kern w:val="0"/>
          <w:sz w:val="22"/>
          <w:szCs w:val="22"/>
          <w:lang w:eastAsia="en-GB"/>
          <w14:ligatures w14:val="none"/>
        </w:rPr>
      </w:pPr>
    </w:p>
    <w:p w14:paraId="51A8A69A" w14:textId="58B79888" w:rsidR="00711BA5" w:rsidRDefault="00711BA5" w:rsidP="009C1702">
      <w:pPr>
        <w:spacing w:after="0" w:line="276" w:lineRule="auto"/>
        <w:jc w:val="both"/>
        <w:outlineLvl w:val="2"/>
        <w:rPr>
          <w:rFonts w:ascii="Arial" w:eastAsia="Times New Roman" w:hAnsi="Arial" w:cs="Arial"/>
          <w:kern w:val="0"/>
          <w:sz w:val="22"/>
          <w:szCs w:val="22"/>
          <w:lang w:eastAsia="en-GB"/>
          <w14:ligatures w14:val="none"/>
        </w:rPr>
      </w:pPr>
      <w:r w:rsidRPr="005833A7">
        <w:rPr>
          <w:rFonts w:ascii="Arial" w:eastAsia="Times New Roman" w:hAnsi="Arial" w:cs="Arial"/>
          <w:b/>
          <w:bCs/>
          <w:i/>
          <w:iCs/>
          <w:noProof/>
          <w:color w:val="FF0000"/>
          <w:kern w:val="0"/>
          <w:sz w:val="22"/>
          <w:szCs w:val="22"/>
          <w:lang w:eastAsia="en-GB"/>
          <w14:ligatures w14:val="none"/>
        </w:rPr>
        <w:drawing>
          <wp:inline distT="0" distB="0" distL="0" distR="0" wp14:anchorId="48EDC234" wp14:editId="04706A8F">
            <wp:extent cx="2867639" cy="2019300"/>
            <wp:effectExtent l="0" t="0" r="9525" b="0"/>
            <wp:docPr id="580433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433426" name=""/>
                    <pic:cNvPicPr/>
                  </pic:nvPicPr>
                  <pic:blipFill>
                    <a:blip r:embed="rId8"/>
                    <a:stretch>
                      <a:fillRect/>
                    </a:stretch>
                  </pic:blipFill>
                  <pic:spPr>
                    <a:xfrm>
                      <a:off x="0" y="0"/>
                      <a:ext cx="2890992" cy="2035744"/>
                    </a:xfrm>
                    <a:prstGeom prst="rect">
                      <a:avLst/>
                    </a:prstGeom>
                  </pic:spPr>
                </pic:pic>
              </a:graphicData>
            </a:graphic>
          </wp:inline>
        </w:drawing>
      </w:r>
      <w:r w:rsidR="00C21C1B" w:rsidRPr="00424E33">
        <w:rPr>
          <w:rFonts w:ascii="Arial" w:eastAsia="Times New Roman" w:hAnsi="Arial" w:cs="Arial"/>
          <w:b/>
          <w:bCs/>
          <w:noProof/>
          <w:kern w:val="0"/>
          <w:sz w:val="22"/>
          <w:szCs w:val="22"/>
          <w:lang w:eastAsia="en-GB"/>
          <w14:ligatures w14:val="none"/>
        </w:rPr>
        <w:drawing>
          <wp:inline distT="0" distB="0" distL="0" distR="0" wp14:anchorId="166377E5" wp14:editId="05CFAFA4">
            <wp:extent cx="2658813" cy="1971675"/>
            <wp:effectExtent l="0" t="0" r="8255" b="0"/>
            <wp:docPr id="1760381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381929" name=""/>
                    <pic:cNvPicPr/>
                  </pic:nvPicPr>
                  <pic:blipFill>
                    <a:blip r:embed="rId9"/>
                    <a:stretch>
                      <a:fillRect/>
                    </a:stretch>
                  </pic:blipFill>
                  <pic:spPr>
                    <a:xfrm>
                      <a:off x="0" y="0"/>
                      <a:ext cx="2665344" cy="1976518"/>
                    </a:xfrm>
                    <a:prstGeom prst="rect">
                      <a:avLst/>
                    </a:prstGeom>
                  </pic:spPr>
                </pic:pic>
              </a:graphicData>
            </a:graphic>
          </wp:inline>
        </w:drawing>
      </w:r>
    </w:p>
    <w:p w14:paraId="77866450" w14:textId="77777777" w:rsidR="00C21C1B" w:rsidRDefault="00C21C1B" w:rsidP="009C1702">
      <w:pPr>
        <w:spacing w:after="0" w:line="276" w:lineRule="auto"/>
        <w:jc w:val="both"/>
        <w:outlineLvl w:val="2"/>
        <w:rPr>
          <w:rFonts w:ascii="Arial" w:eastAsia="Times New Roman" w:hAnsi="Arial" w:cs="Arial"/>
          <w:kern w:val="0"/>
          <w:sz w:val="22"/>
          <w:szCs w:val="22"/>
          <w:lang w:eastAsia="en-GB"/>
          <w14:ligatures w14:val="none"/>
        </w:rPr>
      </w:pPr>
    </w:p>
    <w:p w14:paraId="5342A458" w14:textId="35D76AE5" w:rsidR="00C21C1B" w:rsidRPr="004E5D68" w:rsidRDefault="00C21C1B" w:rsidP="004E5D68">
      <w:pPr>
        <w:spacing w:after="0" w:line="276" w:lineRule="auto"/>
        <w:jc w:val="center"/>
        <w:outlineLvl w:val="2"/>
        <w:rPr>
          <w:rFonts w:ascii="Arial" w:eastAsia="Times New Roman" w:hAnsi="Arial" w:cs="Arial"/>
          <w:b/>
          <w:bCs/>
          <w:kern w:val="0"/>
          <w:sz w:val="22"/>
          <w:szCs w:val="22"/>
          <w:lang w:eastAsia="en-GB"/>
          <w14:ligatures w14:val="none"/>
        </w:rPr>
      </w:pPr>
      <w:r w:rsidRPr="004E5D68">
        <w:rPr>
          <w:rFonts w:ascii="Arial" w:eastAsia="Times New Roman" w:hAnsi="Arial" w:cs="Arial"/>
          <w:b/>
          <w:bCs/>
          <w:kern w:val="0"/>
          <w:sz w:val="22"/>
          <w:szCs w:val="22"/>
          <w:lang w:eastAsia="en-GB"/>
          <w14:ligatures w14:val="none"/>
        </w:rPr>
        <w:t xml:space="preserve">Annotated Plans showing the location of the replacement windows and the corresponding </w:t>
      </w:r>
      <w:r w:rsidR="004E5D68" w:rsidRPr="004E5D68">
        <w:rPr>
          <w:rFonts w:ascii="Arial" w:eastAsia="Times New Roman" w:hAnsi="Arial" w:cs="Arial"/>
          <w:b/>
          <w:bCs/>
          <w:kern w:val="0"/>
          <w:sz w:val="22"/>
          <w:szCs w:val="22"/>
          <w:lang w:eastAsia="en-GB"/>
          <w14:ligatures w14:val="none"/>
        </w:rPr>
        <w:t>glazing plans</w:t>
      </w:r>
    </w:p>
    <w:p w14:paraId="582B948B" w14:textId="649C3C06" w:rsidR="005B0FD5" w:rsidRDefault="00C21C1B"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w:t>
      </w:r>
    </w:p>
    <w:p w14:paraId="1AEE889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BFAD881"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4C75A6D" w14:textId="77777777" w:rsidR="00DE0A27" w:rsidRPr="00DE0A27" w:rsidRDefault="00DE0A27" w:rsidP="00DE0A2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E0A27">
        <w:rPr>
          <w:rFonts w:ascii="Arial" w:eastAsia="Times New Roman" w:hAnsi="Arial" w:cs="Arial"/>
          <w:color w:val="000000" w:themeColor="text1"/>
          <w:kern w:val="0"/>
          <w:sz w:val="22"/>
          <w:szCs w:val="22"/>
          <w:lang w:eastAsia="en-GB"/>
          <w14:ligatures w14:val="none"/>
        </w:rPr>
        <w:t xml:space="preserve">Wye House is a large two storey detached building that has been converted into 6 flats. Its historic development is described in the supporting heritage statement. It is a grade II listed building </w:t>
      </w:r>
    </w:p>
    <w:p w14:paraId="0EE4C38B" w14:textId="77777777" w:rsidR="00DE0A27" w:rsidRPr="00DE0A27" w:rsidRDefault="00DE0A27" w:rsidP="00DE0A2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92E6AF5" w14:textId="77777777" w:rsidR="00DE0A27" w:rsidRPr="00DE0A27" w:rsidRDefault="00DE0A27" w:rsidP="00DE0A2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E0A27">
        <w:rPr>
          <w:rFonts w:ascii="Arial" w:eastAsia="Times New Roman" w:hAnsi="Arial" w:cs="Arial"/>
          <w:color w:val="000000" w:themeColor="text1"/>
          <w:kern w:val="0"/>
          <w:sz w:val="22"/>
          <w:szCs w:val="22"/>
          <w:lang w:eastAsia="en-GB"/>
          <w14:ligatures w14:val="none"/>
        </w:rPr>
        <w:t>The site also lies within the Marlborough conservation area.</w:t>
      </w:r>
    </w:p>
    <w:p w14:paraId="04CA3371" w14:textId="77777777" w:rsidR="00DE0A27" w:rsidRPr="00DE0A27" w:rsidRDefault="00DE0A27" w:rsidP="00DE0A2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C242208" w14:textId="77777777" w:rsidR="00DE0A27" w:rsidRPr="00DE0A27" w:rsidRDefault="00DE0A27" w:rsidP="00DE0A2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E0A27">
        <w:rPr>
          <w:rFonts w:ascii="Arial" w:eastAsia="Times New Roman" w:hAnsi="Arial" w:cs="Arial"/>
          <w:color w:val="000000" w:themeColor="text1"/>
          <w:kern w:val="0"/>
          <w:sz w:val="22"/>
          <w:szCs w:val="22"/>
          <w:lang w:eastAsia="en-GB"/>
          <w14:ligatures w14:val="none"/>
        </w:rPr>
        <w:t>The list entry, for means of identification purposes only, provides the following description:</w:t>
      </w:r>
    </w:p>
    <w:p w14:paraId="713A7EA5" w14:textId="77777777" w:rsidR="00DE0A27" w:rsidRPr="00DE0A27" w:rsidRDefault="00DE0A27" w:rsidP="00DE0A2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E93B380" w14:textId="6C1975CD" w:rsidR="00FE250F" w:rsidRPr="00794EE9" w:rsidRDefault="00DE0A27" w:rsidP="00DE0A27">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794EE9">
        <w:rPr>
          <w:rFonts w:ascii="Arial" w:eastAsia="Times New Roman" w:hAnsi="Arial" w:cs="Arial"/>
          <w:i/>
          <w:iCs/>
          <w:color w:val="000000" w:themeColor="text1"/>
          <w:kern w:val="0"/>
          <w:sz w:val="22"/>
          <w:szCs w:val="22"/>
          <w:lang w:eastAsia="en-GB"/>
          <w14:ligatures w14:val="none"/>
        </w:rPr>
        <w:t xml:space="preserve">Late C18. Two </w:t>
      </w:r>
      <w:proofErr w:type="gramStart"/>
      <w:r w:rsidRPr="00794EE9">
        <w:rPr>
          <w:rFonts w:ascii="Arial" w:eastAsia="Times New Roman" w:hAnsi="Arial" w:cs="Arial"/>
          <w:i/>
          <w:iCs/>
          <w:color w:val="000000" w:themeColor="text1"/>
          <w:kern w:val="0"/>
          <w:sz w:val="22"/>
          <w:szCs w:val="22"/>
          <w:lang w:eastAsia="en-GB"/>
          <w14:ligatures w14:val="none"/>
        </w:rPr>
        <w:t>storey</w:t>
      </w:r>
      <w:proofErr w:type="gramEnd"/>
      <w:r w:rsidRPr="00794EE9">
        <w:rPr>
          <w:rFonts w:ascii="Arial" w:eastAsia="Times New Roman" w:hAnsi="Arial" w:cs="Arial"/>
          <w:i/>
          <w:iCs/>
          <w:color w:val="000000" w:themeColor="text1"/>
          <w:kern w:val="0"/>
          <w:sz w:val="22"/>
          <w:szCs w:val="22"/>
          <w:lang w:eastAsia="en-GB"/>
          <w14:ligatures w14:val="none"/>
        </w:rPr>
        <w:t>. Brick on small stone plinth, with wide angle pilaster projections, moulded cornice, slight central projection with blocking course, and hipped slate roof. Five windows on first floor. Four tall windows on ground floor, and central glazed door, under Greek Doric porch of ashlar bath stone, two columns in antis, and arched glazed lights at sides. Central square stone gate piers and brick flanking walls on road front.</w:t>
      </w:r>
    </w:p>
    <w:p w14:paraId="005575A2" w14:textId="77777777" w:rsidR="0030358B" w:rsidRDefault="0030358B" w:rsidP="00DE0A2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35A1D93"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6EADC0D" w14:textId="77777777" w:rsidR="0030358B" w:rsidRDefault="0030358B"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2BDE1A0" w14:textId="73116C9B" w:rsidR="0030358B" w:rsidRDefault="0030358B"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North Wessex Downs National Landscape</w:t>
      </w:r>
    </w:p>
    <w:p w14:paraId="2E4406E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2C98DB6"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94E1EAA"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3AEF42E4" w14:textId="2A749FCB" w:rsidR="00C71960" w:rsidRPr="00C71960" w:rsidRDefault="00C71960" w:rsidP="009C1702">
      <w:pPr>
        <w:spacing w:after="0" w:line="276" w:lineRule="auto"/>
        <w:jc w:val="both"/>
        <w:rPr>
          <w:rFonts w:ascii="Arial" w:eastAsia="Times New Roman" w:hAnsi="Arial" w:cs="Arial"/>
          <w:kern w:val="0"/>
          <w:sz w:val="22"/>
          <w:szCs w:val="22"/>
          <w:lang w:eastAsia="en-GB"/>
          <w14:ligatures w14:val="none"/>
        </w:rPr>
      </w:pPr>
      <w:r w:rsidRPr="00C71960">
        <w:rPr>
          <w:rFonts w:ascii="Arial" w:eastAsia="Times New Roman" w:hAnsi="Arial" w:cs="Arial"/>
          <w:kern w:val="0"/>
          <w:sz w:val="22"/>
          <w:szCs w:val="22"/>
          <w:lang w:eastAsia="en-GB"/>
          <w14:ligatures w14:val="none"/>
        </w:rPr>
        <w:t>There has been an extensive planning history on the site however, none relate to replacing the existing windows.</w:t>
      </w:r>
    </w:p>
    <w:p w14:paraId="73A8EFB5" w14:textId="77777777" w:rsidR="00C71960" w:rsidRDefault="00C71960" w:rsidP="009C1702">
      <w:pPr>
        <w:spacing w:after="0" w:line="276" w:lineRule="auto"/>
        <w:jc w:val="both"/>
        <w:rPr>
          <w:rFonts w:ascii="Arial" w:eastAsia="Times New Roman" w:hAnsi="Arial" w:cs="Arial"/>
          <w:b/>
          <w:bCs/>
          <w:kern w:val="0"/>
          <w:sz w:val="22"/>
          <w:szCs w:val="22"/>
          <w:lang w:eastAsia="en-GB"/>
          <w14:ligatures w14:val="none"/>
        </w:rPr>
      </w:pPr>
    </w:p>
    <w:p w14:paraId="5BB49DF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B1D607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AD3A56B" w14:textId="1A6346C2" w:rsidR="00C07482" w:rsidRDefault="00C07482" w:rsidP="009C1702">
      <w:pPr>
        <w:spacing w:after="0" w:line="276" w:lineRule="auto"/>
        <w:jc w:val="both"/>
        <w:rPr>
          <w:rFonts w:ascii="Arial" w:eastAsia="Times New Roman" w:hAnsi="Arial" w:cs="Arial"/>
          <w:kern w:val="0"/>
          <w:sz w:val="22"/>
          <w:szCs w:val="22"/>
          <w:lang w:eastAsia="en-GB"/>
          <w14:ligatures w14:val="none"/>
        </w:rPr>
      </w:pPr>
      <w:r w:rsidRPr="00C07482">
        <w:rPr>
          <w:rFonts w:ascii="Arial" w:eastAsia="Times New Roman" w:hAnsi="Arial" w:cs="Arial"/>
          <w:kern w:val="0"/>
          <w:sz w:val="22"/>
          <w:szCs w:val="22"/>
          <w:u w:val="single"/>
          <w:lang w:eastAsia="en-GB"/>
          <w14:ligatures w14:val="none"/>
        </w:rPr>
        <w:t>National Context</w:t>
      </w:r>
      <w:r>
        <w:rPr>
          <w:rFonts w:ascii="Arial" w:eastAsia="Times New Roman" w:hAnsi="Arial" w:cs="Arial"/>
          <w:kern w:val="0"/>
          <w:sz w:val="22"/>
          <w:szCs w:val="22"/>
          <w:lang w:eastAsia="en-GB"/>
          <w14:ligatures w14:val="none"/>
        </w:rPr>
        <w:t>:</w:t>
      </w:r>
    </w:p>
    <w:p w14:paraId="3CD5D1E7" w14:textId="77777777" w:rsidR="00C07482" w:rsidRPr="00C07482" w:rsidRDefault="00C07482" w:rsidP="00C07482">
      <w:pPr>
        <w:spacing w:after="0" w:line="276" w:lineRule="auto"/>
        <w:jc w:val="both"/>
        <w:rPr>
          <w:rFonts w:ascii="Arial" w:eastAsia="Times New Roman" w:hAnsi="Arial" w:cs="Arial"/>
          <w:kern w:val="0"/>
          <w:sz w:val="22"/>
          <w:szCs w:val="22"/>
          <w:lang w:eastAsia="en-GB"/>
          <w14:ligatures w14:val="none"/>
        </w:rPr>
      </w:pPr>
      <w:r w:rsidRPr="00C07482">
        <w:rPr>
          <w:rFonts w:ascii="Arial" w:eastAsia="Times New Roman" w:hAnsi="Arial" w:cs="Arial"/>
          <w:kern w:val="0"/>
          <w:sz w:val="22"/>
          <w:szCs w:val="22"/>
          <w:lang w:eastAsia="en-GB"/>
          <w14:ligatures w14:val="none"/>
        </w:rPr>
        <w:t xml:space="preserve">The National Planning Policy Framework (NPPF) </w:t>
      </w:r>
    </w:p>
    <w:p w14:paraId="71E25372" w14:textId="77777777" w:rsidR="00C07482" w:rsidRDefault="00C07482" w:rsidP="00C07482">
      <w:pPr>
        <w:spacing w:after="0" w:line="276" w:lineRule="auto"/>
        <w:jc w:val="both"/>
        <w:rPr>
          <w:rFonts w:ascii="Arial" w:eastAsia="Times New Roman" w:hAnsi="Arial" w:cs="Arial"/>
          <w:kern w:val="0"/>
          <w:sz w:val="22"/>
          <w:szCs w:val="22"/>
          <w:lang w:eastAsia="en-GB"/>
          <w14:ligatures w14:val="none"/>
        </w:rPr>
      </w:pPr>
    </w:p>
    <w:p w14:paraId="6FE60786" w14:textId="41C3AB9A" w:rsidR="009368BA" w:rsidRDefault="009368BA" w:rsidP="00C07482">
      <w:pPr>
        <w:spacing w:after="0" w:line="276" w:lineRule="auto"/>
        <w:jc w:val="both"/>
        <w:rPr>
          <w:rFonts w:ascii="Arial" w:eastAsia="Times New Roman" w:hAnsi="Arial" w:cs="Arial"/>
          <w:kern w:val="0"/>
          <w:sz w:val="22"/>
          <w:szCs w:val="22"/>
          <w:lang w:eastAsia="en-GB"/>
          <w14:ligatures w14:val="none"/>
        </w:rPr>
      </w:pPr>
      <w:r w:rsidRPr="009368BA">
        <w:rPr>
          <w:rFonts w:ascii="Arial" w:eastAsia="Times New Roman" w:hAnsi="Arial" w:cs="Arial"/>
          <w:kern w:val="0"/>
          <w:sz w:val="22"/>
          <w:szCs w:val="22"/>
          <w:lang w:eastAsia="en-GB"/>
          <w14:ligatures w14:val="none"/>
        </w:rPr>
        <w:t>The NPPF outlines government policy for planning. Chapter 16 of the NPPF 'Conserving and enhancing the historic environment' sets out the Government's high-level policies concerning heritage and sustainable development.</w:t>
      </w:r>
    </w:p>
    <w:p w14:paraId="45EEBE7D" w14:textId="77777777" w:rsidR="009368BA" w:rsidRPr="00C07482" w:rsidRDefault="009368BA" w:rsidP="00C07482">
      <w:pPr>
        <w:spacing w:after="0" w:line="276" w:lineRule="auto"/>
        <w:jc w:val="both"/>
        <w:rPr>
          <w:rFonts w:ascii="Arial" w:eastAsia="Times New Roman" w:hAnsi="Arial" w:cs="Arial"/>
          <w:kern w:val="0"/>
          <w:sz w:val="22"/>
          <w:szCs w:val="22"/>
          <w:lang w:eastAsia="en-GB"/>
          <w14:ligatures w14:val="none"/>
        </w:rPr>
      </w:pPr>
    </w:p>
    <w:p w14:paraId="6DF5BCA8" w14:textId="12A83607" w:rsidR="00C07482" w:rsidRDefault="00C07482" w:rsidP="00C07482">
      <w:pPr>
        <w:spacing w:after="0" w:line="276" w:lineRule="auto"/>
        <w:jc w:val="both"/>
        <w:rPr>
          <w:rFonts w:ascii="Arial" w:eastAsia="Times New Roman" w:hAnsi="Arial" w:cs="Arial"/>
          <w:kern w:val="0"/>
          <w:sz w:val="22"/>
          <w:szCs w:val="22"/>
          <w:lang w:eastAsia="en-GB"/>
          <w14:ligatures w14:val="none"/>
        </w:rPr>
      </w:pPr>
      <w:r w:rsidRPr="00C07482">
        <w:rPr>
          <w:rFonts w:ascii="Arial" w:eastAsia="Times New Roman" w:hAnsi="Arial" w:cs="Arial"/>
          <w:kern w:val="0"/>
          <w:sz w:val="22"/>
          <w:szCs w:val="22"/>
          <w:lang w:eastAsia="en-GB"/>
          <w14:ligatures w14:val="none"/>
        </w:rPr>
        <w:t>The Planning Practice Guidance</w:t>
      </w:r>
    </w:p>
    <w:p w14:paraId="28254722" w14:textId="77777777" w:rsidR="00C07482" w:rsidRDefault="00C07482" w:rsidP="009C1702">
      <w:pPr>
        <w:spacing w:after="0" w:line="276" w:lineRule="auto"/>
        <w:jc w:val="both"/>
        <w:rPr>
          <w:rFonts w:ascii="Arial" w:eastAsia="Times New Roman" w:hAnsi="Arial" w:cs="Arial"/>
          <w:kern w:val="0"/>
          <w:sz w:val="22"/>
          <w:szCs w:val="22"/>
          <w:lang w:eastAsia="en-GB"/>
          <w14:ligatures w14:val="none"/>
        </w:rPr>
      </w:pPr>
    </w:p>
    <w:p w14:paraId="27E17DEC" w14:textId="082A4CBA" w:rsidR="009368BA" w:rsidRDefault="009368BA" w:rsidP="009C1702">
      <w:pPr>
        <w:spacing w:after="0" w:line="276" w:lineRule="auto"/>
        <w:jc w:val="both"/>
        <w:rPr>
          <w:rFonts w:ascii="Arial" w:eastAsia="Times New Roman" w:hAnsi="Arial" w:cs="Arial"/>
          <w:kern w:val="0"/>
          <w:sz w:val="22"/>
          <w:szCs w:val="22"/>
          <w:lang w:eastAsia="en-GB"/>
          <w14:ligatures w14:val="none"/>
        </w:rPr>
      </w:pPr>
      <w:r w:rsidRPr="009368BA">
        <w:rPr>
          <w:rFonts w:ascii="Arial" w:eastAsia="Times New Roman" w:hAnsi="Arial" w:cs="Arial"/>
          <w:kern w:val="0"/>
          <w:sz w:val="22"/>
          <w:szCs w:val="22"/>
          <w:lang w:eastAsia="en-GB"/>
          <w14:ligatures w14:val="none"/>
        </w:rPr>
        <w:t>From the point of view of the historic environment the main statutory tests are set out within the Planning (Listed Building and Conservation Areas) Act 1990.</w:t>
      </w:r>
    </w:p>
    <w:p w14:paraId="2D959690" w14:textId="77777777" w:rsidR="009368BA" w:rsidRDefault="009368BA" w:rsidP="009C1702">
      <w:pPr>
        <w:spacing w:after="0" w:line="276" w:lineRule="auto"/>
        <w:jc w:val="both"/>
        <w:rPr>
          <w:rFonts w:ascii="Arial" w:eastAsia="Times New Roman" w:hAnsi="Arial" w:cs="Arial"/>
          <w:kern w:val="0"/>
          <w:sz w:val="22"/>
          <w:szCs w:val="22"/>
          <w:lang w:eastAsia="en-GB"/>
          <w14:ligatures w14:val="none"/>
        </w:rPr>
      </w:pPr>
    </w:p>
    <w:p w14:paraId="6B9A6E06" w14:textId="19755953" w:rsidR="00C07482" w:rsidRDefault="00666BB7" w:rsidP="009C1702">
      <w:pPr>
        <w:spacing w:after="0" w:line="276" w:lineRule="auto"/>
        <w:jc w:val="both"/>
        <w:rPr>
          <w:rFonts w:ascii="Arial" w:eastAsia="Times New Roman" w:hAnsi="Arial" w:cs="Arial"/>
          <w:kern w:val="0"/>
          <w:sz w:val="22"/>
          <w:szCs w:val="22"/>
          <w:lang w:eastAsia="en-GB"/>
          <w14:ligatures w14:val="none"/>
        </w:rPr>
      </w:pPr>
      <w:r w:rsidRPr="00666BB7">
        <w:rPr>
          <w:rFonts w:ascii="Arial" w:eastAsia="Times New Roman" w:hAnsi="Arial" w:cs="Arial"/>
          <w:kern w:val="0"/>
          <w:sz w:val="22"/>
          <w:szCs w:val="22"/>
          <w:lang w:eastAsia="en-GB"/>
          <w14:ligatures w14:val="none"/>
        </w:rPr>
        <w:t>Section 66 of the Planning (Listed Buildings and Conservation Areas) Act 1990 requires ‘special regard’ to be given to the desirability of preserving a listed building or its setting</w:t>
      </w:r>
    </w:p>
    <w:p w14:paraId="3E616C2B" w14:textId="77777777" w:rsidR="00666BB7" w:rsidRDefault="00666BB7" w:rsidP="009C1702">
      <w:pPr>
        <w:spacing w:after="0" w:line="276" w:lineRule="auto"/>
        <w:jc w:val="both"/>
        <w:rPr>
          <w:rFonts w:ascii="Arial" w:eastAsia="Times New Roman" w:hAnsi="Arial" w:cs="Arial"/>
          <w:kern w:val="0"/>
          <w:sz w:val="22"/>
          <w:szCs w:val="22"/>
          <w:lang w:eastAsia="en-GB"/>
          <w14:ligatures w14:val="none"/>
        </w:rPr>
      </w:pPr>
    </w:p>
    <w:p w14:paraId="3F244EA4" w14:textId="3CC52630" w:rsidR="009368BA" w:rsidRDefault="009368BA" w:rsidP="009C1702">
      <w:pPr>
        <w:spacing w:after="0" w:line="276" w:lineRule="auto"/>
        <w:jc w:val="both"/>
        <w:rPr>
          <w:rFonts w:ascii="Arial" w:eastAsia="Times New Roman" w:hAnsi="Arial" w:cs="Arial"/>
          <w:kern w:val="0"/>
          <w:sz w:val="22"/>
          <w:szCs w:val="22"/>
          <w:lang w:eastAsia="en-GB"/>
          <w14:ligatures w14:val="none"/>
        </w:rPr>
      </w:pPr>
      <w:r w:rsidRPr="009368BA">
        <w:rPr>
          <w:rFonts w:ascii="Arial" w:eastAsia="Times New Roman" w:hAnsi="Arial" w:cs="Arial"/>
          <w:kern w:val="0"/>
          <w:sz w:val="22"/>
          <w:szCs w:val="22"/>
          <w:lang w:eastAsia="en-GB"/>
          <w14:ligatures w14:val="none"/>
        </w:rPr>
        <w:t>Section 72 of the Planning (Listed Buildings and Conservation Areas) Act 1990 states that in the exercise of any functions, with respect to any buildings or other land in a conservation area, under or by virtue of any of the provisions mentioned in this Section, special attention shall be paid to the desirability of preserving or enhancing the character or appearance of that area.</w:t>
      </w:r>
    </w:p>
    <w:p w14:paraId="16265223" w14:textId="77777777" w:rsidR="009368BA" w:rsidRDefault="009368BA" w:rsidP="009C1702">
      <w:pPr>
        <w:spacing w:after="0" w:line="276" w:lineRule="auto"/>
        <w:jc w:val="both"/>
        <w:rPr>
          <w:rFonts w:ascii="Arial" w:eastAsia="Times New Roman" w:hAnsi="Arial" w:cs="Arial"/>
          <w:kern w:val="0"/>
          <w:sz w:val="22"/>
          <w:szCs w:val="22"/>
          <w:lang w:eastAsia="en-GB"/>
          <w14:ligatures w14:val="none"/>
        </w:rPr>
      </w:pPr>
    </w:p>
    <w:p w14:paraId="0CDFDA19" w14:textId="7267D8DE" w:rsidR="00C07482" w:rsidRDefault="00C07482" w:rsidP="009C1702">
      <w:pPr>
        <w:spacing w:after="0" w:line="276" w:lineRule="auto"/>
        <w:jc w:val="both"/>
        <w:rPr>
          <w:rFonts w:ascii="Arial" w:eastAsia="Times New Roman" w:hAnsi="Arial" w:cs="Arial"/>
          <w:kern w:val="0"/>
          <w:sz w:val="22"/>
          <w:szCs w:val="22"/>
          <w:lang w:eastAsia="en-GB"/>
          <w14:ligatures w14:val="none"/>
        </w:rPr>
      </w:pPr>
      <w:r w:rsidRPr="00C07482">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710B0E4C" w14:textId="77777777" w:rsidR="008B578F" w:rsidRPr="00794EE9" w:rsidRDefault="008B578F" w:rsidP="009C1702">
      <w:pPr>
        <w:spacing w:after="0" w:line="276" w:lineRule="auto"/>
        <w:jc w:val="both"/>
        <w:rPr>
          <w:rFonts w:ascii="Arial" w:eastAsia="Times New Roman" w:hAnsi="Arial" w:cs="Arial"/>
          <w:kern w:val="0"/>
          <w:sz w:val="22"/>
          <w:szCs w:val="22"/>
          <w:lang w:eastAsia="en-GB"/>
          <w14:ligatures w14:val="none"/>
        </w:rPr>
      </w:pPr>
      <w:r w:rsidRPr="00794EE9">
        <w:rPr>
          <w:rFonts w:ascii="Arial" w:eastAsia="Times New Roman" w:hAnsi="Arial" w:cs="Arial"/>
          <w:kern w:val="0"/>
          <w:sz w:val="22"/>
          <w:szCs w:val="22"/>
          <w:lang w:eastAsia="en-GB"/>
          <w14:ligatures w14:val="none"/>
        </w:rPr>
        <w:t>Wiltshire Core Strategy:</w:t>
      </w:r>
    </w:p>
    <w:p w14:paraId="50305B9D" w14:textId="77777777" w:rsidR="008B578F" w:rsidRPr="00794EE9" w:rsidRDefault="008B578F" w:rsidP="009C1702">
      <w:pPr>
        <w:spacing w:after="0" w:line="276" w:lineRule="auto"/>
        <w:jc w:val="both"/>
        <w:rPr>
          <w:rFonts w:ascii="Arial" w:eastAsia="Times New Roman" w:hAnsi="Arial" w:cs="Arial"/>
          <w:kern w:val="0"/>
          <w:sz w:val="22"/>
          <w:szCs w:val="22"/>
          <w:lang w:eastAsia="en-GB"/>
          <w14:ligatures w14:val="none"/>
        </w:rPr>
      </w:pPr>
    </w:p>
    <w:p w14:paraId="6F2A0F3F" w14:textId="77777777" w:rsidR="00315AE0" w:rsidRPr="00794EE9"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94EE9">
        <w:rPr>
          <w:rFonts w:ascii="Arial" w:eastAsia="Times New Roman" w:hAnsi="Arial" w:cs="Arial"/>
          <w:kern w:val="0"/>
          <w:sz w:val="22"/>
          <w:szCs w:val="22"/>
          <w:lang w:eastAsia="en-GB"/>
          <w14:ligatures w14:val="none"/>
        </w:rPr>
        <w:t>Core Policy 50</w:t>
      </w:r>
      <w:r w:rsidR="006A735A" w:rsidRPr="00794EE9">
        <w:rPr>
          <w:rFonts w:ascii="Arial" w:eastAsia="Times New Roman" w:hAnsi="Arial" w:cs="Arial"/>
          <w:kern w:val="0"/>
          <w:sz w:val="22"/>
          <w:szCs w:val="22"/>
          <w:lang w:eastAsia="en-GB"/>
          <w14:ligatures w14:val="none"/>
        </w:rPr>
        <w:t>:</w:t>
      </w:r>
      <w:r w:rsidRPr="00794EE9">
        <w:rPr>
          <w:rFonts w:ascii="Arial" w:eastAsia="Times New Roman" w:hAnsi="Arial" w:cs="Arial"/>
          <w:kern w:val="0"/>
          <w:sz w:val="22"/>
          <w:szCs w:val="22"/>
          <w:lang w:eastAsia="en-GB"/>
          <w14:ligatures w14:val="none"/>
        </w:rPr>
        <w:t xml:space="preserve"> Biodiversity and Geodiversity </w:t>
      </w:r>
    </w:p>
    <w:p w14:paraId="3B97DAF3" w14:textId="77777777" w:rsidR="00315AE0" w:rsidRPr="00794EE9"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94EE9">
        <w:rPr>
          <w:rFonts w:ascii="Arial" w:eastAsia="Times New Roman" w:hAnsi="Arial" w:cs="Arial"/>
          <w:kern w:val="0"/>
          <w:sz w:val="22"/>
          <w:szCs w:val="22"/>
          <w:lang w:eastAsia="en-GB"/>
          <w14:ligatures w14:val="none"/>
        </w:rPr>
        <w:t>Core Policy 51</w:t>
      </w:r>
      <w:r w:rsidR="006A735A" w:rsidRPr="00794EE9">
        <w:rPr>
          <w:rFonts w:ascii="Arial" w:eastAsia="Times New Roman" w:hAnsi="Arial" w:cs="Arial"/>
          <w:kern w:val="0"/>
          <w:sz w:val="22"/>
          <w:szCs w:val="22"/>
          <w:lang w:eastAsia="en-GB"/>
          <w14:ligatures w14:val="none"/>
        </w:rPr>
        <w:t xml:space="preserve">: </w:t>
      </w:r>
      <w:r w:rsidRPr="00794EE9">
        <w:rPr>
          <w:rFonts w:ascii="Arial" w:eastAsia="Times New Roman" w:hAnsi="Arial" w:cs="Arial"/>
          <w:kern w:val="0"/>
          <w:sz w:val="22"/>
          <w:szCs w:val="22"/>
          <w:lang w:eastAsia="en-GB"/>
          <w14:ligatures w14:val="none"/>
        </w:rPr>
        <w:t xml:space="preserve">Landscape </w:t>
      </w:r>
    </w:p>
    <w:p w14:paraId="3A23C384" w14:textId="1918B53C" w:rsidR="00AF7CE2" w:rsidRPr="00794EE9" w:rsidRDefault="00AF7CE2" w:rsidP="00AF7CE2">
      <w:pPr>
        <w:pStyle w:val="ListParagraph"/>
        <w:numPr>
          <w:ilvl w:val="0"/>
          <w:numId w:val="6"/>
        </w:numPr>
        <w:rPr>
          <w:rFonts w:ascii="Arial" w:eastAsia="Times New Roman" w:hAnsi="Arial" w:cs="Arial"/>
          <w:kern w:val="0"/>
          <w:sz w:val="22"/>
          <w:szCs w:val="22"/>
          <w:lang w:eastAsia="en-GB"/>
          <w14:ligatures w14:val="none"/>
        </w:rPr>
      </w:pPr>
      <w:r w:rsidRPr="00794EE9">
        <w:rPr>
          <w:rFonts w:ascii="Arial" w:eastAsia="Times New Roman" w:hAnsi="Arial" w:cs="Arial"/>
          <w:kern w:val="0"/>
          <w:sz w:val="22"/>
          <w:szCs w:val="22"/>
          <w:lang w:eastAsia="en-GB"/>
          <w14:ligatures w14:val="none"/>
        </w:rPr>
        <w:t>Core Policy 57 Ensuring High Quality Design and Place Shaping</w:t>
      </w:r>
    </w:p>
    <w:p w14:paraId="4BB767E1" w14:textId="77777777" w:rsidR="00683C17" w:rsidRPr="00794EE9"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94EE9">
        <w:rPr>
          <w:rFonts w:ascii="Arial" w:eastAsia="Times New Roman" w:hAnsi="Arial" w:cs="Arial"/>
          <w:kern w:val="0"/>
          <w:sz w:val="22"/>
          <w:szCs w:val="22"/>
          <w:lang w:eastAsia="en-GB"/>
          <w14:ligatures w14:val="none"/>
        </w:rPr>
        <w:t>Core Policy 58</w:t>
      </w:r>
      <w:r w:rsidR="006A735A" w:rsidRPr="00794EE9">
        <w:rPr>
          <w:rFonts w:ascii="Arial" w:eastAsia="Times New Roman" w:hAnsi="Arial" w:cs="Arial"/>
          <w:kern w:val="0"/>
          <w:sz w:val="22"/>
          <w:szCs w:val="22"/>
          <w:lang w:eastAsia="en-GB"/>
          <w14:ligatures w14:val="none"/>
        </w:rPr>
        <w:t>:</w:t>
      </w:r>
      <w:r w:rsidR="00315AE0" w:rsidRPr="00794EE9">
        <w:rPr>
          <w:rFonts w:ascii="Arial" w:eastAsia="Times New Roman" w:hAnsi="Arial" w:cs="Arial"/>
          <w:kern w:val="0"/>
          <w:sz w:val="22"/>
          <w:szCs w:val="22"/>
          <w:lang w:eastAsia="en-GB"/>
          <w14:ligatures w14:val="none"/>
        </w:rPr>
        <w:t xml:space="preserve"> Ensuring the Conservation of the Historic Environment </w:t>
      </w:r>
    </w:p>
    <w:p w14:paraId="7901F714" w14:textId="77777777" w:rsidR="009E1642" w:rsidRPr="00794EE9" w:rsidRDefault="009E1642" w:rsidP="009C1702">
      <w:pPr>
        <w:spacing w:after="0" w:line="276" w:lineRule="auto"/>
        <w:jc w:val="both"/>
        <w:rPr>
          <w:rFonts w:ascii="Arial" w:eastAsia="Times New Roman" w:hAnsi="Arial" w:cs="Arial"/>
          <w:kern w:val="0"/>
          <w:sz w:val="22"/>
          <w:szCs w:val="22"/>
          <w:lang w:eastAsia="en-GB"/>
          <w14:ligatures w14:val="none"/>
        </w:rPr>
      </w:pPr>
    </w:p>
    <w:p w14:paraId="4E025CF1" w14:textId="77777777" w:rsidR="009368BA" w:rsidRPr="00794EE9" w:rsidRDefault="009368BA" w:rsidP="009368BA">
      <w:pPr>
        <w:spacing w:after="0" w:line="276" w:lineRule="auto"/>
        <w:jc w:val="both"/>
        <w:rPr>
          <w:rFonts w:ascii="Arial" w:eastAsia="Times New Roman" w:hAnsi="Arial" w:cs="Arial"/>
          <w:kern w:val="0"/>
          <w:sz w:val="22"/>
          <w:szCs w:val="22"/>
          <w:lang w:eastAsia="en-GB"/>
          <w14:ligatures w14:val="none"/>
        </w:rPr>
      </w:pPr>
      <w:r w:rsidRPr="00794EE9">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BB466E9" w14:textId="77777777" w:rsidR="009368BA" w:rsidRPr="00794EE9" w:rsidRDefault="009368BA" w:rsidP="009368BA">
      <w:pPr>
        <w:spacing w:after="0" w:line="276" w:lineRule="auto"/>
        <w:jc w:val="both"/>
        <w:rPr>
          <w:rFonts w:ascii="Arial" w:eastAsia="Times New Roman" w:hAnsi="Arial" w:cs="Arial"/>
          <w:kern w:val="0"/>
          <w:sz w:val="22"/>
          <w:szCs w:val="22"/>
          <w:lang w:eastAsia="en-GB"/>
          <w14:ligatures w14:val="none"/>
        </w:rPr>
      </w:pPr>
    </w:p>
    <w:p w14:paraId="767C67D3" w14:textId="62DCDEEB" w:rsidR="009368BA" w:rsidRPr="00794EE9" w:rsidRDefault="009368BA" w:rsidP="009368BA">
      <w:pPr>
        <w:spacing w:after="0" w:line="276" w:lineRule="auto"/>
        <w:jc w:val="both"/>
        <w:rPr>
          <w:rFonts w:ascii="Arial" w:eastAsia="Times New Roman" w:hAnsi="Arial" w:cs="Arial"/>
          <w:kern w:val="0"/>
          <w:sz w:val="22"/>
          <w:szCs w:val="22"/>
          <w:lang w:eastAsia="en-GB"/>
          <w14:ligatures w14:val="none"/>
        </w:rPr>
      </w:pPr>
      <w:r w:rsidRPr="00794EE9">
        <w:rPr>
          <w:rFonts w:ascii="Arial" w:eastAsia="Times New Roman" w:hAnsi="Arial" w:cs="Arial"/>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EA3B584" w14:textId="77777777" w:rsidR="009368BA" w:rsidRPr="00794EE9" w:rsidRDefault="009368BA" w:rsidP="009C1702">
      <w:pPr>
        <w:spacing w:after="0" w:line="276" w:lineRule="auto"/>
        <w:jc w:val="both"/>
        <w:rPr>
          <w:rFonts w:ascii="Arial" w:eastAsia="Times New Roman" w:hAnsi="Arial" w:cs="Arial"/>
          <w:kern w:val="0"/>
          <w:sz w:val="22"/>
          <w:szCs w:val="22"/>
          <w:lang w:eastAsia="en-GB"/>
          <w14:ligatures w14:val="none"/>
        </w:rPr>
      </w:pPr>
    </w:p>
    <w:p w14:paraId="0CE833C7" w14:textId="1DA7EFB5" w:rsidR="00134D23" w:rsidRPr="00794EE9" w:rsidRDefault="00C07482" w:rsidP="009C1702">
      <w:pPr>
        <w:spacing w:after="0" w:line="276" w:lineRule="auto"/>
        <w:jc w:val="both"/>
        <w:rPr>
          <w:rFonts w:ascii="Arial" w:eastAsia="Times New Roman" w:hAnsi="Arial" w:cs="Arial"/>
          <w:kern w:val="0"/>
          <w:sz w:val="22"/>
          <w:szCs w:val="22"/>
          <w:lang w:eastAsia="en-GB"/>
          <w14:ligatures w14:val="none"/>
        </w:rPr>
      </w:pPr>
      <w:r w:rsidRPr="00794EE9">
        <w:rPr>
          <w:rFonts w:ascii="Arial" w:eastAsia="Times New Roman" w:hAnsi="Arial" w:cs="Arial"/>
          <w:kern w:val="0"/>
          <w:sz w:val="22"/>
          <w:szCs w:val="22"/>
          <w:lang w:eastAsia="en-GB"/>
          <w14:ligatures w14:val="none"/>
        </w:rPr>
        <w:t>Marlborough Neighbourhood Plan 2023</w:t>
      </w:r>
    </w:p>
    <w:p w14:paraId="672389CC"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96A3691"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549D402"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C571656"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400B144"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6C6A841" w14:textId="77777777" w:rsidR="00161AB5" w:rsidRPr="00AB65A8" w:rsidRDefault="00161AB5" w:rsidP="00161AB5">
      <w:pPr>
        <w:spacing w:after="0" w:line="276" w:lineRule="auto"/>
        <w:jc w:val="both"/>
        <w:rPr>
          <w:rFonts w:ascii="Arial" w:eastAsia="Times New Roman" w:hAnsi="Arial" w:cs="Arial"/>
          <w:i/>
          <w:iCs/>
          <w:kern w:val="0"/>
          <w:sz w:val="22"/>
          <w:szCs w:val="22"/>
          <w:lang w:eastAsia="en-GB"/>
          <w14:ligatures w14:val="none"/>
        </w:rPr>
      </w:pPr>
      <w:r w:rsidRPr="00AB65A8">
        <w:rPr>
          <w:rFonts w:ascii="Arial" w:eastAsia="Times New Roman" w:hAnsi="Arial" w:cs="Arial"/>
          <w:kern w:val="0"/>
          <w:sz w:val="22"/>
          <w:szCs w:val="22"/>
          <w:u w:val="single"/>
          <w:lang w:eastAsia="en-GB"/>
          <w14:ligatures w14:val="none"/>
        </w:rPr>
        <w:t>Marlborough Town Council</w:t>
      </w:r>
      <w:r w:rsidRPr="00AB65A8">
        <w:rPr>
          <w:rFonts w:ascii="Arial" w:eastAsia="Times New Roman" w:hAnsi="Arial" w:cs="Arial"/>
          <w:i/>
          <w:iCs/>
          <w:kern w:val="0"/>
          <w:sz w:val="22"/>
          <w:szCs w:val="22"/>
          <w:lang w:eastAsia="en-GB"/>
          <w14:ligatures w14:val="none"/>
        </w:rPr>
        <w:t xml:space="preserve"> – No objection subject that the Council’s Conservation Officer is satisfied.</w:t>
      </w:r>
    </w:p>
    <w:p w14:paraId="2E319DCE" w14:textId="77777777" w:rsidR="00161AB5" w:rsidRPr="00AB65A8" w:rsidRDefault="00161AB5" w:rsidP="00161AB5">
      <w:pPr>
        <w:spacing w:after="0" w:line="276" w:lineRule="auto"/>
        <w:jc w:val="both"/>
        <w:rPr>
          <w:rFonts w:ascii="Arial" w:eastAsia="Times New Roman" w:hAnsi="Arial" w:cs="Arial"/>
          <w:i/>
          <w:iCs/>
          <w:kern w:val="0"/>
          <w:sz w:val="22"/>
          <w:szCs w:val="22"/>
          <w:lang w:eastAsia="en-GB"/>
          <w14:ligatures w14:val="none"/>
        </w:rPr>
      </w:pPr>
    </w:p>
    <w:p w14:paraId="71044880" w14:textId="16F32149" w:rsidR="005B0FD5" w:rsidRPr="00161AB5" w:rsidRDefault="00161AB5" w:rsidP="009C1702">
      <w:pPr>
        <w:spacing w:after="0" w:line="276" w:lineRule="auto"/>
        <w:jc w:val="both"/>
        <w:rPr>
          <w:rFonts w:ascii="Arial" w:eastAsia="Times New Roman" w:hAnsi="Arial" w:cs="Arial"/>
          <w:i/>
          <w:iCs/>
          <w:kern w:val="0"/>
          <w:sz w:val="22"/>
          <w:szCs w:val="22"/>
          <w:lang w:eastAsia="en-GB"/>
          <w14:ligatures w14:val="none"/>
        </w:rPr>
      </w:pPr>
      <w:r w:rsidRPr="00AB65A8">
        <w:rPr>
          <w:rFonts w:ascii="Arial" w:eastAsia="Times New Roman" w:hAnsi="Arial" w:cs="Arial"/>
          <w:kern w:val="0"/>
          <w:sz w:val="22"/>
          <w:szCs w:val="22"/>
          <w:u w:val="single"/>
          <w:lang w:eastAsia="en-GB"/>
          <w14:ligatures w14:val="none"/>
        </w:rPr>
        <w:t xml:space="preserve">Wiltshire Council Conservation Officer </w:t>
      </w:r>
      <w:r w:rsidRPr="00AB65A8">
        <w:rPr>
          <w:rFonts w:ascii="Arial" w:eastAsia="Times New Roman" w:hAnsi="Arial" w:cs="Arial"/>
          <w:kern w:val="0"/>
          <w:sz w:val="22"/>
          <w:szCs w:val="22"/>
          <w:lang w:eastAsia="en-GB"/>
          <w14:ligatures w14:val="none"/>
        </w:rPr>
        <w:t>–</w:t>
      </w:r>
      <w:r w:rsidRPr="00AB65A8">
        <w:rPr>
          <w:rFonts w:ascii="Arial" w:eastAsia="Times New Roman" w:hAnsi="Arial" w:cs="Arial"/>
          <w:i/>
          <w:iCs/>
          <w:kern w:val="0"/>
          <w:sz w:val="22"/>
          <w:szCs w:val="22"/>
          <w:lang w:eastAsia="en-GB"/>
          <w14:ligatures w14:val="none"/>
        </w:rPr>
        <w:t xml:space="preserve"> following receipt of window survey, no objection subject to conditions.</w:t>
      </w:r>
    </w:p>
    <w:p w14:paraId="4C5E56B4"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A310923"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638641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C63F701"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383AD5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D9D175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E95F80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A598CB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879518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13A8A3B"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DD5C48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CE0AF9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96433E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427A30B"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0FA6C872"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0C64830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7034D35"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4B59D6F" w14:textId="2B9149A4" w:rsidR="008C3D5B" w:rsidRPr="00221B91" w:rsidRDefault="00221B91" w:rsidP="008F0D3D">
      <w:pPr>
        <w:spacing w:after="0" w:line="276" w:lineRule="auto"/>
        <w:jc w:val="both"/>
        <w:rPr>
          <w:rFonts w:ascii="Arial" w:eastAsia="Times New Roman" w:hAnsi="Arial" w:cs="Arial"/>
          <w:kern w:val="0"/>
          <w:sz w:val="22"/>
          <w:szCs w:val="22"/>
          <w:lang w:eastAsia="en-GB"/>
          <w14:ligatures w14:val="none"/>
        </w:rPr>
      </w:pPr>
      <w:r w:rsidRPr="00221B91">
        <w:rPr>
          <w:rFonts w:ascii="Arial" w:eastAsia="Times New Roman" w:hAnsi="Arial" w:cs="Arial"/>
          <w:kern w:val="0"/>
          <w:sz w:val="22"/>
          <w:szCs w:val="22"/>
          <w:lang w:eastAsia="en-GB"/>
          <w14:ligatures w14:val="none"/>
        </w:rPr>
        <w:t>The proposal would be a like for like replacement of the existing windows and therefore no harm would be caused to the host building or the character of the area.</w:t>
      </w:r>
    </w:p>
    <w:p w14:paraId="6665611F" w14:textId="77777777" w:rsidR="008F0D3D" w:rsidRDefault="008F0D3D" w:rsidP="00A050F1">
      <w:pPr>
        <w:spacing w:after="0" w:line="276" w:lineRule="auto"/>
        <w:jc w:val="both"/>
        <w:rPr>
          <w:rFonts w:ascii="Arial" w:hAnsi="Arial" w:cs="Arial"/>
          <w:color w:val="000000" w:themeColor="text1"/>
          <w:sz w:val="22"/>
          <w:szCs w:val="22"/>
        </w:rPr>
      </w:pPr>
    </w:p>
    <w:p w14:paraId="5A4BCC22"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28E32771" w14:textId="77777777" w:rsidR="00A050F1" w:rsidRDefault="00A050F1" w:rsidP="00A050F1">
      <w:pPr>
        <w:spacing w:after="0" w:line="276" w:lineRule="auto"/>
        <w:jc w:val="both"/>
        <w:rPr>
          <w:rFonts w:ascii="Arial" w:hAnsi="Arial" w:cs="Arial"/>
          <w:b/>
          <w:bCs/>
          <w:i/>
          <w:iCs/>
          <w:color w:val="FF0000"/>
          <w:sz w:val="22"/>
          <w:szCs w:val="22"/>
        </w:rPr>
      </w:pPr>
    </w:p>
    <w:p w14:paraId="2D6CF3E4"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7D5438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B8B5EE3"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CC41F0F" w14:textId="77777777" w:rsidR="00393433" w:rsidRDefault="00393433" w:rsidP="00A050F1">
      <w:pPr>
        <w:spacing w:after="0" w:line="276" w:lineRule="auto"/>
        <w:jc w:val="both"/>
        <w:rPr>
          <w:rFonts w:ascii="Arial" w:hAnsi="Arial" w:cs="Arial"/>
          <w:color w:val="000000" w:themeColor="text1"/>
          <w:sz w:val="22"/>
          <w:szCs w:val="22"/>
        </w:rPr>
      </w:pPr>
    </w:p>
    <w:p w14:paraId="5AE827D6"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74D2F16" w14:textId="77777777" w:rsidR="00400FB2" w:rsidRDefault="00400FB2" w:rsidP="00A050F1">
      <w:pPr>
        <w:spacing w:after="0" w:line="276" w:lineRule="auto"/>
        <w:jc w:val="both"/>
        <w:rPr>
          <w:rFonts w:ascii="Arial" w:hAnsi="Arial" w:cs="Arial"/>
          <w:color w:val="000000" w:themeColor="text1"/>
          <w:sz w:val="22"/>
          <w:szCs w:val="22"/>
        </w:rPr>
      </w:pPr>
    </w:p>
    <w:p w14:paraId="098E99CF" w14:textId="77777777" w:rsidR="00066F07" w:rsidRPr="00066F07" w:rsidRDefault="00066F07" w:rsidP="00066F07">
      <w:pPr>
        <w:spacing w:after="0" w:line="276" w:lineRule="auto"/>
        <w:jc w:val="both"/>
        <w:rPr>
          <w:rFonts w:ascii="Arial" w:hAnsi="Arial" w:cs="Arial"/>
          <w:color w:val="000000" w:themeColor="text1"/>
          <w:sz w:val="22"/>
          <w:szCs w:val="22"/>
        </w:rPr>
      </w:pPr>
      <w:r w:rsidRPr="00066F07">
        <w:rPr>
          <w:rFonts w:ascii="Arial" w:hAnsi="Arial" w:cs="Arial"/>
          <w:color w:val="000000" w:themeColor="text1"/>
          <w:sz w:val="22"/>
          <w:szCs w:val="22"/>
        </w:rPr>
        <w:t>Given that the proposal involves like</w:t>
      </w:r>
      <w:r w:rsidRPr="00066F07">
        <w:rPr>
          <w:rFonts w:ascii="Arial" w:hAnsi="Arial" w:cs="Arial"/>
          <w:color w:val="000000" w:themeColor="text1"/>
          <w:sz w:val="22"/>
          <w:szCs w:val="22"/>
        </w:rPr>
        <w:noBreakHyphen/>
        <w:t>for</w:t>
      </w:r>
      <w:r w:rsidRPr="00066F07">
        <w:rPr>
          <w:rFonts w:ascii="Arial" w:hAnsi="Arial" w:cs="Arial"/>
          <w:color w:val="000000" w:themeColor="text1"/>
          <w:sz w:val="22"/>
          <w:szCs w:val="22"/>
        </w:rPr>
        <w:noBreakHyphen/>
        <w:t>like replacement of existing window openings, it would not give rise to any material effects on neighbouring amenity.</w:t>
      </w:r>
    </w:p>
    <w:p w14:paraId="29238B1C" w14:textId="77777777" w:rsidR="00DB13C3" w:rsidRDefault="00DB13C3" w:rsidP="00DB13C3">
      <w:pPr>
        <w:spacing w:after="0" w:line="276" w:lineRule="auto"/>
        <w:jc w:val="both"/>
        <w:rPr>
          <w:rFonts w:ascii="Arial" w:hAnsi="Arial" w:cs="Arial"/>
          <w:i/>
          <w:iCs/>
          <w:color w:val="000000" w:themeColor="text1"/>
          <w:sz w:val="22"/>
          <w:szCs w:val="22"/>
        </w:rPr>
      </w:pPr>
    </w:p>
    <w:p w14:paraId="02644286" w14:textId="7BEAFED9" w:rsidR="00DB13C3" w:rsidRPr="009368BA" w:rsidRDefault="009368BA" w:rsidP="00DB13C3">
      <w:pPr>
        <w:spacing w:after="0" w:line="276" w:lineRule="auto"/>
        <w:jc w:val="both"/>
        <w:rPr>
          <w:rFonts w:ascii="Arial" w:hAnsi="Arial" w:cs="Arial"/>
          <w:color w:val="000000" w:themeColor="text1"/>
          <w:sz w:val="22"/>
          <w:szCs w:val="22"/>
        </w:rPr>
      </w:pPr>
      <w:r w:rsidRPr="009368BA">
        <w:rPr>
          <w:rFonts w:ascii="Arial" w:hAnsi="Arial" w:cs="Arial"/>
          <w:color w:val="000000" w:themeColor="text1"/>
          <w:sz w:val="22"/>
          <w:szCs w:val="22"/>
        </w:rPr>
        <w:t>The proposal would have no amenity issues as the proposal is for like for like replacement of existing windows.</w:t>
      </w:r>
    </w:p>
    <w:p w14:paraId="4E6EDB1B" w14:textId="77777777" w:rsidR="009368BA" w:rsidRPr="00A050F1" w:rsidRDefault="009368BA" w:rsidP="00DB13C3">
      <w:pPr>
        <w:spacing w:after="0" w:line="276" w:lineRule="auto"/>
        <w:jc w:val="both"/>
        <w:rPr>
          <w:rFonts w:ascii="Arial" w:hAnsi="Arial" w:cs="Arial"/>
          <w:color w:val="000000" w:themeColor="text1"/>
          <w:sz w:val="22"/>
          <w:szCs w:val="22"/>
        </w:rPr>
      </w:pPr>
    </w:p>
    <w:p w14:paraId="5B58AFDF"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45FE9C2"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562C651" w14:textId="1FC2E3C5"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2A54778"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9B3AAD9" w14:textId="4F5C3EF1" w:rsidR="006705B5" w:rsidRPr="00221B91" w:rsidRDefault="006705B5" w:rsidP="006705B5">
      <w:pPr>
        <w:spacing w:after="0" w:line="276" w:lineRule="auto"/>
        <w:jc w:val="both"/>
        <w:rPr>
          <w:rFonts w:ascii="Arial" w:eastAsia="Times New Roman" w:hAnsi="Arial" w:cs="Arial"/>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w:t>
      </w:r>
      <w:r w:rsidRPr="00221B91">
        <w:rPr>
          <w:rFonts w:ascii="Arial" w:eastAsia="Times New Roman" w:hAnsi="Arial" w:cs="Arial"/>
          <w:kern w:val="0"/>
          <w:sz w:val="22"/>
          <w:szCs w:val="22"/>
          <w:lang w:eastAsia="en-GB"/>
          <w14:ligatures w14:val="none"/>
        </w:rPr>
        <w:t>the character and appearance of the conservation area</w:t>
      </w:r>
      <w:r w:rsidR="00BB5ECE" w:rsidRPr="00221B91">
        <w:rPr>
          <w:rFonts w:ascii="Arial" w:eastAsia="Times New Roman" w:hAnsi="Arial" w:cs="Arial"/>
          <w:kern w:val="0"/>
          <w:sz w:val="22"/>
          <w:szCs w:val="22"/>
          <w:lang w:eastAsia="en-GB"/>
          <w14:ligatures w14:val="none"/>
        </w:rPr>
        <w:t xml:space="preserve"> and</w:t>
      </w:r>
      <w:r w:rsidR="00221B91" w:rsidRPr="00221B91">
        <w:rPr>
          <w:rFonts w:ascii="Arial" w:eastAsia="Times New Roman" w:hAnsi="Arial" w:cs="Arial"/>
          <w:kern w:val="0"/>
          <w:sz w:val="22"/>
          <w:szCs w:val="22"/>
          <w:lang w:eastAsia="en-GB"/>
          <w14:ligatures w14:val="none"/>
        </w:rPr>
        <w:t xml:space="preserve"> the</w:t>
      </w:r>
      <w:r w:rsidR="00BB5ECE" w:rsidRPr="00221B91">
        <w:rPr>
          <w:rFonts w:ascii="Arial" w:eastAsia="Times New Roman" w:hAnsi="Arial" w:cs="Arial"/>
          <w:kern w:val="0"/>
          <w:sz w:val="22"/>
          <w:szCs w:val="22"/>
          <w:lang w:eastAsia="en-GB"/>
          <w14:ligatures w14:val="none"/>
        </w:rPr>
        <w:t xml:space="preserve"> </w:t>
      </w:r>
      <w:r w:rsidR="00F272A5" w:rsidRPr="00221B91">
        <w:rPr>
          <w:rFonts w:ascii="Arial" w:eastAsia="Times New Roman" w:hAnsi="Arial" w:cs="Arial"/>
          <w:kern w:val="0"/>
          <w:sz w:val="22"/>
          <w:szCs w:val="22"/>
          <w:lang w:eastAsia="en-GB"/>
          <w14:ligatures w14:val="none"/>
        </w:rPr>
        <w:t xml:space="preserve">setting of the </w:t>
      </w:r>
      <w:r w:rsidRPr="00221B91">
        <w:rPr>
          <w:rFonts w:ascii="Arial" w:eastAsia="Times New Roman" w:hAnsi="Arial" w:cs="Arial"/>
          <w:kern w:val="0"/>
          <w:sz w:val="22"/>
          <w:szCs w:val="22"/>
          <w:lang w:eastAsia="en-GB"/>
          <w14:ligatures w14:val="none"/>
        </w:rPr>
        <w:t>listed building</w:t>
      </w:r>
      <w:r w:rsidR="00221B91" w:rsidRPr="00221B91">
        <w:rPr>
          <w:rFonts w:ascii="Arial" w:eastAsia="Times New Roman" w:hAnsi="Arial" w:cs="Arial"/>
          <w:kern w:val="0"/>
          <w:sz w:val="22"/>
          <w:szCs w:val="22"/>
          <w:lang w:eastAsia="en-GB"/>
          <w14:ligatures w14:val="none"/>
        </w:rPr>
        <w:t>.</w:t>
      </w:r>
      <w:r w:rsidRPr="00221B91">
        <w:rPr>
          <w:rFonts w:ascii="Arial" w:eastAsia="Times New Roman" w:hAnsi="Arial" w:cs="Arial"/>
          <w:kern w:val="0"/>
          <w:sz w:val="22"/>
          <w:szCs w:val="22"/>
          <w:lang w:eastAsia="en-GB"/>
          <w14:ligatures w14:val="none"/>
        </w:rPr>
        <w:t xml:space="preserve"> </w:t>
      </w:r>
      <w:r w:rsidR="00066F07">
        <w:rPr>
          <w:rFonts w:ascii="Arial" w:eastAsia="Times New Roman" w:hAnsi="Arial" w:cs="Arial"/>
          <w:kern w:val="0"/>
          <w:sz w:val="22"/>
          <w:szCs w:val="22"/>
          <w:lang w:eastAsia="en-GB"/>
          <w14:ligatures w14:val="none"/>
        </w:rPr>
        <w:t xml:space="preserve"> </w:t>
      </w:r>
      <w:r w:rsidR="00066F07" w:rsidRPr="00066F07">
        <w:rPr>
          <w:rFonts w:ascii="Arial" w:eastAsia="Times New Roman" w:hAnsi="Arial" w:cs="Arial"/>
          <w:kern w:val="0"/>
          <w:sz w:val="22"/>
          <w:szCs w:val="22"/>
          <w:lang w:eastAsia="en-GB"/>
          <w14:ligatures w14:val="none"/>
        </w:rPr>
        <w:t>It would not result in harm to the significance of the listed building or the character and appearance of the conservation area, as the replacement windows replicate the existing timber sash form, proportions, glazing bar detailing and materials, thereby preserving the building’s historic fabric and appearance.</w:t>
      </w:r>
      <w:r w:rsidR="00066F07">
        <w:rPr>
          <w:rFonts w:ascii="Arial" w:eastAsia="Times New Roman" w:hAnsi="Arial" w:cs="Arial"/>
          <w:kern w:val="0"/>
          <w:sz w:val="22"/>
          <w:szCs w:val="22"/>
          <w:lang w:eastAsia="en-GB"/>
          <w14:ligatures w14:val="none"/>
        </w:rPr>
        <w:t xml:space="preserve"> N</w:t>
      </w:r>
      <w:r w:rsidRPr="00221B91">
        <w:rPr>
          <w:rFonts w:ascii="Arial" w:eastAsia="Times New Roman" w:hAnsi="Arial" w:cs="Arial"/>
          <w:kern w:val="0"/>
          <w:sz w:val="22"/>
          <w:szCs w:val="22"/>
          <w:lang w:eastAsia="en-GB"/>
          <w14:ligatures w14:val="none"/>
        </w:rPr>
        <w:t>o objections have been raised by the Conservation Officer.</w:t>
      </w:r>
    </w:p>
    <w:p w14:paraId="6CAE2204" w14:textId="77777777" w:rsidR="00F272A5" w:rsidRPr="00221B91" w:rsidRDefault="00F272A5" w:rsidP="006705B5">
      <w:pPr>
        <w:spacing w:after="0" w:line="276" w:lineRule="auto"/>
        <w:jc w:val="both"/>
        <w:rPr>
          <w:rFonts w:ascii="Arial" w:eastAsia="Times New Roman" w:hAnsi="Arial" w:cs="Arial"/>
          <w:kern w:val="0"/>
          <w:sz w:val="22"/>
          <w:szCs w:val="22"/>
          <w:lang w:eastAsia="en-GB"/>
          <w14:ligatures w14:val="none"/>
        </w:rPr>
      </w:pPr>
    </w:p>
    <w:p w14:paraId="6F5BF5D3" w14:textId="77777777" w:rsidR="006705B5" w:rsidRPr="00221B91" w:rsidRDefault="006705B5" w:rsidP="006705B5">
      <w:pPr>
        <w:spacing w:after="0" w:line="276" w:lineRule="auto"/>
        <w:jc w:val="both"/>
        <w:rPr>
          <w:rFonts w:ascii="Arial" w:eastAsia="Times New Roman" w:hAnsi="Arial" w:cs="Arial"/>
          <w:kern w:val="0"/>
          <w:sz w:val="22"/>
          <w:szCs w:val="22"/>
          <w:lang w:eastAsia="en-GB"/>
          <w14:ligatures w14:val="none"/>
        </w:rPr>
      </w:pPr>
      <w:r w:rsidRPr="00221B91">
        <w:rPr>
          <w:rFonts w:ascii="Arial" w:eastAsia="Times New Roman" w:hAnsi="Arial" w:cs="Arial"/>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35F2A1F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A584A9F" w14:textId="307D3E99"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0DF42206" w14:textId="77777777" w:rsidR="009368BA" w:rsidRPr="00F40F2D" w:rsidRDefault="009368BA"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8338B7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0C7ABFB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C1A3ECD"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49409EB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05B0A25" w14:textId="77777777" w:rsidR="00066F07" w:rsidRPr="00066F07" w:rsidRDefault="00066F07" w:rsidP="00066F07">
      <w:pPr>
        <w:spacing w:after="0" w:line="276" w:lineRule="auto"/>
        <w:jc w:val="both"/>
        <w:rPr>
          <w:rFonts w:ascii="Arial" w:eastAsia="Times New Roman" w:hAnsi="Arial" w:cs="Arial"/>
          <w:kern w:val="0"/>
          <w:sz w:val="22"/>
          <w:szCs w:val="22"/>
          <w:lang w:eastAsia="en-GB"/>
          <w14:ligatures w14:val="none"/>
        </w:rPr>
      </w:pPr>
      <w:r w:rsidRPr="00066F07">
        <w:rPr>
          <w:rFonts w:ascii="Arial" w:eastAsia="Times New Roman" w:hAnsi="Arial" w:cs="Arial"/>
          <w:kern w:val="0"/>
          <w:sz w:val="22"/>
          <w:szCs w:val="22"/>
          <w:lang w:eastAsia="en-GB"/>
          <w14:ligatures w14:val="none"/>
        </w:rPr>
        <w:t>Given the minor and like</w:t>
      </w:r>
      <w:r w:rsidRPr="00066F07">
        <w:rPr>
          <w:rFonts w:ascii="Arial" w:eastAsia="Times New Roman" w:hAnsi="Arial" w:cs="Arial"/>
          <w:kern w:val="0"/>
          <w:sz w:val="22"/>
          <w:szCs w:val="22"/>
          <w:lang w:eastAsia="en-GB"/>
          <w14:ligatures w14:val="none"/>
        </w:rPr>
        <w:noBreakHyphen/>
        <w:t>for</w:t>
      </w:r>
      <w:r w:rsidRPr="00066F07">
        <w:rPr>
          <w:rFonts w:ascii="Arial" w:eastAsia="Times New Roman" w:hAnsi="Arial" w:cs="Arial"/>
          <w:kern w:val="0"/>
          <w:sz w:val="22"/>
          <w:szCs w:val="22"/>
          <w:lang w:eastAsia="en-GB"/>
          <w14:ligatures w14:val="none"/>
        </w:rPr>
        <w:noBreakHyphen/>
        <w:t>like nature of the works, the proposal would have no perceptible effect on the special qualities or scenic character of the North Wessex Downs National Landscape.</w:t>
      </w:r>
    </w:p>
    <w:p w14:paraId="161D5445"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E36A56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1173F4BA"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D7D8C0D"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472D2D3"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40EA51F"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330F734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2C628E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71C3C60"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144FE86"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5EE537B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A983E6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D9FC399"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9149303" w14:textId="2F72791C" w:rsidR="00F9178A" w:rsidRPr="009368BA"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9368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6F07"/>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27367"/>
    <w:rsid w:val="00134D23"/>
    <w:rsid w:val="00141929"/>
    <w:rsid w:val="0014198B"/>
    <w:rsid w:val="00152901"/>
    <w:rsid w:val="0016162B"/>
    <w:rsid w:val="00161AB5"/>
    <w:rsid w:val="00162405"/>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B91"/>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358B"/>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2E13"/>
    <w:rsid w:val="004D3857"/>
    <w:rsid w:val="004D3BA9"/>
    <w:rsid w:val="004E5D68"/>
    <w:rsid w:val="004E7970"/>
    <w:rsid w:val="004F635C"/>
    <w:rsid w:val="004F65E7"/>
    <w:rsid w:val="00515980"/>
    <w:rsid w:val="0051645C"/>
    <w:rsid w:val="0052069C"/>
    <w:rsid w:val="00520E30"/>
    <w:rsid w:val="0054068B"/>
    <w:rsid w:val="00540D13"/>
    <w:rsid w:val="00550749"/>
    <w:rsid w:val="00561492"/>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1DD"/>
    <w:rsid w:val="006164A3"/>
    <w:rsid w:val="00616DC2"/>
    <w:rsid w:val="0062234B"/>
    <w:rsid w:val="006242FB"/>
    <w:rsid w:val="00624F0C"/>
    <w:rsid w:val="00631B2E"/>
    <w:rsid w:val="0063206F"/>
    <w:rsid w:val="006407C9"/>
    <w:rsid w:val="00640FEC"/>
    <w:rsid w:val="00643C57"/>
    <w:rsid w:val="00647E0D"/>
    <w:rsid w:val="00653CA6"/>
    <w:rsid w:val="00662C0A"/>
    <w:rsid w:val="00663D3A"/>
    <w:rsid w:val="00664B60"/>
    <w:rsid w:val="006656F8"/>
    <w:rsid w:val="00666BB7"/>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1BA5"/>
    <w:rsid w:val="00714FE5"/>
    <w:rsid w:val="00715057"/>
    <w:rsid w:val="007235F5"/>
    <w:rsid w:val="00742C35"/>
    <w:rsid w:val="00744E80"/>
    <w:rsid w:val="00750FD1"/>
    <w:rsid w:val="00755B0D"/>
    <w:rsid w:val="007638C3"/>
    <w:rsid w:val="00771C95"/>
    <w:rsid w:val="00790038"/>
    <w:rsid w:val="00793652"/>
    <w:rsid w:val="00794EE9"/>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1B5B"/>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368BA"/>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E7AE8"/>
    <w:rsid w:val="00AF193A"/>
    <w:rsid w:val="00AF2650"/>
    <w:rsid w:val="00AF2AF9"/>
    <w:rsid w:val="00AF7CE2"/>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07482"/>
    <w:rsid w:val="00C1522E"/>
    <w:rsid w:val="00C21B1F"/>
    <w:rsid w:val="00C21C1B"/>
    <w:rsid w:val="00C224C6"/>
    <w:rsid w:val="00C261CE"/>
    <w:rsid w:val="00C27C39"/>
    <w:rsid w:val="00C318BF"/>
    <w:rsid w:val="00C326D3"/>
    <w:rsid w:val="00C37EDD"/>
    <w:rsid w:val="00C40230"/>
    <w:rsid w:val="00C43BC6"/>
    <w:rsid w:val="00C44C6D"/>
    <w:rsid w:val="00C45665"/>
    <w:rsid w:val="00C508EE"/>
    <w:rsid w:val="00C575A0"/>
    <w:rsid w:val="00C66E1F"/>
    <w:rsid w:val="00C71960"/>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0A27"/>
    <w:rsid w:val="00DE442D"/>
    <w:rsid w:val="00DF2FE5"/>
    <w:rsid w:val="00E0076E"/>
    <w:rsid w:val="00E0301C"/>
    <w:rsid w:val="00E10F53"/>
    <w:rsid w:val="00E12366"/>
    <w:rsid w:val="00E162CA"/>
    <w:rsid w:val="00E16B1D"/>
    <w:rsid w:val="00E37C6D"/>
    <w:rsid w:val="00E46EA6"/>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D421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1505</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salesforceId:8e0433a2-13de-49a3-8b6a-5ee092359191</dc:subject>
  <dc:creator>O'Donoghue, Ruaridh</dc:creator>
  <cp:keywords/>
  <dc:description/>
  <cp:lastModifiedBy>Cox, David</cp:lastModifiedBy>
  <cp:revision>19</cp:revision>
  <dcterms:created xsi:type="dcterms:W3CDTF">2026-04-30T12:25:00Z</dcterms:created>
  <dcterms:modified xsi:type="dcterms:W3CDTF">2026-04-30T15:01:00Z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069Q300000OsZEIIA3</vt:lpwstr>
  </property>
</Properties>
</file>