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79E2C">
      <w:pPr>
        <w:jc w:val="both"/>
        <w:outlineLvl w:val="0"/>
        <w:rPr>
          <w:rFonts w:hint="default"/>
          <w:lang w:val="en-GB"/>
        </w:rPr>
      </w:pPr>
      <w:r>
        <w:rPr>
          <w:rFonts w:ascii="Verdana" w:hAnsi="Verdana"/>
          <w:b/>
          <w:lang w:eastAsia="en-GB"/>
        </w:rPr>
        <w:drawing>
          <wp:anchor distT="0" distB="0" distL="114300" distR="114300" simplePos="0" relativeHeight="251659264" behindDoc="0" locked="0" layoutInCell="1" allowOverlap="1">
            <wp:simplePos x="0" y="0"/>
            <wp:positionH relativeFrom="column">
              <wp:posOffset>3968750</wp:posOffset>
            </wp:positionH>
            <wp:positionV relativeFrom="paragraph">
              <wp:posOffset>-474345</wp:posOffset>
            </wp:positionV>
            <wp:extent cx="2276475" cy="2231390"/>
            <wp:effectExtent l="0" t="0" r="9525" b="8890"/>
            <wp:wrapNone/>
            <wp:docPr id="1" name="Picture 1" descr="C:\Users\Willis &amp; Co\Documents\My Documents\Clients\Templates &amp; Other\LetterHeadedPaper.jpg"/>
            <wp:cNvGraphicFramePr/>
            <a:graphic xmlns:a="http://schemas.openxmlformats.org/drawingml/2006/main">
              <a:graphicData uri="http://schemas.openxmlformats.org/drawingml/2006/picture">
                <pic:pic xmlns:pic="http://schemas.openxmlformats.org/drawingml/2006/picture">
                  <pic:nvPicPr>
                    <pic:cNvPr id="1" name="Picture 1" descr="C:\Users\Willis &amp; Co\Documents\My Documents\Clients\Templates &amp; Other\LetterHeadedPaper.jpg"/>
                    <pic:cNvPicPr/>
                  </pic:nvPicPr>
                  <pic:blipFill>
                    <a:blip r:embed="rId7" cstate="print">
                      <a:extLst>
                        <a:ext uri="{BEBA8EAE-BF5A-486C-A8C5-ECC9F3942E4B}">
                          <a14:imgProps xmlns:a14="http://schemas.microsoft.com/office/drawing/2010/main">
                            <a14:imgLayer r:embed="rId8">
                              <a14:imgEffect>
                                <a14:saturation sat="196000"/>
                              </a14:imgEffect>
                            </a14:imgLayer>
                          </a14:imgProps>
                        </a:ext>
                        <a:ext uri="{28A0092B-C50C-407E-A947-70E740481C1C}">
                          <a14:useLocalDpi xmlns:a14="http://schemas.microsoft.com/office/drawing/2010/main" val="0"/>
                        </a:ext>
                      </a:extLst>
                    </a:blip>
                    <a:srcRect l="65204" b="74702"/>
                    <a:stretch>
                      <a:fillRect/>
                    </a:stretch>
                  </pic:blipFill>
                  <pic:spPr>
                    <a:xfrm>
                      <a:off x="0" y="0"/>
                      <a:ext cx="2276348" cy="2231136"/>
                    </a:xfrm>
                    <a:prstGeom prst="rect">
                      <a:avLst/>
                    </a:prstGeom>
                    <a:noFill/>
                    <a:ln w="9525">
                      <a:noFill/>
                      <a:miter lim="800000"/>
                      <a:headEnd/>
                      <a:tailEnd/>
                    </a:ln>
                  </pic:spPr>
                </pic:pic>
              </a:graphicData>
            </a:graphic>
          </wp:anchor>
        </w:drawing>
      </w:r>
      <w:r>
        <w:rPr>
          <w:rFonts w:ascii="Verdana" w:hAnsi="Verdana"/>
          <w:b/>
        </w:rPr>
        <w:t>Our ref:</w:t>
      </w:r>
    </w:p>
    <w:p w14:paraId="3A0ECA23">
      <w:pPr>
        <w:pStyle w:val="6"/>
        <w:jc w:val="both"/>
        <w:rPr>
          <w:rFonts w:hint="default" w:ascii="Verdana" w:hAnsi="Verdana" w:cs="Verdana"/>
          <w:b w:val="0"/>
          <w:bCs w:val="0"/>
          <w:sz w:val="22"/>
          <w:szCs w:val="22"/>
          <w:vertAlign w:val="baseline"/>
          <w:lang w:val="en-GB"/>
        </w:rPr>
      </w:pPr>
    </w:p>
    <w:p w14:paraId="2084A2F3">
      <w:pPr>
        <w:pStyle w:val="6"/>
        <w:jc w:val="both"/>
        <w:rPr>
          <w:rFonts w:hint="default" w:ascii="Verdana" w:hAnsi="Verdana"/>
          <w:i w:val="0"/>
          <w:iCs w:val="0"/>
          <w:u w:val="none"/>
          <w:lang w:val="en-GB"/>
        </w:rPr>
      </w:pPr>
      <w:r>
        <w:rPr>
          <w:rFonts w:hint="default" w:ascii="Verdana" w:hAnsi="Verdana"/>
          <w:i w:val="0"/>
          <w:iCs w:val="0"/>
          <w:u w:val="none"/>
          <w:vertAlign w:val="baseline"/>
          <w:lang w:val="en-GB"/>
        </w:rPr>
        <w:t>29</w:t>
      </w:r>
      <w:r>
        <w:rPr>
          <w:rFonts w:hint="default" w:ascii="Verdana" w:hAnsi="Verdana"/>
          <w:i w:val="0"/>
          <w:iCs w:val="0"/>
          <w:u w:val="none"/>
          <w:vertAlign w:val="superscript"/>
          <w:lang w:val="en-GB"/>
        </w:rPr>
        <w:t>th</w:t>
      </w:r>
      <w:r>
        <w:rPr>
          <w:rFonts w:hint="default" w:ascii="Verdana" w:hAnsi="Verdana"/>
          <w:i w:val="0"/>
          <w:iCs w:val="0"/>
          <w:u w:val="none"/>
          <w:vertAlign w:val="baseline"/>
          <w:lang w:val="en-GB"/>
        </w:rPr>
        <w:t xml:space="preserve"> April</w:t>
      </w:r>
      <w:r>
        <w:rPr>
          <w:rFonts w:hint="default" w:ascii="Verdana" w:hAnsi="Verdana"/>
          <w:i w:val="0"/>
          <w:iCs w:val="0"/>
          <w:u w:val="none"/>
          <w:lang w:val="en-GB"/>
        </w:rPr>
        <w:t xml:space="preserve"> 2026</w:t>
      </w:r>
    </w:p>
    <w:p w14:paraId="29E3E51E">
      <w:pPr>
        <w:pStyle w:val="6"/>
        <w:jc w:val="both"/>
        <w:rPr>
          <w:rFonts w:hint="default" w:ascii="Verdana" w:hAnsi="Verdana"/>
          <w:lang w:val="en-GB"/>
        </w:rPr>
      </w:pPr>
    </w:p>
    <w:p w14:paraId="113F8932">
      <w:pPr>
        <w:pStyle w:val="6"/>
        <w:jc w:val="both"/>
        <w:rPr>
          <w:rFonts w:hint="default" w:ascii="Verdana" w:hAnsi="Verdana"/>
          <w:lang w:val="en-GB"/>
        </w:rPr>
      </w:pPr>
    </w:p>
    <w:p w14:paraId="5E3EAA2D">
      <w:pPr>
        <w:pStyle w:val="6"/>
        <w:jc w:val="both"/>
        <w:rPr>
          <w:rFonts w:hint="default" w:ascii="Verdana" w:hAnsi="Verdana"/>
          <w:lang w:val="en-GB"/>
        </w:rPr>
      </w:pPr>
      <w:r>
        <w:rPr>
          <w:rFonts w:hint="default" w:ascii="Verdana" w:hAnsi="Verdana"/>
          <w:lang w:val="en-GB"/>
        </w:rPr>
        <w:t>Planning Services</w:t>
      </w:r>
    </w:p>
    <w:p w14:paraId="24615AD3">
      <w:pPr>
        <w:pStyle w:val="6"/>
        <w:jc w:val="both"/>
        <w:rPr>
          <w:rFonts w:hint="default" w:ascii="Verdana" w:hAnsi="Verdana"/>
          <w:lang w:val="en-GB"/>
        </w:rPr>
      </w:pPr>
      <w:r>
        <w:rPr>
          <w:rFonts w:hint="default" w:ascii="Verdana" w:hAnsi="Verdana"/>
          <w:lang w:val="en-GB"/>
        </w:rPr>
        <w:t>Wiltshire Council</w:t>
      </w:r>
    </w:p>
    <w:p w14:paraId="7E716F45">
      <w:pPr>
        <w:pStyle w:val="6"/>
        <w:jc w:val="both"/>
        <w:rPr>
          <w:rFonts w:hint="default" w:ascii="Verdana" w:hAnsi="Verdana"/>
          <w:lang w:val="en-GB"/>
        </w:rPr>
      </w:pPr>
      <w:r>
        <w:rPr>
          <w:rFonts w:hint="default" w:ascii="Verdana" w:hAnsi="Verdana"/>
          <w:lang w:val="en-GB"/>
        </w:rPr>
        <w:t>Monkton Park</w:t>
      </w:r>
    </w:p>
    <w:p w14:paraId="544B9DE2">
      <w:pPr>
        <w:pStyle w:val="6"/>
        <w:jc w:val="both"/>
        <w:rPr>
          <w:rFonts w:hint="default" w:ascii="Verdana" w:hAnsi="Verdana"/>
          <w:lang w:val="en-GB"/>
        </w:rPr>
      </w:pPr>
      <w:r>
        <w:rPr>
          <w:rFonts w:hint="default" w:ascii="Verdana" w:hAnsi="Verdana"/>
          <w:lang w:val="en-GB"/>
        </w:rPr>
        <w:t>Monkton Hill</w:t>
      </w:r>
    </w:p>
    <w:p w14:paraId="6D9DC4EE">
      <w:pPr>
        <w:pStyle w:val="6"/>
        <w:jc w:val="both"/>
        <w:rPr>
          <w:rFonts w:hint="default" w:ascii="Verdana" w:hAnsi="Verdana"/>
          <w:lang w:val="en-GB"/>
        </w:rPr>
      </w:pPr>
      <w:r>
        <w:rPr>
          <w:rFonts w:hint="default" w:ascii="Verdana" w:hAnsi="Verdana"/>
          <w:lang w:val="en-GB"/>
        </w:rPr>
        <w:t>Chippenham</w:t>
      </w:r>
    </w:p>
    <w:p w14:paraId="64B281CF">
      <w:pPr>
        <w:pStyle w:val="6"/>
        <w:jc w:val="both"/>
        <w:rPr>
          <w:rFonts w:hint="default" w:ascii="Verdana" w:hAnsi="Verdana"/>
          <w:lang w:val="en-GB"/>
        </w:rPr>
      </w:pPr>
      <w:r>
        <w:rPr>
          <w:rFonts w:hint="default" w:ascii="Verdana" w:hAnsi="Verdana"/>
          <w:lang w:val="en-GB"/>
        </w:rPr>
        <w:t>Wiltshire</w:t>
      </w:r>
    </w:p>
    <w:p w14:paraId="36AE705F">
      <w:pPr>
        <w:pStyle w:val="6"/>
        <w:jc w:val="both"/>
        <w:rPr>
          <w:rFonts w:hint="default" w:ascii="Verdana" w:hAnsi="Verdana"/>
          <w:lang w:val="en-GB"/>
        </w:rPr>
      </w:pPr>
      <w:r>
        <w:rPr>
          <w:rFonts w:hint="default" w:ascii="Verdana" w:hAnsi="Verdana"/>
          <w:lang w:val="en-GB"/>
        </w:rPr>
        <w:t>SN15 1ER</w:t>
      </w:r>
    </w:p>
    <w:p w14:paraId="61FF0A52">
      <w:pPr>
        <w:pStyle w:val="6"/>
        <w:jc w:val="both"/>
        <w:rPr>
          <w:rFonts w:ascii="Verdana" w:hAnsi="Verdana"/>
        </w:rPr>
      </w:pPr>
    </w:p>
    <w:p w14:paraId="74115891">
      <w:pPr>
        <w:pStyle w:val="6"/>
        <w:jc w:val="both"/>
        <w:rPr>
          <w:rFonts w:ascii="Verdana" w:hAnsi="Verdana"/>
        </w:rPr>
      </w:pPr>
      <w:r>
        <w:rPr>
          <w:rFonts w:ascii="Verdana" w:hAnsi="Verdana"/>
        </w:rPr>
        <w:t>Dear Sir,</w:t>
      </w:r>
    </w:p>
    <w:p w14:paraId="6449EB6F">
      <w:pPr>
        <w:pStyle w:val="6"/>
        <w:jc w:val="both"/>
        <w:rPr>
          <w:rFonts w:ascii="Verdana" w:hAnsi="Verdana"/>
        </w:rPr>
      </w:pPr>
    </w:p>
    <w:p w14:paraId="642F4E1A">
      <w:pPr>
        <w:pStyle w:val="6"/>
        <w:jc w:val="both"/>
        <w:outlineLvl w:val="0"/>
        <w:rPr>
          <w:rFonts w:ascii="Verdana" w:hAnsi="Verdana"/>
          <w:b/>
        </w:rPr>
      </w:pPr>
      <w:r>
        <w:rPr>
          <w:rFonts w:ascii="Verdana" w:hAnsi="Verdana"/>
          <w:b/>
        </w:rPr>
        <w:t>Town and Country Planning Act 1990</w:t>
      </w:r>
    </w:p>
    <w:p w14:paraId="317E2B5F">
      <w:pPr>
        <w:pStyle w:val="6"/>
        <w:jc w:val="both"/>
        <w:outlineLvl w:val="0"/>
        <w:rPr>
          <w:rFonts w:hint="default" w:ascii="Verdana" w:hAnsi="Verdana" w:cs="Verdana"/>
          <w:b/>
          <w:bCs/>
          <w:sz w:val="22"/>
          <w:szCs w:val="22"/>
          <w:lang w:val="en-GB"/>
        </w:rPr>
      </w:pPr>
      <w:r>
        <w:rPr>
          <w:rFonts w:hint="default" w:ascii="Verdana" w:hAnsi="Verdana" w:cs="Verdana"/>
          <w:b/>
          <w:bCs/>
          <w:sz w:val="22"/>
          <w:szCs w:val="22"/>
          <w:lang w:val="en-GB"/>
        </w:rPr>
        <w:t>Advertisement consent for erection of new sign at the entrance to Blackberries Camping Park, Farleigh Rise, Monkton Farleigh, Wiltshire, BA15 2QP.</w:t>
      </w:r>
    </w:p>
    <w:p w14:paraId="1B22DD63">
      <w:pPr>
        <w:pStyle w:val="6"/>
        <w:jc w:val="both"/>
        <w:outlineLvl w:val="0"/>
        <w:rPr>
          <w:rFonts w:hint="default" w:ascii="Verdana" w:hAnsi="Verdana" w:cs="Verdana"/>
          <w:b/>
          <w:bCs/>
          <w:sz w:val="22"/>
          <w:szCs w:val="22"/>
          <w:lang w:val="en-GB"/>
        </w:rPr>
      </w:pPr>
    </w:p>
    <w:p w14:paraId="0B379B26">
      <w:pPr>
        <w:jc w:val="both"/>
        <w:rPr>
          <w:rFonts w:hint="default" w:ascii="Verdana" w:hAnsi="Verdana" w:cs="Verdana"/>
          <w:i w:val="0"/>
          <w:iCs w:val="0"/>
          <w:u w:val="single"/>
          <w:lang w:val="en-GB"/>
        </w:rPr>
      </w:pPr>
      <w:r>
        <w:rPr>
          <w:rFonts w:hint="default" w:ascii="Verdana" w:hAnsi="Verdana" w:cs="Verdana"/>
          <w:i w:val="0"/>
          <w:iCs w:val="0"/>
          <w:u w:val="single"/>
          <w:lang w:val="en-GB"/>
        </w:rPr>
        <w:t>Introduction</w:t>
      </w:r>
    </w:p>
    <w:p w14:paraId="07997C37">
      <w:pPr>
        <w:numPr>
          <w:ilvl w:val="0"/>
          <w:numId w:val="1"/>
        </w:numPr>
        <w:jc w:val="both"/>
        <w:rPr>
          <w:rFonts w:hint="default" w:ascii="Verdana" w:hAnsi="Verdana" w:cs="Verdana"/>
          <w:i w:val="0"/>
          <w:iCs w:val="0"/>
          <w:u w:val="none"/>
          <w:lang w:val="en-US"/>
        </w:rPr>
      </w:pPr>
      <w:r>
        <w:rPr>
          <w:rFonts w:hint="default" w:ascii="Verdana" w:hAnsi="Verdana" w:cs="Verdana"/>
          <w:i w:val="0"/>
          <w:iCs w:val="0"/>
          <w:u w:val="none"/>
          <w:lang w:val="en-GB"/>
        </w:rPr>
        <w:t>We have been instructed by the applicant, Mr J. Nicholson of Aerocamp Ltd,  to prepare and submit an Advertisement Consent application for a new sign.</w:t>
      </w:r>
    </w:p>
    <w:p w14:paraId="5E76E35C">
      <w:pPr>
        <w:numPr>
          <w:ilvl w:val="0"/>
          <w:numId w:val="0"/>
        </w:numPr>
        <w:spacing w:after="0" w:line="240" w:lineRule="auto"/>
        <w:jc w:val="both"/>
        <w:rPr>
          <w:rFonts w:hint="default" w:ascii="Verdana" w:hAnsi="Verdana" w:cs="Verdana"/>
          <w:i w:val="0"/>
          <w:iCs w:val="0"/>
          <w:u w:val="none"/>
          <w:lang w:val="en-GB"/>
        </w:rPr>
      </w:pPr>
    </w:p>
    <w:p w14:paraId="6FC62114">
      <w:pPr>
        <w:numPr>
          <w:ilvl w:val="0"/>
          <w:numId w:val="1"/>
        </w:numPr>
        <w:spacing w:after="0" w:line="240" w:lineRule="auto"/>
        <w:ind w:left="0" w:leftChars="0" w:firstLine="0" w:firstLineChars="0"/>
        <w:jc w:val="both"/>
        <w:rPr>
          <w:rFonts w:hint="default" w:ascii="Verdana" w:hAnsi="Verdana" w:cs="Verdana"/>
          <w:i w:val="0"/>
          <w:iCs w:val="0"/>
          <w:u w:val="none"/>
          <w:lang w:val="en-GB"/>
        </w:rPr>
      </w:pPr>
      <w:r>
        <w:rPr>
          <w:rFonts w:hint="default" w:ascii="Verdana" w:hAnsi="Verdana" w:cs="Verdana"/>
          <w:i w:val="0"/>
          <w:iCs w:val="0"/>
          <w:u w:val="none"/>
          <w:lang w:val="en-GB"/>
        </w:rPr>
        <w:t>Please find enclosed in support of this application;</w:t>
      </w:r>
    </w:p>
    <w:p w14:paraId="1CC73C64">
      <w:pPr>
        <w:numPr>
          <w:ilvl w:val="1"/>
          <w:numId w:val="1"/>
        </w:numPr>
        <w:spacing w:after="0" w:line="240" w:lineRule="auto"/>
        <w:ind w:left="840" w:leftChars="0" w:hanging="420" w:firstLineChars="0"/>
        <w:jc w:val="both"/>
        <w:rPr>
          <w:rFonts w:hint="default" w:ascii="Verdana" w:hAnsi="Verdana" w:cs="Verdana"/>
          <w:i w:val="0"/>
          <w:iCs w:val="0"/>
          <w:u w:val="none"/>
          <w:lang w:val="en-GB"/>
        </w:rPr>
      </w:pPr>
      <w:r>
        <w:rPr>
          <w:rFonts w:hint="default" w:ascii="Verdana" w:hAnsi="Verdana" w:cs="Verdana"/>
          <w:i w:val="0"/>
          <w:iCs w:val="0"/>
          <w:u w:val="none"/>
          <w:lang w:val="en-GB"/>
        </w:rPr>
        <w:t>The complete Advertisement Consent application form;</w:t>
      </w:r>
    </w:p>
    <w:p w14:paraId="1C09FF4E">
      <w:pPr>
        <w:numPr>
          <w:ilvl w:val="1"/>
          <w:numId w:val="1"/>
        </w:numPr>
        <w:spacing w:after="0" w:line="240" w:lineRule="auto"/>
        <w:ind w:left="840" w:leftChars="0" w:hanging="420" w:firstLineChars="0"/>
        <w:jc w:val="both"/>
        <w:rPr>
          <w:rFonts w:hint="default" w:ascii="Verdana" w:hAnsi="Verdana" w:cs="Verdana"/>
          <w:i w:val="0"/>
          <w:iCs w:val="0"/>
          <w:u w:val="none"/>
          <w:lang w:val="en-GB"/>
        </w:rPr>
      </w:pPr>
      <w:r>
        <w:rPr>
          <w:rFonts w:hint="default" w:ascii="Verdana" w:hAnsi="Verdana" w:cs="Verdana"/>
          <w:i w:val="0"/>
          <w:iCs w:val="0"/>
          <w:u w:val="none"/>
          <w:lang w:val="en-GB"/>
        </w:rPr>
        <w:t>This covering letter;</w:t>
      </w:r>
    </w:p>
    <w:p w14:paraId="0AA6E42E">
      <w:pPr>
        <w:numPr>
          <w:ilvl w:val="1"/>
          <w:numId w:val="1"/>
        </w:numPr>
        <w:spacing w:after="0" w:line="240" w:lineRule="auto"/>
        <w:ind w:left="840" w:leftChars="0" w:hanging="420" w:firstLineChars="0"/>
        <w:jc w:val="both"/>
        <w:rPr>
          <w:rFonts w:hint="default" w:ascii="Verdana" w:hAnsi="Verdana" w:cs="Verdana"/>
          <w:i w:val="0"/>
          <w:iCs w:val="0"/>
          <w:u w:val="none"/>
          <w:lang w:val="en-GB"/>
        </w:rPr>
      </w:pPr>
      <w:r>
        <w:rPr>
          <w:rFonts w:hint="default" w:ascii="Verdana" w:hAnsi="Verdana" w:cs="Verdana"/>
          <w:i w:val="0"/>
          <w:iCs w:val="0"/>
          <w:highlight w:val="none"/>
          <w:u w:val="none"/>
          <w:lang w:val="en-GB"/>
        </w:rPr>
        <w:t>The location plan;</w:t>
      </w:r>
    </w:p>
    <w:p w14:paraId="65F0A983">
      <w:pPr>
        <w:numPr>
          <w:ilvl w:val="1"/>
          <w:numId w:val="1"/>
        </w:numPr>
        <w:spacing w:after="0" w:line="240" w:lineRule="auto"/>
        <w:ind w:left="840" w:leftChars="0" w:hanging="420" w:firstLineChars="0"/>
        <w:jc w:val="both"/>
        <w:rPr>
          <w:rFonts w:hint="default" w:ascii="Verdana" w:hAnsi="Verdana" w:cs="Verdana"/>
          <w:i w:val="0"/>
          <w:iCs w:val="0"/>
          <w:u w:val="none"/>
          <w:lang w:val="en-GB"/>
        </w:rPr>
      </w:pPr>
      <w:r>
        <w:rPr>
          <w:rFonts w:hint="default" w:ascii="Verdana" w:hAnsi="Verdana" w:cs="Verdana"/>
          <w:i w:val="0"/>
          <w:iCs w:val="0"/>
          <w:u w:val="none"/>
          <w:lang w:val="en-GB"/>
        </w:rPr>
        <w:t>Proposed elevations;</w:t>
      </w:r>
    </w:p>
    <w:p w14:paraId="74973A65">
      <w:pPr>
        <w:numPr>
          <w:ilvl w:val="1"/>
          <w:numId w:val="1"/>
        </w:numPr>
        <w:spacing w:after="0" w:line="240" w:lineRule="auto"/>
        <w:ind w:left="840" w:leftChars="0" w:hanging="420" w:firstLineChars="0"/>
        <w:jc w:val="both"/>
        <w:rPr>
          <w:rFonts w:hint="default" w:ascii="Verdana" w:hAnsi="Verdana" w:cs="Verdana"/>
          <w:i w:val="0"/>
          <w:iCs w:val="0"/>
          <w:u w:val="none"/>
          <w:lang w:val="en-GB"/>
        </w:rPr>
      </w:pPr>
      <w:r>
        <w:rPr>
          <w:rFonts w:hint="default" w:ascii="Verdana" w:hAnsi="Verdana" w:cs="Verdana"/>
          <w:i w:val="0"/>
          <w:iCs w:val="0"/>
          <w:u w:val="none"/>
          <w:lang w:val="en-GB"/>
        </w:rPr>
        <w:t>Render of proposed sign;</w:t>
      </w:r>
    </w:p>
    <w:p w14:paraId="24AE18A1">
      <w:pPr>
        <w:numPr>
          <w:ilvl w:val="1"/>
          <w:numId w:val="1"/>
        </w:numPr>
        <w:spacing w:after="0" w:line="240" w:lineRule="auto"/>
        <w:ind w:left="840" w:leftChars="0" w:hanging="420" w:firstLineChars="0"/>
        <w:jc w:val="both"/>
        <w:rPr>
          <w:rFonts w:hint="default" w:ascii="Verdana" w:hAnsi="Verdana" w:cs="Verdana"/>
          <w:i w:val="0"/>
          <w:iCs w:val="0"/>
          <w:u w:val="none"/>
          <w:lang w:val="en-GB"/>
        </w:rPr>
      </w:pPr>
      <w:r>
        <w:rPr>
          <w:rFonts w:hint="default" w:ascii="Verdana" w:hAnsi="Verdana" w:cs="Verdana"/>
          <w:i w:val="0"/>
          <w:iCs w:val="0"/>
          <w:u w:val="none"/>
          <w:lang w:val="en-GB"/>
        </w:rPr>
        <w:t>Existing photograph.</w:t>
      </w:r>
    </w:p>
    <w:p w14:paraId="763472D3">
      <w:pPr>
        <w:numPr>
          <w:ilvl w:val="0"/>
          <w:numId w:val="0"/>
        </w:numPr>
        <w:spacing w:after="0" w:line="240" w:lineRule="auto"/>
        <w:jc w:val="both"/>
        <w:rPr>
          <w:rFonts w:hint="default" w:ascii="Verdana" w:hAnsi="Verdana" w:cs="Verdana"/>
          <w:i w:val="0"/>
          <w:iCs w:val="0"/>
          <w:u w:val="single"/>
          <w:lang w:val="en-GB"/>
        </w:rPr>
      </w:pPr>
    </w:p>
    <w:p w14:paraId="1E89FE43">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Site Description</w:t>
      </w:r>
    </w:p>
    <w:p w14:paraId="7A5BE252">
      <w:pPr>
        <w:numPr>
          <w:ilvl w:val="0"/>
          <w:numId w:val="1"/>
        </w:numPr>
        <w:tabs>
          <w:tab w:val="left" w:pos="3300"/>
        </w:tabs>
        <w:spacing w:after="0" w:line="240" w:lineRule="auto"/>
        <w:ind w:left="0" w:leftChars="0" w:firstLine="0" w:firstLineChars="0"/>
        <w:jc w:val="both"/>
        <w:rPr>
          <w:rFonts w:hint="default" w:ascii="Verdana" w:hAnsi="Verdana"/>
          <w:i w:val="0"/>
          <w:iCs w:val="0"/>
          <w:u w:val="none"/>
          <w:lang w:val="en-GB"/>
        </w:rPr>
      </w:pPr>
      <w:r>
        <w:rPr>
          <w:rFonts w:hint="default" w:ascii="Verdana" w:hAnsi="Verdana"/>
          <w:i w:val="0"/>
          <w:iCs w:val="0"/>
          <w:u w:val="none"/>
          <w:lang w:val="en-GB"/>
        </w:rPr>
        <w:t xml:space="preserve">Blackberries Camping Park (now known as Glasscombe) is located on the south side of Farleigh Rise which is to the north of Monkton Farleigh. </w:t>
      </w:r>
    </w:p>
    <w:p w14:paraId="09B0AB9E">
      <w:pPr>
        <w:numPr>
          <w:ilvl w:val="0"/>
          <w:numId w:val="0"/>
        </w:numPr>
        <w:spacing w:after="0" w:line="240" w:lineRule="auto"/>
        <w:jc w:val="both"/>
        <w:rPr>
          <w:rFonts w:hint="default" w:ascii="Verdana" w:hAnsi="Verdana"/>
          <w:i w:val="0"/>
          <w:iCs w:val="0"/>
          <w:u w:val="none"/>
          <w:lang w:val="en-GB"/>
        </w:rPr>
      </w:pPr>
    </w:p>
    <w:p w14:paraId="78FE6A49">
      <w:pPr>
        <w:numPr>
          <w:ilvl w:val="0"/>
          <w:numId w:val="0"/>
        </w:numPr>
        <w:spacing w:after="0" w:line="240" w:lineRule="auto"/>
        <w:jc w:val="both"/>
        <w:rPr>
          <w:rFonts w:hint="default" w:ascii="Verdana" w:hAnsi="Verdana"/>
          <w:i w:val="0"/>
          <w:iCs w:val="0"/>
          <w:u w:val="single"/>
          <w:lang w:val="en-GB"/>
        </w:rPr>
      </w:pPr>
      <w:r>
        <w:rPr>
          <w:rFonts w:hint="default" w:ascii="Verdana" w:hAnsi="Verdana"/>
          <w:i w:val="0"/>
          <w:iCs w:val="0"/>
          <w:u w:val="single"/>
          <w:lang w:val="en-GB"/>
        </w:rPr>
        <w:t>Proposal</w:t>
      </w:r>
    </w:p>
    <w:p w14:paraId="7B7F7EEE">
      <w:pPr>
        <w:numPr>
          <w:ilvl w:val="0"/>
          <w:numId w:val="1"/>
        </w:numPr>
        <w:spacing w:after="0" w:line="240" w:lineRule="auto"/>
        <w:ind w:left="0" w:leftChars="0" w:firstLine="0" w:firstLineChars="0"/>
        <w:jc w:val="both"/>
        <w:rPr>
          <w:rFonts w:hint="default" w:ascii="Verdana" w:hAnsi="Verdana" w:cs="Verdana"/>
          <w:i w:val="0"/>
          <w:iCs w:val="0"/>
          <w:u w:val="single"/>
          <w:lang w:val="en-GB"/>
        </w:rPr>
      </w:pPr>
      <w:r>
        <w:rPr>
          <w:rFonts w:hint="default" w:ascii="Verdana" w:hAnsi="Verdana"/>
          <w:i w:val="0"/>
          <w:iCs w:val="0"/>
          <w:u w:val="none"/>
          <w:lang w:val="en-GB"/>
        </w:rPr>
        <w:t>This is an advertisement consent application for a new sign which says ‘Glasscombe’</w:t>
      </w:r>
      <w:r>
        <w:rPr>
          <w:rFonts w:hint="default" w:ascii="Verdana" w:hAnsi="Verdana"/>
          <w:i w:val="0"/>
          <w:iCs w:val="0"/>
          <w:highlight w:val="none"/>
          <w:u w:val="none"/>
          <w:lang w:val="en-GB"/>
        </w:rPr>
        <w:t>. The new sign is to be located in approximately the same location as the existing sign for Blackberries Camping Park, which has been highlighted in the accompanying photograph. The outer edge of the proposed sign will be no more than 75cm from the edge of the carriageway. The new sign will have an LED downlighted posituioned at the top of it.</w:t>
      </w:r>
      <w:r>
        <w:rPr>
          <w:rFonts w:hint="default" w:ascii="Verdana" w:hAnsi="Verdana"/>
          <w:i w:val="0"/>
          <w:iCs w:val="0"/>
          <w:u w:val="none"/>
          <w:lang w:val="en-GB"/>
        </w:rPr>
        <w:t xml:space="preserve"> </w:t>
      </w:r>
    </w:p>
    <w:p w14:paraId="5F05529C">
      <w:pPr>
        <w:numPr>
          <w:ilvl w:val="0"/>
          <w:numId w:val="0"/>
        </w:numPr>
        <w:spacing w:after="0" w:line="240" w:lineRule="auto"/>
        <w:ind w:leftChars="0"/>
        <w:jc w:val="both"/>
        <w:rPr>
          <w:rFonts w:hint="default" w:ascii="Verdana" w:hAnsi="Verdana" w:cs="Verdana"/>
          <w:i w:val="0"/>
          <w:iCs w:val="0"/>
          <w:u w:val="single"/>
          <w:lang w:val="en-GB"/>
        </w:rPr>
      </w:pPr>
    </w:p>
    <w:p w14:paraId="0F80AEC7">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Planning Policy</w:t>
      </w:r>
    </w:p>
    <w:p w14:paraId="7CDB2C5E">
      <w:pPr>
        <w:numPr>
          <w:ilvl w:val="0"/>
          <w:numId w:val="1"/>
        </w:numPr>
        <w:ind w:left="0" w:leftChars="0" w:firstLine="0" w:firstLineChars="0"/>
        <w:jc w:val="both"/>
        <w:rPr>
          <w:rFonts w:hint="default" w:ascii="Verdana" w:hAnsi="Verdana" w:cs="Verdana"/>
          <w:i w:val="0"/>
          <w:iCs w:val="0"/>
          <w:highlight w:val="none"/>
          <w:u w:val="single"/>
          <w:lang w:val="en-GB"/>
        </w:rPr>
      </w:pPr>
      <w:r>
        <w:rPr>
          <w:rFonts w:hint="default" w:ascii="Verdana" w:hAnsi="Verdana" w:cs="Verdana"/>
          <w:i w:val="0"/>
          <w:iCs w:val="0"/>
          <w:highlight w:val="none"/>
          <w:u w:val="none"/>
          <w:lang w:val="en-GB"/>
        </w:rPr>
        <w:t>The site is covered by the National Planning Policy Framework (NPPF; Updated 2023)</w:t>
      </w:r>
      <w:r>
        <w:rPr>
          <w:rFonts w:hint="default" w:ascii="Verdana" w:hAnsi="Verdana" w:cs="Verdana"/>
          <w:b w:val="0"/>
          <w:bCs w:val="0"/>
          <w:i w:val="0"/>
          <w:iCs w:val="0"/>
          <w:u w:val="none"/>
          <w:lang w:val="en-GB"/>
        </w:rPr>
        <w:t xml:space="preserve">. </w:t>
      </w:r>
    </w:p>
    <w:p w14:paraId="3667CEA7">
      <w:pPr>
        <w:numPr>
          <w:ilvl w:val="0"/>
          <w:numId w:val="0"/>
        </w:numPr>
        <w:ind w:leftChars="0"/>
        <w:jc w:val="both"/>
        <w:rPr>
          <w:rFonts w:hint="default" w:ascii="Verdana" w:hAnsi="Verdana" w:cs="Verdana"/>
          <w:i w:val="0"/>
          <w:iCs w:val="0"/>
          <w:highlight w:val="none"/>
          <w:u w:val="single"/>
          <w:lang w:val="en-GB"/>
        </w:rPr>
      </w:pPr>
    </w:p>
    <w:p w14:paraId="35A01E41">
      <w:pPr>
        <w:numPr>
          <w:ilvl w:val="0"/>
          <w:numId w:val="1"/>
        </w:numPr>
        <w:ind w:left="0" w:leftChars="0" w:firstLine="0" w:firstLineChars="0"/>
        <w:jc w:val="both"/>
        <w:rPr>
          <w:rFonts w:hint="default" w:ascii="Verdana" w:hAnsi="Verdana" w:cs="Verdana"/>
          <w:i w:val="0"/>
          <w:iCs w:val="0"/>
          <w:highlight w:val="none"/>
          <w:u w:val="single"/>
          <w:lang w:val="en-GB"/>
        </w:rPr>
      </w:pPr>
      <w:r>
        <w:rPr>
          <w:rFonts w:hint="default" w:ascii="Verdana" w:hAnsi="Verdana" w:cs="Verdana"/>
          <w:b w:val="0"/>
          <w:bCs w:val="0"/>
          <w:i w:val="0"/>
          <w:iCs w:val="0"/>
          <w:u w:val="none"/>
          <w:lang w:val="en-GB"/>
        </w:rPr>
        <w:t>This proposal incorporates The Town and Country Planning (Control of Advertisements) (England) Regulations 2007.</w:t>
      </w:r>
    </w:p>
    <w:p w14:paraId="339BBBEF">
      <w:pPr>
        <w:numPr>
          <w:ilvl w:val="0"/>
          <w:numId w:val="0"/>
        </w:numPr>
        <w:spacing w:after="0" w:line="240" w:lineRule="auto"/>
        <w:jc w:val="both"/>
        <w:rPr>
          <w:rFonts w:hint="default" w:ascii="Verdana" w:hAnsi="Verdana" w:cs="Verdana"/>
          <w:i w:val="0"/>
          <w:iCs w:val="0"/>
          <w:highlight w:val="none"/>
          <w:u w:val="none"/>
          <w:lang w:val="en-GB"/>
        </w:rPr>
      </w:pPr>
      <w:r>
        <w:rPr>
          <w:rFonts w:hint="default" w:ascii="Verdana" w:hAnsi="Verdana" w:cs="Verdana"/>
          <w:i w:val="0"/>
          <w:iCs w:val="0"/>
          <w:highlight w:val="none"/>
          <w:u w:val="single"/>
          <w:lang w:val="en-GB"/>
        </w:rPr>
        <w:t>The National Planning Policy Framework (Updated 2023)</w:t>
      </w:r>
    </w:p>
    <w:p w14:paraId="576AD394">
      <w:pPr>
        <w:numPr>
          <w:ilvl w:val="0"/>
          <w:numId w:val="1"/>
        </w:numPr>
        <w:spacing w:after="0" w:line="240" w:lineRule="auto"/>
        <w:ind w:left="0" w:leftChars="0" w:firstLine="0" w:firstLineChars="0"/>
        <w:jc w:val="both"/>
        <w:rPr>
          <w:rFonts w:hint="default" w:ascii="Verdana" w:hAnsi="Verdana" w:cs="Verdana"/>
          <w:i w:val="0"/>
          <w:iCs w:val="0"/>
          <w:highlight w:val="none"/>
          <w:u w:val="none"/>
          <w:lang w:val="en-GB"/>
        </w:rPr>
      </w:pPr>
      <w:r>
        <w:rPr>
          <w:rFonts w:hint="default" w:ascii="Verdana" w:hAnsi="Verdana" w:cs="Verdana"/>
          <w:i w:val="0"/>
          <w:iCs w:val="0"/>
          <w:highlight w:val="none"/>
          <w:u w:val="none"/>
          <w:lang w:val="en-GB"/>
        </w:rPr>
        <w:t xml:space="preserve">The NPPF is clear that the purpose of the planning system is to encourage local planning authorities to support sustainable development (which is achieved through securing various interdependent economic, social and environmental objectives) as discussed in paragraph 11 of the NPPF. So that sustainable development is pursued in a positive way, at the heart of the framework is a presumption in favour of sustainable development. For decision-taking this means approving development proposals that accord with an up-to-date Development Plan without delay. </w:t>
      </w:r>
    </w:p>
    <w:p w14:paraId="6B7C3152">
      <w:pPr>
        <w:numPr>
          <w:ilvl w:val="0"/>
          <w:numId w:val="0"/>
        </w:numPr>
        <w:spacing w:after="0" w:line="240" w:lineRule="auto"/>
        <w:ind w:leftChars="0"/>
        <w:jc w:val="both"/>
        <w:rPr>
          <w:rFonts w:hint="default" w:ascii="Verdana" w:hAnsi="Verdana" w:cs="Verdana"/>
          <w:i w:val="0"/>
          <w:iCs w:val="0"/>
          <w:highlight w:val="none"/>
          <w:u w:val="none"/>
          <w:lang w:val="en-GB"/>
        </w:rPr>
      </w:pPr>
    </w:p>
    <w:p w14:paraId="070AF802">
      <w:pPr>
        <w:numPr>
          <w:ilvl w:val="0"/>
          <w:numId w:val="1"/>
        </w:numPr>
        <w:spacing w:after="0" w:line="240" w:lineRule="auto"/>
        <w:ind w:left="0" w:leftChars="0" w:firstLine="0" w:firstLineChars="0"/>
        <w:jc w:val="both"/>
        <w:rPr>
          <w:rFonts w:hint="default" w:ascii="Verdana" w:hAnsi="Verdana" w:cs="Verdana"/>
          <w:i w:val="0"/>
          <w:iCs w:val="0"/>
          <w:highlight w:val="none"/>
          <w:u w:val="none"/>
          <w:lang w:val="en-GB"/>
        </w:rPr>
      </w:pPr>
      <w:r>
        <w:rPr>
          <w:rFonts w:hint="default" w:ascii="Verdana" w:hAnsi="Verdana" w:cs="Verdana"/>
          <w:i w:val="0"/>
          <w:iCs w:val="0"/>
          <w:highlight w:val="none"/>
          <w:u w:val="none"/>
          <w:lang w:val="en-GB"/>
        </w:rPr>
        <w:t>Paragraph 38 requires that decision makers:</w:t>
      </w:r>
    </w:p>
    <w:p w14:paraId="5C01B174">
      <w:pPr>
        <w:numPr>
          <w:ilvl w:val="0"/>
          <w:numId w:val="2"/>
        </w:numPr>
        <w:tabs>
          <w:tab w:val="clear" w:pos="420"/>
        </w:tabs>
        <w:spacing w:after="0" w:line="240" w:lineRule="auto"/>
        <w:ind w:left="840" w:leftChars="0" w:hanging="420" w:firstLineChars="0"/>
        <w:jc w:val="both"/>
        <w:rPr>
          <w:rFonts w:hint="default" w:ascii="Verdana" w:hAnsi="Verdana" w:cs="Verdana"/>
          <w:i w:val="0"/>
          <w:iCs w:val="0"/>
          <w:highlight w:val="none"/>
          <w:u w:val="none"/>
          <w:lang w:val="en-GB"/>
        </w:rPr>
      </w:pPr>
      <w:r>
        <w:rPr>
          <w:rFonts w:hint="default" w:ascii="Verdana" w:hAnsi="Verdana" w:cs="Verdana"/>
          <w:i w:val="0"/>
          <w:iCs w:val="0"/>
          <w:highlight w:val="none"/>
          <w:u w:val="none"/>
          <w:lang w:val="en-GB"/>
        </w:rPr>
        <w:t>Should approach decisions on proposed development in a positive and creative way;</w:t>
      </w:r>
    </w:p>
    <w:p w14:paraId="1F37FA32">
      <w:pPr>
        <w:numPr>
          <w:ilvl w:val="0"/>
          <w:numId w:val="2"/>
        </w:numPr>
        <w:tabs>
          <w:tab w:val="clear" w:pos="420"/>
        </w:tabs>
        <w:spacing w:after="0" w:line="240" w:lineRule="auto"/>
        <w:ind w:left="840" w:leftChars="0" w:hanging="420" w:firstLineChars="0"/>
        <w:jc w:val="both"/>
        <w:rPr>
          <w:rFonts w:hint="default" w:ascii="Verdana" w:hAnsi="Verdana" w:cs="Verdana"/>
          <w:i w:val="0"/>
          <w:iCs w:val="0"/>
          <w:highlight w:val="none"/>
          <w:u w:val="none"/>
          <w:lang w:val="en-GB"/>
        </w:rPr>
      </w:pPr>
      <w:r>
        <w:rPr>
          <w:rFonts w:hint="default" w:ascii="Verdana" w:hAnsi="Verdana" w:cs="Verdana"/>
          <w:i w:val="0"/>
          <w:iCs w:val="0"/>
          <w:highlight w:val="none"/>
          <w:u w:val="none"/>
          <w:lang w:val="en-GB"/>
        </w:rPr>
        <w:t xml:space="preserve">Work proactively with applicants to secure development that will improve the economic, social and environmental conditions of the area; and, </w:t>
      </w:r>
    </w:p>
    <w:p w14:paraId="3E5B7054">
      <w:pPr>
        <w:numPr>
          <w:ilvl w:val="0"/>
          <w:numId w:val="2"/>
        </w:numPr>
        <w:tabs>
          <w:tab w:val="clear" w:pos="420"/>
        </w:tabs>
        <w:spacing w:after="0" w:line="240" w:lineRule="auto"/>
        <w:ind w:left="840" w:leftChars="0" w:hanging="420" w:firstLineChars="0"/>
        <w:jc w:val="both"/>
        <w:rPr>
          <w:rFonts w:hint="default" w:ascii="Verdana" w:hAnsi="Verdana" w:cs="Verdana"/>
          <w:i w:val="0"/>
          <w:iCs w:val="0"/>
          <w:highlight w:val="none"/>
          <w:u w:val="none"/>
          <w:lang w:val="en-GB"/>
        </w:rPr>
      </w:pPr>
      <w:r>
        <w:rPr>
          <w:rFonts w:hint="default" w:ascii="Verdana" w:hAnsi="Verdana" w:cs="Verdana"/>
          <w:i w:val="0"/>
          <w:iCs w:val="0"/>
          <w:highlight w:val="none"/>
          <w:u w:val="none"/>
          <w:lang w:val="en-GB"/>
        </w:rPr>
        <w:t>Seek to approve applications for sustainable development where possible.</w:t>
      </w:r>
    </w:p>
    <w:p w14:paraId="26FE6256">
      <w:pPr>
        <w:numPr>
          <w:ilvl w:val="0"/>
          <w:numId w:val="0"/>
        </w:numPr>
        <w:spacing w:after="0" w:line="240" w:lineRule="auto"/>
        <w:jc w:val="both"/>
        <w:rPr>
          <w:rFonts w:hint="default" w:ascii="Verdana" w:hAnsi="Verdana" w:cs="Verdana"/>
          <w:i w:val="0"/>
          <w:iCs w:val="0"/>
          <w:highlight w:val="none"/>
          <w:u w:val="none"/>
          <w:lang w:val="en-GB"/>
        </w:rPr>
      </w:pPr>
    </w:p>
    <w:p w14:paraId="34B58EA2">
      <w:pPr>
        <w:numPr>
          <w:ilvl w:val="0"/>
          <w:numId w:val="1"/>
        </w:numPr>
        <w:spacing w:after="0" w:line="240" w:lineRule="auto"/>
        <w:ind w:left="0" w:leftChars="0" w:firstLine="0" w:firstLineChars="0"/>
        <w:jc w:val="both"/>
        <w:rPr>
          <w:rFonts w:hint="default" w:ascii="Verdana" w:hAnsi="Verdana" w:cs="Verdana"/>
          <w:i w:val="0"/>
          <w:iCs w:val="0"/>
          <w:sz w:val="22"/>
          <w:szCs w:val="22"/>
          <w:highlight w:val="none"/>
          <w:u w:val="none"/>
          <w:lang w:val="en-GB"/>
        </w:rPr>
      </w:pPr>
      <w:r>
        <w:rPr>
          <w:rFonts w:hint="default" w:ascii="Verdana" w:hAnsi="Verdana" w:cs="Verdana"/>
          <w:i w:val="0"/>
          <w:iCs w:val="0"/>
          <w:sz w:val="22"/>
          <w:szCs w:val="22"/>
          <w:highlight w:val="none"/>
          <w:u w:val="none"/>
          <w:lang w:val="en-GB"/>
        </w:rPr>
        <w:t>Paragraph 47 ‘</w:t>
      </w:r>
      <w:r>
        <w:rPr>
          <w:rFonts w:hint="default" w:ascii="Verdana" w:hAnsi="Verdana" w:cs="Verdana"/>
          <w:i/>
          <w:iCs/>
          <w:sz w:val="22"/>
          <w:szCs w:val="22"/>
          <w:highlight w:val="none"/>
          <w:u w:val="none"/>
          <w:lang w:val="en-GB"/>
        </w:rPr>
        <w:t>Determining applications</w:t>
      </w:r>
      <w:r>
        <w:rPr>
          <w:rFonts w:hint="default" w:ascii="Verdana" w:hAnsi="Verdana" w:cs="Verdana"/>
          <w:i w:val="0"/>
          <w:iCs w:val="0"/>
          <w:sz w:val="22"/>
          <w:szCs w:val="22"/>
          <w:highlight w:val="none"/>
          <w:u w:val="none"/>
          <w:lang w:val="en-GB"/>
        </w:rPr>
        <w:t>’ requires that applications for planning permission should be determined in accordance with the development plan, unless material considerations indicate otherwise. Decisions on applications should be made as quickly as possible, and within the statutory time scales unless a longer period has been agreed by the applicant in writing.</w:t>
      </w:r>
    </w:p>
    <w:p w14:paraId="1C75FF7A">
      <w:pPr>
        <w:numPr>
          <w:ilvl w:val="0"/>
          <w:numId w:val="0"/>
        </w:numPr>
        <w:spacing w:after="0" w:line="240" w:lineRule="auto"/>
        <w:ind w:leftChars="0"/>
        <w:jc w:val="both"/>
        <w:rPr>
          <w:rFonts w:hint="default" w:ascii="Verdana" w:hAnsi="Verdana" w:cs="Verdana"/>
          <w:i w:val="0"/>
          <w:iCs w:val="0"/>
          <w:sz w:val="20"/>
          <w:szCs w:val="20"/>
          <w:highlight w:val="none"/>
          <w:u w:val="none"/>
          <w:lang w:val="en-GB"/>
        </w:rPr>
      </w:pPr>
    </w:p>
    <w:p w14:paraId="29F8FBFA">
      <w:pPr>
        <w:numPr>
          <w:ilvl w:val="0"/>
          <w:numId w:val="1"/>
        </w:numPr>
        <w:spacing w:after="0" w:line="240" w:lineRule="auto"/>
        <w:ind w:left="0" w:leftChars="0" w:firstLine="0" w:firstLineChars="0"/>
        <w:jc w:val="both"/>
        <w:rPr>
          <w:rFonts w:hint="default" w:ascii="Verdana" w:hAnsi="Verdana" w:cs="Verdana"/>
          <w:b w:val="0"/>
          <w:bCs w:val="0"/>
          <w:i w:val="0"/>
          <w:iCs w:val="0"/>
          <w:sz w:val="22"/>
          <w:szCs w:val="22"/>
          <w:u w:val="single"/>
          <w:lang w:val="en-GB"/>
        </w:rPr>
      </w:pPr>
      <w:r>
        <w:rPr>
          <w:rFonts w:hint="default" w:ascii="Verdana" w:hAnsi="Verdana" w:cs="Verdana"/>
          <w:i w:val="0"/>
          <w:iCs w:val="0"/>
          <w:sz w:val="22"/>
          <w:szCs w:val="22"/>
          <w:highlight w:val="none"/>
          <w:u w:val="none"/>
          <w:lang w:val="en-GB"/>
        </w:rPr>
        <w:t>Advertisements are also discussed at length in paragraph 136 of the NPPF with regard to advertisement consent and in light of amenity and public safety, of which there are no severe cumulative impacts in this case.</w:t>
      </w:r>
    </w:p>
    <w:p w14:paraId="5ED891F3">
      <w:pPr>
        <w:numPr>
          <w:ilvl w:val="0"/>
          <w:numId w:val="0"/>
        </w:numPr>
        <w:spacing w:after="0" w:line="240" w:lineRule="auto"/>
        <w:jc w:val="both"/>
        <w:rPr>
          <w:rFonts w:hint="default" w:ascii="Verdana" w:hAnsi="Verdana" w:cs="Verdana"/>
          <w:i w:val="0"/>
          <w:iCs w:val="0"/>
          <w:sz w:val="20"/>
          <w:szCs w:val="20"/>
          <w:highlight w:val="none"/>
          <w:u w:val="none"/>
          <w:lang w:val="en-GB"/>
        </w:rPr>
      </w:pPr>
    </w:p>
    <w:p w14:paraId="2D9B4C1F">
      <w:pPr>
        <w:numPr>
          <w:ilvl w:val="0"/>
          <w:numId w:val="3"/>
        </w:numPr>
        <w:ind w:left="660" w:leftChars="300" w:firstLine="0" w:firstLineChars="0"/>
        <w:rPr>
          <w:rFonts w:hint="default" w:ascii="Verdana" w:hAnsi="Verdana" w:cs="Verdana"/>
          <w:b w:val="0"/>
          <w:bCs w:val="0"/>
          <w:i/>
          <w:iCs/>
          <w:sz w:val="20"/>
          <w:szCs w:val="20"/>
          <w:u w:val="single"/>
          <w:lang w:val="en-GB"/>
        </w:rPr>
      </w:pPr>
      <w:r>
        <w:rPr>
          <w:rFonts w:hint="default" w:ascii="Verdana" w:hAnsi="Verdana" w:cs="Verdana"/>
          <w:i/>
          <w:iCs/>
          <w:sz w:val="20"/>
          <w:szCs w:val="20"/>
          <w:highlight w:val="none"/>
          <w:u w:val="none"/>
          <w:lang w:val="en-GB"/>
        </w:rPr>
        <w:t>The quality and character of places can suffer when advertisements are poorly sited and designed. A separate consent process within the planning system controls the display of advertisements, which should be operated in a way which is simple, efficient and effective. Advertisements should be subject to control in the interests of amenity and public safety, taking account of cumulative impacts.</w:t>
      </w:r>
    </w:p>
    <w:p w14:paraId="7BB0648B">
      <w:pPr>
        <w:rPr>
          <w:rFonts w:hint="default" w:ascii="Verdana" w:hAnsi="Verdana" w:cs="Verdana"/>
          <w:b w:val="0"/>
          <w:bCs w:val="0"/>
          <w:i/>
          <w:iCs/>
          <w:sz w:val="20"/>
          <w:szCs w:val="20"/>
          <w:u w:val="single"/>
          <w:lang w:val="en-GB"/>
        </w:rPr>
      </w:pPr>
    </w:p>
    <w:p w14:paraId="758AD21A">
      <w:pPr>
        <w:numPr>
          <w:ilvl w:val="0"/>
          <w:numId w:val="0"/>
        </w:numPr>
        <w:spacing w:after="0" w:line="240" w:lineRule="auto"/>
        <w:ind w:leftChars="0"/>
        <w:jc w:val="both"/>
        <w:rPr>
          <w:rFonts w:hint="default" w:ascii="Verdana" w:hAnsi="Verdana" w:cs="Verdana"/>
          <w:i w:val="0"/>
          <w:iCs w:val="0"/>
          <w:u w:val="single"/>
          <w:lang w:val="en-GB"/>
        </w:rPr>
      </w:pPr>
    </w:p>
    <w:p w14:paraId="4312E8AC">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The Town and Country Planning (Control of Advertisements) (England) Regulations 2007</w:t>
      </w:r>
    </w:p>
    <w:p w14:paraId="50D5D39F">
      <w:pPr>
        <w:numPr>
          <w:ilvl w:val="0"/>
          <w:numId w:val="1"/>
        </w:numPr>
        <w:spacing w:after="0" w:line="240" w:lineRule="auto"/>
        <w:ind w:left="0" w:leftChars="0" w:firstLine="0" w:firstLineChars="0"/>
        <w:jc w:val="both"/>
        <w:rPr>
          <w:rFonts w:hint="default" w:ascii="Verdana" w:hAnsi="Verdana" w:cs="Verdana"/>
          <w:i w:val="0"/>
          <w:iCs w:val="0"/>
          <w:u w:val="single"/>
          <w:lang w:val="en-GB"/>
        </w:rPr>
      </w:pPr>
      <w:r>
        <w:rPr>
          <w:rFonts w:hint="default" w:ascii="Verdana" w:hAnsi="Verdana" w:cs="Verdana"/>
          <w:i w:val="0"/>
          <w:iCs w:val="0"/>
          <w:u w:val="none"/>
          <w:lang w:val="en-GB"/>
        </w:rPr>
        <w:t>The Regulations highlight that powers are to be exercised in the interests of amenity and public safety.</w:t>
      </w:r>
    </w:p>
    <w:p w14:paraId="758875D4">
      <w:pPr>
        <w:numPr>
          <w:ilvl w:val="0"/>
          <w:numId w:val="0"/>
        </w:numPr>
        <w:spacing w:after="0" w:line="240" w:lineRule="auto"/>
        <w:jc w:val="both"/>
        <w:rPr>
          <w:rFonts w:hint="default" w:ascii="Verdana" w:hAnsi="Verdana" w:cs="Verdana"/>
          <w:i w:val="0"/>
          <w:iCs w:val="0"/>
          <w:u w:val="single"/>
          <w:lang w:val="en-GB"/>
        </w:rPr>
      </w:pPr>
    </w:p>
    <w:p w14:paraId="7922C74D">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Planning Considerations</w:t>
      </w:r>
    </w:p>
    <w:p w14:paraId="2644DE02">
      <w:pPr>
        <w:numPr>
          <w:ilvl w:val="0"/>
          <w:numId w:val="0"/>
        </w:numPr>
        <w:spacing w:after="0" w:line="240" w:lineRule="auto"/>
        <w:jc w:val="both"/>
        <w:rPr>
          <w:rFonts w:hint="default" w:ascii="Verdana" w:hAnsi="Verdana" w:cs="Verdana"/>
          <w:i w:val="0"/>
          <w:iCs w:val="0"/>
          <w:u w:val="single"/>
          <w:lang w:val="en-GB"/>
        </w:rPr>
      </w:pPr>
    </w:p>
    <w:p w14:paraId="6F9D7151">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Principle of Development</w:t>
      </w:r>
    </w:p>
    <w:p w14:paraId="4B08C1CC">
      <w:pPr>
        <w:numPr>
          <w:ilvl w:val="0"/>
          <w:numId w:val="1"/>
        </w:numPr>
        <w:spacing w:after="0" w:line="240" w:lineRule="auto"/>
        <w:ind w:left="0" w:leftChars="0" w:firstLine="0" w:firstLineChars="0"/>
        <w:jc w:val="both"/>
        <w:rPr>
          <w:rFonts w:hint="default" w:ascii="Verdana" w:hAnsi="Verdana" w:cs="Verdana"/>
          <w:i w:val="0"/>
          <w:iCs w:val="0"/>
          <w:u w:val="single"/>
          <w:lang w:val="en-GB"/>
        </w:rPr>
      </w:pPr>
      <w:r>
        <w:rPr>
          <w:rFonts w:hint="default" w:ascii="Verdana" w:hAnsi="Verdana" w:cs="Verdana"/>
          <w:i w:val="0"/>
          <w:iCs w:val="0"/>
          <w:u w:val="none"/>
          <w:lang w:val="en-GB"/>
        </w:rPr>
        <w:t>The principle of the proposed advertisements installation and their intended purpose is established within and the provisions of the local development plan and National Planning Policy Framework 2023, and the Government’s national planning guidance for outdoor advertisements and signs, with the provision of service to the local community and benefits  to the local economy from the business’s activities.</w:t>
      </w:r>
    </w:p>
    <w:p w14:paraId="6638F67B">
      <w:pPr>
        <w:numPr>
          <w:ilvl w:val="0"/>
          <w:numId w:val="0"/>
        </w:numPr>
        <w:spacing w:after="0" w:line="240" w:lineRule="auto"/>
        <w:jc w:val="both"/>
        <w:rPr>
          <w:rFonts w:hint="default" w:ascii="Verdana" w:hAnsi="Verdana" w:cs="Verdana"/>
          <w:i w:val="0"/>
          <w:iCs w:val="0"/>
          <w:u w:val="single"/>
          <w:lang w:val="en-GB"/>
        </w:rPr>
      </w:pPr>
    </w:p>
    <w:p w14:paraId="16F9894D">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Amenity</w:t>
      </w:r>
    </w:p>
    <w:p w14:paraId="6BED3CB6">
      <w:pPr>
        <w:numPr>
          <w:ilvl w:val="0"/>
          <w:numId w:val="1"/>
        </w:numPr>
        <w:spacing w:after="0" w:line="240" w:lineRule="auto"/>
        <w:ind w:left="0" w:leftChars="0" w:firstLine="0" w:firstLineChars="0"/>
        <w:jc w:val="both"/>
        <w:rPr>
          <w:rFonts w:hint="default" w:ascii="Verdana" w:hAnsi="Verdana" w:cs="Verdana"/>
          <w:i w:val="0"/>
          <w:iCs w:val="0"/>
          <w:u w:val="single"/>
          <w:lang w:val="en-GB"/>
        </w:rPr>
      </w:pPr>
      <w:r>
        <w:rPr>
          <w:rFonts w:hint="default" w:ascii="Verdana" w:hAnsi="Verdana" w:cs="Verdana"/>
          <w:i w:val="0"/>
          <w:iCs w:val="0"/>
          <w:u w:val="none"/>
          <w:lang w:val="en-GB"/>
        </w:rPr>
        <w:t>The sign is to be positioned on the western side of the existing site entrance, in place of the existing sign. The site entrance is not overlooked by any nearby dwellings and does not negatively impact the visual amenity of the surrounding area, much like the existing sign.</w:t>
      </w:r>
    </w:p>
    <w:p w14:paraId="14255DAA">
      <w:pPr>
        <w:rPr>
          <w:rFonts w:hint="default" w:ascii="Verdana" w:hAnsi="Verdana" w:cs="Verdana"/>
          <w:i w:val="0"/>
          <w:iCs w:val="0"/>
          <w:u w:val="single"/>
          <w:lang w:val="en-GB"/>
        </w:rPr>
      </w:pPr>
    </w:p>
    <w:p w14:paraId="747BF714">
      <w:pPr>
        <w:numPr>
          <w:ilvl w:val="0"/>
          <w:numId w:val="0"/>
        </w:numPr>
        <w:spacing w:after="0" w:line="240" w:lineRule="auto"/>
        <w:jc w:val="both"/>
        <w:rPr>
          <w:rFonts w:hint="default" w:ascii="Verdana" w:hAnsi="Verdana" w:cs="Verdana"/>
          <w:i w:val="0"/>
          <w:iCs w:val="0"/>
          <w:u w:val="single"/>
          <w:lang w:val="en-GB"/>
        </w:rPr>
      </w:pPr>
      <w:r>
        <w:rPr>
          <w:rFonts w:hint="default" w:ascii="Verdana" w:hAnsi="Verdana" w:cs="Verdana"/>
          <w:i w:val="0"/>
          <w:iCs w:val="0"/>
          <w:u w:val="single"/>
          <w:lang w:val="en-GB"/>
        </w:rPr>
        <w:t>Highway and public safety</w:t>
      </w:r>
    </w:p>
    <w:p w14:paraId="3454C366">
      <w:pPr>
        <w:numPr>
          <w:ilvl w:val="0"/>
          <w:numId w:val="1"/>
        </w:numPr>
        <w:spacing w:after="0" w:line="240" w:lineRule="auto"/>
        <w:ind w:left="0" w:leftChars="0" w:firstLine="0" w:firstLineChars="0"/>
        <w:jc w:val="both"/>
        <w:rPr>
          <w:rFonts w:hint="default" w:ascii="Verdana" w:hAnsi="Verdana" w:cs="Verdana"/>
          <w:i w:val="0"/>
          <w:iCs w:val="0"/>
          <w:highlight w:val="none"/>
          <w:u w:val="none"/>
          <w:lang w:val="en-US"/>
        </w:rPr>
      </w:pPr>
      <w:r>
        <w:rPr>
          <w:rFonts w:hint="default" w:ascii="Verdana" w:hAnsi="Verdana" w:cs="Verdana"/>
          <w:i w:val="0"/>
          <w:iCs w:val="0"/>
          <w:highlight w:val="none"/>
          <w:u w:val="none"/>
          <w:lang w:val="en-GB"/>
        </w:rPr>
        <w:t xml:space="preserve">The design is sufficiently large enough to be easy to spot from the road. The proposed advertisement presents no risk of harm to passing pedestrians or motorists. </w:t>
      </w:r>
    </w:p>
    <w:p w14:paraId="158B5E29">
      <w:pPr>
        <w:rPr>
          <w:rFonts w:hint="default" w:ascii="Verdana" w:hAnsi="Verdana"/>
          <w:i w:val="0"/>
          <w:iCs w:val="0"/>
          <w:sz w:val="22"/>
          <w:szCs w:val="22"/>
          <w:u w:val="single"/>
          <w:lang w:val="en-GB"/>
        </w:rPr>
      </w:pPr>
    </w:p>
    <w:p w14:paraId="5914DCEF">
      <w:pPr>
        <w:numPr>
          <w:ilvl w:val="0"/>
          <w:numId w:val="0"/>
        </w:numPr>
        <w:spacing w:after="0" w:line="240" w:lineRule="auto"/>
        <w:jc w:val="both"/>
        <w:rPr>
          <w:rFonts w:hint="default" w:ascii="Verdana" w:hAnsi="Verdana"/>
          <w:i w:val="0"/>
          <w:iCs w:val="0"/>
          <w:sz w:val="22"/>
          <w:szCs w:val="22"/>
          <w:u w:val="single"/>
          <w:lang w:val="en-GB"/>
        </w:rPr>
      </w:pPr>
      <w:r>
        <w:rPr>
          <w:rFonts w:hint="default" w:ascii="Verdana" w:hAnsi="Verdana"/>
          <w:i w:val="0"/>
          <w:iCs w:val="0"/>
          <w:sz w:val="22"/>
          <w:szCs w:val="22"/>
          <w:u w:val="single"/>
          <w:lang w:val="en-GB"/>
        </w:rPr>
        <w:t>Concluding Remarks</w:t>
      </w:r>
    </w:p>
    <w:p w14:paraId="157423EB">
      <w:pPr>
        <w:numPr>
          <w:ilvl w:val="0"/>
          <w:numId w:val="1"/>
        </w:numPr>
        <w:spacing w:after="0" w:line="240" w:lineRule="auto"/>
        <w:ind w:left="0" w:leftChars="0" w:firstLine="0" w:firstLineChars="0"/>
        <w:jc w:val="both"/>
        <w:rPr>
          <w:rFonts w:hint="default" w:ascii="Verdana" w:hAnsi="Verdana"/>
          <w:i w:val="0"/>
          <w:iCs w:val="0"/>
          <w:sz w:val="22"/>
          <w:szCs w:val="22"/>
          <w:u w:val="none"/>
          <w:lang w:val="en-GB"/>
        </w:rPr>
      </w:pPr>
      <w:r>
        <w:rPr>
          <w:rFonts w:hint="default" w:ascii="Verdana" w:hAnsi="Verdana"/>
          <w:i w:val="0"/>
          <w:iCs w:val="0"/>
          <w:sz w:val="22"/>
          <w:szCs w:val="22"/>
          <w:u w:val="none"/>
          <w:lang w:val="en-GB"/>
        </w:rPr>
        <w:t>This application is for the erection of a advertisement sign at the entrance of Blackberries Camping Park (now known as Glasscombe)</w:t>
      </w:r>
      <w:bookmarkStart w:id="0" w:name="_GoBack"/>
      <w:bookmarkEnd w:id="0"/>
      <w:r>
        <w:rPr>
          <w:rFonts w:hint="default" w:ascii="Verdana" w:hAnsi="Verdana"/>
          <w:i w:val="0"/>
          <w:iCs w:val="0"/>
          <w:sz w:val="22"/>
          <w:szCs w:val="22"/>
          <w:u w:val="none"/>
          <w:lang w:val="en-GB"/>
        </w:rPr>
        <w:t>. The development is in keeping with national and local planning policy in terms of the principle of development, amenity and highway safety, and as such should be approved with appropriate conditions.</w:t>
      </w:r>
    </w:p>
    <w:p w14:paraId="55D1B7B0">
      <w:pPr>
        <w:numPr>
          <w:ilvl w:val="0"/>
          <w:numId w:val="0"/>
        </w:numPr>
        <w:spacing w:after="0" w:line="240" w:lineRule="auto"/>
        <w:jc w:val="both"/>
        <w:rPr>
          <w:rFonts w:hint="default" w:ascii="Verdana" w:hAnsi="Verdana"/>
          <w:i w:val="0"/>
          <w:iCs w:val="0"/>
          <w:sz w:val="22"/>
          <w:szCs w:val="22"/>
          <w:u w:val="none"/>
          <w:lang w:val="en-GB"/>
        </w:rPr>
      </w:pPr>
    </w:p>
    <w:p w14:paraId="6E092DE3">
      <w:pPr>
        <w:numPr>
          <w:ilvl w:val="0"/>
          <w:numId w:val="1"/>
        </w:numPr>
        <w:spacing w:after="0" w:line="240" w:lineRule="auto"/>
        <w:ind w:left="0" w:leftChars="0" w:firstLine="0" w:firstLineChars="0"/>
        <w:jc w:val="both"/>
        <w:rPr>
          <w:rFonts w:hint="default" w:ascii="Verdana" w:hAnsi="Verdana"/>
          <w:i w:val="0"/>
          <w:iCs w:val="0"/>
          <w:sz w:val="22"/>
          <w:szCs w:val="22"/>
          <w:u w:val="none"/>
          <w:lang w:val="en-GB"/>
        </w:rPr>
      </w:pPr>
      <w:r>
        <w:rPr>
          <w:rFonts w:hint="default" w:ascii="Verdana" w:hAnsi="Verdana"/>
          <w:i w:val="0"/>
          <w:iCs w:val="0"/>
          <w:sz w:val="22"/>
          <w:szCs w:val="22"/>
          <w:u w:val="none"/>
          <w:lang w:val="en-GB"/>
        </w:rPr>
        <w:t xml:space="preserve">Please do not hesitate to get in contact with me if you require any further information or require any clarification. We look forward to hearing the outcome of this proposal. </w:t>
      </w:r>
    </w:p>
    <w:p w14:paraId="37E92F0E">
      <w:pPr>
        <w:numPr>
          <w:ilvl w:val="0"/>
          <w:numId w:val="0"/>
        </w:numPr>
        <w:spacing w:after="0" w:line="240" w:lineRule="auto"/>
        <w:jc w:val="both"/>
        <w:rPr>
          <w:rFonts w:hint="default" w:ascii="Verdana" w:hAnsi="Verdana"/>
          <w:i w:val="0"/>
          <w:iCs w:val="0"/>
          <w:sz w:val="22"/>
          <w:szCs w:val="22"/>
          <w:u w:val="none"/>
          <w:lang w:val="en-GB"/>
        </w:rPr>
      </w:pPr>
    </w:p>
    <w:p w14:paraId="2A9D4046">
      <w:pPr>
        <w:numPr>
          <w:ilvl w:val="0"/>
          <w:numId w:val="0"/>
        </w:numPr>
        <w:spacing w:after="0" w:line="240" w:lineRule="auto"/>
        <w:jc w:val="both"/>
        <w:rPr>
          <w:rFonts w:hint="default" w:ascii="Verdana" w:hAnsi="Verdana"/>
          <w:i w:val="0"/>
          <w:iCs w:val="0"/>
          <w:sz w:val="22"/>
          <w:szCs w:val="22"/>
          <w:u w:val="none"/>
          <w:lang w:val="en-GB"/>
        </w:rPr>
      </w:pPr>
    </w:p>
    <w:p w14:paraId="369F8152">
      <w:pPr>
        <w:numPr>
          <w:ilvl w:val="0"/>
          <w:numId w:val="0"/>
        </w:numPr>
        <w:spacing w:after="0" w:line="240" w:lineRule="auto"/>
        <w:jc w:val="both"/>
        <w:rPr>
          <w:rFonts w:hint="default" w:ascii="Verdana" w:hAnsi="Verdana"/>
          <w:i w:val="0"/>
          <w:iCs w:val="0"/>
          <w:sz w:val="22"/>
          <w:szCs w:val="22"/>
          <w:u w:val="none"/>
          <w:lang w:val="en-GB"/>
        </w:rPr>
      </w:pPr>
      <w:r>
        <w:rPr>
          <w:rFonts w:hint="default" w:ascii="Verdana" w:hAnsi="Verdana"/>
          <w:i w:val="0"/>
          <w:iCs w:val="0"/>
          <w:sz w:val="22"/>
          <w:szCs w:val="22"/>
          <w:u w:val="none"/>
          <w:lang w:val="en-GB"/>
        </w:rPr>
        <w:t>Kind Regards,</w:t>
      </w:r>
    </w:p>
    <w:p w14:paraId="7EC39F1F">
      <w:pPr>
        <w:numPr>
          <w:ilvl w:val="0"/>
          <w:numId w:val="0"/>
        </w:numPr>
        <w:spacing w:after="0" w:line="240" w:lineRule="auto"/>
        <w:jc w:val="both"/>
        <w:rPr>
          <w:rFonts w:hint="default" w:ascii="Verdana" w:hAnsi="Verdana"/>
          <w:i w:val="0"/>
          <w:iCs w:val="0"/>
          <w:sz w:val="22"/>
          <w:szCs w:val="22"/>
          <w:u w:val="none"/>
          <w:lang w:val="en-GB"/>
        </w:rPr>
      </w:pPr>
    </w:p>
    <w:p w14:paraId="2A0488ED">
      <w:pPr>
        <w:numPr>
          <w:ilvl w:val="0"/>
          <w:numId w:val="0"/>
        </w:numPr>
        <w:spacing w:after="0" w:line="240" w:lineRule="auto"/>
        <w:jc w:val="both"/>
        <w:rPr>
          <w:rFonts w:hint="default" w:ascii="Verdana" w:hAnsi="Verdana"/>
          <w:i w:val="0"/>
          <w:iCs w:val="0"/>
          <w:sz w:val="22"/>
          <w:szCs w:val="22"/>
          <w:u w:val="none"/>
          <w:lang w:val="en-GB"/>
        </w:rPr>
      </w:pPr>
      <w:r>
        <w:rPr>
          <w:rFonts w:hint="default" w:ascii="Verdana" w:hAnsi="Verdana"/>
          <w:i w:val="0"/>
          <w:iCs w:val="0"/>
          <w:sz w:val="22"/>
          <w:szCs w:val="22"/>
          <w:u w:val="none"/>
          <w:lang w:val="en-GB"/>
        </w:rPr>
        <w:t>James Hooper</w:t>
      </w:r>
    </w:p>
    <w:sectPr>
      <w:headerReference r:id="rId5" w:type="default"/>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CIDFont">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2BC74">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0E140E"/>
    <w:multiLevelType w:val="singleLevel"/>
    <w:tmpl w:val="990E140E"/>
    <w:lvl w:ilvl="0" w:tentative="0">
      <w:start w:val="136"/>
      <w:numFmt w:val="decimal"/>
      <w:suff w:val="space"/>
      <w:lvlText w:val="%1."/>
      <w:lvlJc w:val="left"/>
    </w:lvl>
  </w:abstractNum>
  <w:abstractNum w:abstractNumId="1">
    <w:nsid w:val="17947299"/>
    <w:multiLevelType w:val="multilevel"/>
    <w:tmpl w:val="17947299"/>
    <w:lvl w:ilvl="0" w:tentative="0">
      <w:start w:val="1"/>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2">
    <w:nsid w:val="76182709"/>
    <w:multiLevelType w:val="singleLevel"/>
    <w:tmpl w:val="76182709"/>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B127F"/>
    <w:rsid w:val="00026467"/>
    <w:rsid w:val="00041AF7"/>
    <w:rsid w:val="00477502"/>
    <w:rsid w:val="004927CA"/>
    <w:rsid w:val="00530346"/>
    <w:rsid w:val="005C0B75"/>
    <w:rsid w:val="00806464"/>
    <w:rsid w:val="00D869A7"/>
    <w:rsid w:val="015F254D"/>
    <w:rsid w:val="01AB4BCB"/>
    <w:rsid w:val="01B16AD4"/>
    <w:rsid w:val="01BA1962"/>
    <w:rsid w:val="01F22DC1"/>
    <w:rsid w:val="02257D31"/>
    <w:rsid w:val="0235778C"/>
    <w:rsid w:val="025203AD"/>
    <w:rsid w:val="02856FA3"/>
    <w:rsid w:val="02931CA0"/>
    <w:rsid w:val="02BB4F8D"/>
    <w:rsid w:val="02D7478B"/>
    <w:rsid w:val="02E24155"/>
    <w:rsid w:val="02F456F2"/>
    <w:rsid w:val="02F70A34"/>
    <w:rsid w:val="03546191"/>
    <w:rsid w:val="0356048A"/>
    <w:rsid w:val="035C7E0B"/>
    <w:rsid w:val="03602F97"/>
    <w:rsid w:val="037D5F0D"/>
    <w:rsid w:val="03DB240E"/>
    <w:rsid w:val="03E71F77"/>
    <w:rsid w:val="04AE6573"/>
    <w:rsid w:val="051A51B8"/>
    <w:rsid w:val="053E2528"/>
    <w:rsid w:val="05414E3A"/>
    <w:rsid w:val="056871F1"/>
    <w:rsid w:val="05A45750"/>
    <w:rsid w:val="05B9052D"/>
    <w:rsid w:val="0603356B"/>
    <w:rsid w:val="06256D17"/>
    <w:rsid w:val="064C52F5"/>
    <w:rsid w:val="065D710A"/>
    <w:rsid w:val="066160E9"/>
    <w:rsid w:val="068218BB"/>
    <w:rsid w:val="0690109C"/>
    <w:rsid w:val="06A81872"/>
    <w:rsid w:val="06C14C23"/>
    <w:rsid w:val="06EE69EC"/>
    <w:rsid w:val="0759347C"/>
    <w:rsid w:val="0768005E"/>
    <w:rsid w:val="077E0859"/>
    <w:rsid w:val="07D22B5B"/>
    <w:rsid w:val="07D72FBF"/>
    <w:rsid w:val="07E86EA8"/>
    <w:rsid w:val="07E95529"/>
    <w:rsid w:val="083060FE"/>
    <w:rsid w:val="08687D1B"/>
    <w:rsid w:val="0873206B"/>
    <w:rsid w:val="08AC01B2"/>
    <w:rsid w:val="08B56959"/>
    <w:rsid w:val="0904195A"/>
    <w:rsid w:val="09067F2D"/>
    <w:rsid w:val="095B40EC"/>
    <w:rsid w:val="0966617B"/>
    <w:rsid w:val="09756C09"/>
    <w:rsid w:val="098B5F5E"/>
    <w:rsid w:val="09B07E99"/>
    <w:rsid w:val="09B44918"/>
    <w:rsid w:val="0A01485D"/>
    <w:rsid w:val="0A0F4BBF"/>
    <w:rsid w:val="0A6D48BF"/>
    <w:rsid w:val="0A79028B"/>
    <w:rsid w:val="0A9755D2"/>
    <w:rsid w:val="0A9D03F6"/>
    <w:rsid w:val="0ABB3229"/>
    <w:rsid w:val="0AE54F60"/>
    <w:rsid w:val="0B516CFE"/>
    <w:rsid w:val="0B66458C"/>
    <w:rsid w:val="0B6C732F"/>
    <w:rsid w:val="0B78105E"/>
    <w:rsid w:val="0B884C29"/>
    <w:rsid w:val="0B8D2240"/>
    <w:rsid w:val="0B9656A9"/>
    <w:rsid w:val="0C13206C"/>
    <w:rsid w:val="0C2A3D99"/>
    <w:rsid w:val="0C362716"/>
    <w:rsid w:val="0C3C77C2"/>
    <w:rsid w:val="0C514DDC"/>
    <w:rsid w:val="0C7E5D73"/>
    <w:rsid w:val="0CA84FD3"/>
    <w:rsid w:val="0CAD7BAE"/>
    <w:rsid w:val="0CB70E34"/>
    <w:rsid w:val="0CD32B4F"/>
    <w:rsid w:val="0D0578EB"/>
    <w:rsid w:val="0D222E5C"/>
    <w:rsid w:val="0D2A3ABE"/>
    <w:rsid w:val="0D4A6D5B"/>
    <w:rsid w:val="0D800D49"/>
    <w:rsid w:val="0D8B0A01"/>
    <w:rsid w:val="0DB61081"/>
    <w:rsid w:val="0DC40684"/>
    <w:rsid w:val="0DD83A3B"/>
    <w:rsid w:val="0E283955"/>
    <w:rsid w:val="0E39220B"/>
    <w:rsid w:val="0E611762"/>
    <w:rsid w:val="0E7C0D4C"/>
    <w:rsid w:val="0E8D60ED"/>
    <w:rsid w:val="0EA53D44"/>
    <w:rsid w:val="0ECE4958"/>
    <w:rsid w:val="0EEE740C"/>
    <w:rsid w:val="0F5F3EF3"/>
    <w:rsid w:val="0F752A09"/>
    <w:rsid w:val="0F974963"/>
    <w:rsid w:val="0FB576D6"/>
    <w:rsid w:val="0FC306E9"/>
    <w:rsid w:val="0FC31DE2"/>
    <w:rsid w:val="1003315D"/>
    <w:rsid w:val="10604199"/>
    <w:rsid w:val="107F2121"/>
    <w:rsid w:val="10AB4F16"/>
    <w:rsid w:val="10DA6F40"/>
    <w:rsid w:val="10F90765"/>
    <w:rsid w:val="11B36778"/>
    <w:rsid w:val="11CB0ABE"/>
    <w:rsid w:val="11E43BE6"/>
    <w:rsid w:val="11EB008E"/>
    <w:rsid w:val="122968D9"/>
    <w:rsid w:val="12437AFC"/>
    <w:rsid w:val="12587A62"/>
    <w:rsid w:val="12A50573"/>
    <w:rsid w:val="12E9198D"/>
    <w:rsid w:val="12EB204B"/>
    <w:rsid w:val="12F92BFB"/>
    <w:rsid w:val="131B140D"/>
    <w:rsid w:val="13286F44"/>
    <w:rsid w:val="132C3B96"/>
    <w:rsid w:val="133B07D3"/>
    <w:rsid w:val="134C0C32"/>
    <w:rsid w:val="137C6039"/>
    <w:rsid w:val="13B67364"/>
    <w:rsid w:val="13D03791"/>
    <w:rsid w:val="14286551"/>
    <w:rsid w:val="142F4DF3"/>
    <w:rsid w:val="143B4078"/>
    <w:rsid w:val="14494355"/>
    <w:rsid w:val="148B7538"/>
    <w:rsid w:val="14CD2CB9"/>
    <w:rsid w:val="14EF133B"/>
    <w:rsid w:val="14F55AF2"/>
    <w:rsid w:val="150316CD"/>
    <w:rsid w:val="15506DE8"/>
    <w:rsid w:val="15934D94"/>
    <w:rsid w:val="15977F8D"/>
    <w:rsid w:val="15E46F00"/>
    <w:rsid w:val="15ED0557"/>
    <w:rsid w:val="160B1EEC"/>
    <w:rsid w:val="160D5900"/>
    <w:rsid w:val="165A53BA"/>
    <w:rsid w:val="165D7773"/>
    <w:rsid w:val="169B4EC7"/>
    <w:rsid w:val="16CF506D"/>
    <w:rsid w:val="16E06B97"/>
    <w:rsid w:val="17326754"/>
    <w:rsid w:val="1741697B"/>
    <w:rsid w:val="17714A92"/>
    <w:rsid w:val="17A6586C"/>
    <w:rsid w:val="17EB3AE0"/>
    <w:rsid w:val="1844637C"/>
    <w:rsid w:val="185479C9"/>
    <w:rsid w:val="18700F1F"/>
    <w:rsid w:val="187B08B7"/>
    <w:rsid w:val="18955410"/>
    <w:rsid w:val="18C96438"/>
    <w:rsid w:val="18DD2376"/>
    <w:rsid w:val="18F6523A"/>
    <w:rsid w:val="19191C06"/>
    <w:rsid w:val="193F659B"/>
    <w:rsid w:val="197F0DB4"/>
    <w:rsid w:val="1990114D"/>
    <w:rsid w:val="19D51DED"/>
    <w:rsid w:val="19D67FA7"/>
    <w:rsid w:val="19E34A47"/>
    <w:rsid w:val="19FE5475"/>
    <w:rsid w:val="1A5420B8"/>
    <w:rsid w:val="1A566EC3"/>
    <w:rsid w:val="1A57655A"/>
    <w:rsid w:val="1ABA3499"/>
    <w:rsid w:val="1ABF31AA"/>
    <w:rsid w:val="1ACD2B0A"/>
    <w:rsid w:val="1AED3948"/>
    <w:rsid w:val="1AFD002C"/>
    <w:rsid w:val="1B6E688B"/>
    <w:rsid w:val="1B7C6CA6"/>
    <w:rsid w:val="1B886B5D"/>
    <w:rsid w:val="1B9063B3"/>
    <w:rsid w:val="1BAE3446"/>
    <w:rsid w:val="1BBD2F92"/>
    <w:rsid w:val="1BF8257A"/>
    <w:rsid w:val="1C0E1A98"/>
    <w:rsid w:val="1C1153B4"/>
    <w:rsid w:val="1C5C07D3"/>
    <w:rsid w:val="1C7163F4"/>
    <w:rsid w:val="1CDB58A1"/>
    <w:rsid w:val="1D0933E3"/>
    <w:rsid w:val="1D353F9D"/>
    <w:rsid w:val="1D3A548A"/>
    <w:rsid w:val="1D4C2D82"/>
    <w:rsid w:val="1DB22149"/>
    <w:rsid w:val="1DC26B60"/>
    <w:rsid w:val="1DF030D7"/>
    <w:rsid w:val="1DFD648D"/>
    <w:rsid w:val="1E124EDD"/>
    <w:rsid w:val="1E2E20E9"/>
    <w:rsid w:val="1E522E75"/>
    <w:rsid w:val="1E953657"/>
    <w:rsid w:val="1EAE0C12"/>
    <w:rsid w:val="1EDE29B0"/>
    <w:rsid w:val="1EFC55E3"/>
    <w:rsid w:val="1F093327"/>
    <w:rsid w:val="1F3F2BD4"/>
    <w:rsid w:val="1F511C5D"/>
    <w:rsid w:val="1F833C2E"/>
    <w:rsid w:val="20072192"/>
    <w:rsid w:val="2009271B"/>
    <w:rsid w:val="20370574"/>
    <w:rsid w:val="20C81854"/>
    <w:rsid w:val="20D42C6A"/>
    <w:rsid w:val="21773A27"/>
    <w:rsid w:val="21D62EC3"/>
    <w:rsid w:val="21DD1B0D"/>
    <w:rsid w:val="21E156F0"/>
    <w:rsid w:val="222B4109"/>
    <w:rsid w:val="22602004"/>
    <w:rsid w:val="226A69DF"/>
    <w:rsid w:val="22970A09"/>
    <w:rsid w:val="234A05BF"/>
    <w:rsid w:val="23582CF8"/>
    <w:rsid w:val="237644FD"/>
    <w:rsid w:val="239716B9"/>
    <w:rsid w:val="23CC50D9"/>
    <w:rsid w:val="23CC75AB"/>
    <w:rsid w:val="23E67AE2"/>
    <w:rsid w:val="245B49CA"/>
    <w:rsid w:val="247D1BCB"/>
    <w:rsid w:val="248211B5"/>
    <w:rsid w:val="249F0722"/>
    <w:rsid w:val="24BA341D"/>
    <w:rsid w:val="24EC2D9F"/>
    <w:rsid w:val="25081B52"/>
    <w:rsid w:val="2509234F"/>
    <w:rsid w:val="251164F1"/>
    <w:rsid w:val="25755282"/>
    <w:rsid w:val="25DC7BF4"/>
    <w:rsid w:val="25E20417"/>
    <w:rsid w:val="25E60A73"/>
    <w:rsid w:val="26143832"/>
    <w:rsid w:val="26555679"/>
    <w:rsid w:val="265E7BA5"/>
    <w:rsid w:val="26951178"/>
    <w:rsid w:val="26B75F6B"/>
    <w:rsid w:val="26CE68CF"/>
    <w:rsid w:val="26E563DD"/>
    <w:rsid w:val="26E76E1D"/>
    <w:rsid w:val="2704210E"/>
    <w:rsid w:val="27103F3A"/>
    <w:rsid w:val="271A7CC3"/>
    <w:rsid w:val="274A5B29"/>
    <w:rsid w:val="288338DE"/>
    <w:rsid w:val="28C529D0"/>
    <w:rsid w:val="28C97200"/>
    <w:rsid w:val="28EF7AB7"/>
    <w:rsid w:val="294A10CA"/>
    <w:rsid w:val="29710C59"/>
    <w:rsid w:val="29832529"/>
    <w:rsid w:val="29A36205"/>
    <w:rsid w:val="29B33362"/>
    <w:rsid w:val="29B6683D"/>
    <w:rsid w:val="2A043BBD"/>
    <w:rsid w:val="2A9071FF"/>
    <w:rsid w:val="2AD71B56"/>
    <w:rsid w:val="2ADF099D"/>
    <w:rsid w:val="2B524D23"/>
    <w:rsid w:val="2BC253F9"/>
    <w:rsid w:val="2BE1588C"/>
    <w:rsid w:val="2C414C55"/>
    <w:rsid w:val="2C742884"/>
    <w:rsid w:val="2C7C7C88"/>
    <w:rsid w:val="2C872D3A"/>
    <w:rsid w:val="2C970FDD"/>
    <w:rsid w:val="2CC777B1"/>
    <w:rsid w:val="2CEC6C61"/>
    <w:rsid w:val="2D2B45A9"/>
    <w:rsid w:val="2D310B09"/>
    <w:rsid w:val="2D947006"/>
    <w:rsid w:val="2D994BDD"/>
    <w:rsid w:val="2DB30B2D"/>
    <w:rsid w:val="2DE71927"/>
    <w:rsid w:val="2E020414"/>
    <w:rsid w:val="2E114AFB"/>
    <w:rsid w:val="2E513742"/>
    <w:rsid w:val="2E7B51CF"/>
    <w:rsid w:val="2EBE0CC6"/>
    <w:rsid w:val="2EDD3F6F"/>
    <w:rsid w:val="2EF0783F"/>
    <w:rsid w:val="2F0672B1"/>
    <w:rsid w:val="2F8233A7"/>
    <w:rsid w:val="2F96119F"/>
    <w:rsid w:val="2FB67A39"/>
    <w:rsid w:val="2FE222AB"/>
    <w:rsid w:val="300B575E"/>
    <w:rsid w:val="30113773"/>
    <w:rsid w:val="30636CBF"/>
    <w:rsid w:val="30707384"/>
    <w:rsid w:val="307A6947"/>
    <w:rsid w:val="30AD4C2C"/>
    <w:rsid w:val="30D4383A"/>
    <w:rsid w:val="30F60A01"/>
    <w:rsid w:val="310A0E84"/>
    <w:rsid w:val="31175E18"/>
    <w:rsid w:val="311F74EF"/>
    <w:rsid w:val="31513DAC"/>
    <w:rsid w:val="3153318E"/>
    <w:rsid w:val="315F16D9"/>
    <w:rsid w:val="31A83080"/>
    <w:rsid w:val="31DF66AE"/>
    <w:rsid w:val="321B1AA4"/>
    <w:rsid w:val="326C5661"/>
    <w:rsid w:val="32843C6C"/>
    <w:rsid w:val="32C722DC"/>
    <w:rsid w:val="32C750C2"/>
    <w:rsid w:val="32D30E25"/>
    <w:rsid w:val="32E20CE5"/>
    <w:rsid w:val="331039D5"/>
    <w:rsid w:val="33A773CB"/>
    <w:rsid w:val="33C40EFA"/>
    <w:rsid w:val="340A0D53"/>
    <w:rsid w:val="346C7CD4"/>
    <w:rsid w:val="34732AAD"/>
    <w:rsid w:val="34850B7A"/>
    <w:rsid w:val="348B2EC1"/>
    <w:rsid w:val="3494536C"/>
    <w:rsid w:val="3499149E"/>
    <w:rsid w:val="34C51DA1"/>
    <w:rsid w:val="34CC0678"/>
    <w:rsid w:val="357455F1"/>
    <w:rsid w:val="35C9034A"/>
    <w:rsid w:val="36177488"/>
    <w:rsid w:val="362601B4"/>
    <w:rsid w:val="36374E2D"/>
    <w:rsid w:val="369B1405"/>
    <w:rsid w:val="36AC306F"/>
    <w:rsid w:val="36DA7A71"/>
    <w:rsid w:val="36E05914"/>
    <w:rsid w:val="36E43B49"/>
    <w:rsid w:val="36E52680"/>
    <w:rsid w:val="36EC0BA9"/>
    <w:rsid w:val="37023232"/>
    <w:rsid w:val="37117919"/>
    <w:rsid w:val="37227A94"/>
    <w:rsid w:val="37310C5C"/>
    <w:rsid w:val="375F5804"/>
    <w:rsid w:val="377A4CB3"/>
    <w:rsid w:val="37AB158A"/>
    <w:rsid w:val="38003C16"/>
    <w:rsid w:val="3815524A"/>
    <w:rsid w:val="388115BA"/>
    <w:rsid w:val="389D7655"/>
    <w:rsid w:val="38D97DED"/>
    <w:rsid w:val="38F968FC"/>
    <w:rsid w:val="39093B67"/>
    <w:rsid w:val="392B54D9"/>
    <w:rsid w:val="395B127F"/>
    <w:rsid w:val="39B438B7"/>
    <w:rsid w:val="39C24C53"/>
    <w:rsid w:val="3A130856"/>
    <w:rsid w:val="3A4D68B5"/>
    <w:rsid w:val="3A5B5BCB"/>
    <w:rsid w:val="3A6127E8"/>
    <w:rsid w:val="3A633617"/>
    <w:rsid w:val="3AAE78B6"/>
    <w:rsid w:val="3AB210B6"/>
    <w:rsid w:val="3ADD683C"/>
    <w:rsid w:val="3AF7778E"/>
    <w:rsid w:val="3B0B3AC8"/>
    <w:rsid w:val="3B0C0B24"/>
    <w:rsid w:val="3B273268"/>
    <w:rsid w:val="3B847D46"/>
    <w:rsid w:val="3BA16D0B"/>
    <w:rsid w:val="3BC4735F"/>
    <w:rsid w:val="3C1B76D7"/>
    <w:rsid w:val="3C3E7065"/>
    <w:rsid w:val="3C4569F0"/>
    <w:rsid w:val="3C744115"/>
    <w:rsid w:val="3C985175"/>
    <w:rsid w:val="3CB207B0"/>
    <w:rsid w:val="3CE57ADB"/>
    <w:rsid w:val="3D073351"/>
    <w:rsid w:val="3D4C54F7"/>
    <w:rsid w:val="3DAD4CBD"/>
    <w:rsid w:val="3DC32E1A"/>
    <w:rsid w:val="3DE47B36"/>
    <w:rsid w:val="3DF42A74"/>
    <w:rsid w:val="3E496AC3"/>
    <w:rsid w:val="3E67796F"/>
    <w:rsid w:val="3E7423CA"/>
    <w:rsid w:val="3EC52126"/>
    <w:rsid w:val="3EE020AB"/>
    <w:rsid w:val="3EFE53BA"/>
    <w:rsid w:val="3F132292"/>
    <w:rsid w:val="3F197DE0"/>
    <w:rsid w:val="3F1E7077"/>
    <w:rsid w:val="3F36616F"/>
    <w:rsid w:val="3F877898"/>
    <w:rsid w:val="3F892743"/>
    <w:rsid w:val="3F980BD8"/>
    <w:rsid w:val="402C1320"/>
    <w:rsid w:val="40775A02"/>
    <w:rsid w:val="409A6040"/>
    <w:rsid w:val="40A11451"/>
    <w:rsid w:val="40A67BE2"/>
    <w:rsid w:val="40EA7F80"/>
    <w:rsid w:val="40FC0CF2"/>
    <w:rsid w:val="4104457C"/>
    <w:rsid w:val="41402E36"/>
    <w:rsid w:val="415C66C8"/>
    <w:rsid w:val="418807D8"/>
    <w:rsid w:val="418B392F"/>
    <w:rsid w:val="41AA4BF2"/>
    <w:rsid w:val="41BB7D66"/>
    <w:rsid w:val="41BE308D"/>
    <w:rsid w:val="41C223A4"/>
    <w:rsid w:val="422F6EA6"/>
    <w:rsid w:val="4259268B"/>
    <w:rsid w:val="425F4FF1"/>
    <w:rsid w:val="426104F4"/>
    <w:rsid w:val="42643413"/>
    <w:rsid w:val="42D42A31"/>
    <w:rsid w:val="431247FD"/>
    <w:rsid w:val="43335E29"/>
    <w:rsid w:val="43507DFC"/>
    <w:rsid w:val="435F1404"/>
    <w:rsid w:val="438E56E3"/>
    <w:rsid w:val="439B366C"/>
    <w:rsid w:val="439E79B7"/>
    <w:rsid w:val="43B636D9"/>
    <w:rsid w:val="43BB6299"/>
    <w:rsid w:val="43CA52A7"/>
    <w:rsid w:val="43D85A47"/>
    <w:rsid w:val="43E11D0D"/>
    <w:rsid w:val="441E266D"/>
    <w:rsid w:val="441F0B81"/>
    <w:rsid w:val="447D6881"/>
    <w:rsid w:val="44BD4C3D"/>
    <w:rsid w:val="44C925A2"/>
    <w:rsid w:val="44CB3749"/>
    <w:rsid w:val="44F113EF"/>
    <w:rsid w:val="451900C5"/>
    <w:rsid w:val="451D1671"/>
    <w:rsid w:val="45357383"/>
    <w:rsid w:val="457E617A"/>
    <w:rsid w:val="45E32270"/>
    <w:rsid w:val="45FC3821"/>
    <w:rsid w:val="46073FD8"/>
    <w:rsid w:val="46406150"/>
    <w:rsid w:val="46753923"/>
    <w:rsid w:val="46AA4518"/>
    <w:rsid w:val="46DB343F"/>
    <w:rsid w:val="46E41A3E"/>
    <w:rsid w:val="4700508A"/>
    <w:rsid w:val="47153338"/>
    <w:rsid w:val="476B4739"/>
    <w:rsid w:val="47752CC0"/>
    <w:rsid w:val="47A5361A"/>
    <w:rsid w:val="48431037"/>
    <w:rsid w:val="486024AF"/>
    <w:rsid w:val="486E7226"/>
    <w:rsid w:val="4880031E"/>
    <w:rsid w:val="488A6D8F"/>
    <w:rsid w:val="48944C66"/>
    <w:rsid w:val="489D5A1C"/>
    <w:rsid w:val="48AA6AB7"/>
    <w:rsid w:val="48F54AE7"/>
    <w:rsid w:val="49693E74"/>
    <w:rsid w:val="498F05A1"/>
    <w:rsid w:val="49CD38B4"/>
    <w:rsid w:val="4A007F5F"/>
    <w:rsid w:val="4A1649E3"/>
    <w:rsid w:val="4A631591"/>
    <w:rsid w:val="4A7D2EA4"/>
    <w:rsid w:val="4A8A7108"/>
    <w:rsid w:val="4A9D4FE6"/>
    <w:rsid w:val="4ABF4015"/>
    <w:rsid w:val="4AEF4DE6"/>
    <w:rsid w:val="4B2C3442"/>
    <w:rsid w:val="4BE77467"/>
    <w:rsid w:val="4BEF0D9E"/>
    <w:rsid w:val="4C0B5CC0"/>
    <w:rsid w:val="4C1635B0"/>
    <w:rsid w:val="4C2630C7"/>
    <w:rsid w:val="4C2A1804"/>
    <w:rsid w:val="4C2E4987"/>
    <w:rsid w:val="4C483A0F"/>
    <w:rsid w:val="4CA414F7"/>
    <w:rsid w:val="4CB229E2"/>
    <w:rsid w:val="4D2A71A9"/>
    <w:rsid w:val="4D440A6D"/>
    <w:rsid w:val="4D6F4DCB"/>
    <w:rsid w:val="4D8C1650"/>
    <w:rsid w:val="4D95779C"/>
    <w:rsid w:val="4DA93FB0"/>
    <w:rsid w:val="4DF3347D"/>
    <w:rsid w:val="4E167299"/>
    <w:rsid w:val="4E320449"/>
    <w:rsid w:val="4E633104"/>
    <w:rsid w:val="4E6A1D33"/>
    <w:rsid w:val="4E7D0D54"/>
    <w:rsid w:val="4EA47A73"/>
    <w:rsid w:val="4F0B6BB4"/>
    <w:rsid w:val="4F0D6D60"/>
    <w:rsid w:val="4F165675"/>
    <w:rsid w:val="4F166B20"/>
    <w:rsid w:val="4F8B6063"/>
    <w:rsid w:val="4F950BF1"/>
    <w:rsid w:val="4F9C1298"/>
    <w:rsid w:val="4FF00C36"/>
    <w:rsid w:val="4FF95CC2"/>
    <w:rsid w:val="501408D0"/>
    <w:rsid w:val="501A6F39"/>
    <w:rsid w:val="50597DB0"/>
    <w:rsid w:val="507037AC"/>
    <w:rsid w:val="509A4341"/>
    <w:rsid w:val="509B00A7"/>
    <w:rsid w:val="50EF74D3"/>
    <w:rsid w:val="51183F1B"/>
    <w:rsid w:val="511D708A"/>
    <w:rsid w:val="515B3813"/>
    <w:rsid w:val="51776B62"/>
    <w:rsid w:val="51B11685"/>
    <w:rsid w:val="51B56868"/>
    <w:rsid w:val="51F43319"/>
    <w:rsid w:val="524E3F98"/>
    <w:rsid w:val="525C2E96"/>
    <w:rsid w:val="527A416D"/>
    <w:rsid w:val="527E5A0B"/>
    <w:rsid w:val="52F61E27"/>
    <w:rsid w:val="53080874"/>
    <w:rsid w:val="53BB08EB"/>
    <w:rsid w:val="53DE53A4"/>
    <w:rsid w:val="53FA74D7"/>
    <w:rsid w:val="54442DCE"/>
    <w:rsid w:val="549746CB"/>
    <w:rsid w:val="54D41B8E"/>
    <w:rsid w:val="54E35FFA"/>
    <w:rsid w:val="55024486"/>
    <w:rsid w:val="551E58BA"/>
    <w:rsid w:val="553C7AE3"/>
    <w:rsid w:val="55425416"/>
    <w:rsid w:val="55537708"/>
    <w:rsid w:val="555831C2"/>
    <w:rsid w:val="558E406A"/>
    <w:rsid w:val="559317C9"/>
    <w:rsid w:val="55B36828"/>
    <w:rsid w:val="5606767B"/>
    <w:rsid w:val="56665134"/>
    <w:rsid w:val="567A311B"/>
    <w:rsid w:val="56943056"/>
    <w:rsid w:val="56E5518C"/>
    <w:rsid w:val="56F50139"/>
    <w:rsid w:val="577353DE"/>
    <w:rsid w:val="57CF7334"/>
    <w:rsid w:val="57DF7C5F"/>
    <w:rsid w:val="587C56A4"/>
    <w:rsid w:val="58A14A23"/>
    <w:rsid w:val="58CA65EB"/>
    <w:rsid w:val="58D04AE7"/>
    <w:rsid w:val="58FB6BAD"/>
    <w:rsid w:val="59280156"/>
    <w:rsid w:val="59FB5B93"/>
    <w:rsid w:val="5A077595"/>
    <w:rsid w:val="5A096F2D"/>
    <w:rsid w:val="5A2B08A4"/>
    <w:rsid w:val="5A69419E"/>
    <w:rsid w:val="5A7D51F7"/>
    <w:rsid w:val="5AAB5574"/>
    <w:rsid w:val="5AF36B6C"/>
    <w:rsid w:val="5B1E180D"/>
    <w:rsid w:val="5B514710"/>
    <w:rsid w:val="5B8930BB"/>
    <w:rsid w:val="5BC62F1F"/>
    <w:rsid w:val="5BE26FCC"/>
    <w:rsid w:val="5BFF729B"/>
    <w:rsid w:val="5C0614AF"/>
    <w:rsid w:val="5C335AB8"/>
    <w:rsid w:val="5C3C2E77"/>
    <w:rsid w:val="5C3E294A"/>
    <w:rsid w:val="5C730D98"/>
    <w:rsid w:val="5C9C7EB7"/>
    <w:rsid w:val="5CBB4EEE"/>
    <w:rsid w:val="5CDE382C"/>
    <w:rsid w:val="5CE72617"/>
    <w:rsid w:val="5CEB22B6"/>
    <w:rsid w:val="5CF01DF5"/>
    <w:rsid w:val="5D6E1FD6"/>
    <w:rsid w:val="5DA92562"/>
    <w:rsid w:val="5DD2630F"/>
    <w:rsid w:val="5DDD2180"/>
    <w:rsid w:val="5E2D6537"/>
    <w:rsid w:val="5E6852D0"/>
    <w:rsid w:val="5EA15379"/>
    <w:rsid w:val="5F154A4C"/>
    <w:rsid w:val="5F276DA9"/>
    <w:rsid w:val="5F773F0E"/>
    <w:rsid w:val="5F780590"/>
    <w:rsid w:val="5FB95401"/>
    <w:rsid w:val="5FB95D8B"/>
    <w:rsid w:val="5FDC55D3"/>
    <w:rsid w:val="60A42E1E"/>
    <w:rsid w:val="60A46FF9"/>
    <w:rsid w:val="60B22133"/>
    <w:rsid w:val="60C3137E"/>
    <w:rsid w:val="60DE56B7"/>
    <w:rsid w:val="611A2A5C"/>
    <w:rsid w:val="613C70BF"/>
    <w:rsid w:val="61782DF6"/>
    <w:rsid w:val="61916053"/>
    <w:rsid w:val="6198016C"/>
    <w:rsid w:val="61D830AB"/>
    <w:rsid w:val="61FF25A6"/>
    <w:rsid w:val="625A0A2C"/>
    <w:rsid w:val="62802F28"/>
    <w:rsid w:val="62A03956"/>
    <w:rsid w:val="62C4089A"/>
    <w:rsid w:val="62E27955"/>
    <w:rsid w:val="62E47B0C"/>
    <w:rsid w:val="62EE6294"/>
    <w:rsid w:val="63097573"/>
    <w:rsid w:val="630E3B88"/>
    <w:rsid w:val="63193D8E"/>
    <w:rsid w:val="645032BF"/>
    <w:rsid w:val="649C5F21"/>
    <w:rsid w:val="64F4317B"/>
    <w:rsid w:val="65046BCA"/>
    <w:rsid w:val="65717652"/>
    <w:rsid w:val="658F2F2B"/>
    <w:rsid w:val="65942C36"/>
    <w:rsid w:val="65E21236"/>
    <w:rsid w:val="66763CBF"/>
    <w:rsid w:val="66811B16"/>
    <w:rsid w:val="669D5667"/>
    <w:rsid w:val="672E5040"/>
    <w:rsid w:val="673A42E7"/>
    <w:rsid w:val="677D2756"/>
    <w:rsid w:val="67BC5BFF"/>
    <w:rsid w:val="6819272C"/>
    <w:rsid w:val="6838670D"/>
    <w:rsid w:val="68571834"/>
    <w:rsid w:val="68853F21"/>
    <w:rsid w:val="688D3FC3"/>
    <w:rsid w:val="68993C38"/>
    <w:rsid w:val="68A9310D"/>
    <w:rsid w:val="68CC6EDB"/>
    <w:rsid w:val="68D83F4F"/>
    <w:rsid w:val="68DE0B5A"/>
    <w:rsid w:val="68E63EB3"/>
    <w:rsid w:val="68FC644B"/>
    <w:rsid w:val="692D697F"/>
    <w:rsid w:val="694F2375"/>
    <w:rsid w:val="69717C20"/>
    <w:rsid w:val="697B2927"/>
    <w:rsid w:val="698067CB"/>
    <w:rsid w:val="69A26482"/>
    <w:rsid w:val="69C2060B"/>
    <w:rsid w:val="69C46485"/>
    <w:rsid w:val="69DA3C5F"/>
    <w:rsid w:val="69FB3DEF"/>
    <w:rsid w:val="6A0B4089"/>
    <w:rsid w:val="6AB54047"/>
    <w:rsid w:val="6B184C52"/>
    <w:rsid w:val="6B2D7B77"/>
    <w:rsid w:val="6B426304"/>
    <w:rsid w:val="6B652076"/>
    <w:rsid w:val="6B7340E6"/>
    <w:rsid w:val="6B9E5223"/>
    <w:rsid w:val="6BCE07B8"/>
    <w:rsid w:val="6C0905E4"/>
    <w:rsid w:val="6C281BF9"/>
    <w:rsid w:val="6C2A49C0"/>
    <w:rsid w:val="6C3007D4"/>
    <w:rsid w:val="6C874A3B"/>
    <w:rsid w:val="6D167504"/>
    <w:rsid w:val="6D2711FF"/>
    <w:rsid w:val="6D33103F"/>
    <w:rsid w:val="6D7C272C"/>
    <w:rsid w:val="6D82260A"/>
    <w:rsid w:val="6D8A1C8D"/>
    <w:rsid w:val="6D9A4301"/>
    <w:rsid w:val="6DD003C3"/>
    <w:rsid w:val="6E540211"/>
    <w:rsid w:val="6E755ABD"/>
    <w:rsid w:val="6E8F6F59"/>
    <w:rsid w:val="6F085C0E"/>
    <w:rsid w:val="6F21234C"/>
    <w:rsid w:val="6F4008FB"/>
    <w:rsid w:val="6FA97229"/>
    <w:rsid w:val="70230F6F"/>
    <w:rsid w:val="702B4594"/>
    <w:rsid w:val="70A95AA7"/>
    <w:rsid w:val="70BD42B4"/>
    <w:rsid w:val="70C3128F"/>
    <w:rsid w:val="70FD1A16"/>
    <w:rsid w:val="71045053"/>
    <w:rsid w:val="71127B7A"/>
    <w:rsid w:val="715D79E9"/>
    <w:rsid w:val="71637B14"/>
    <w:rsid w:val="718844D0"/>
    <w:rsid w:val="71B02B45"/>
    <w:rsid w:val="71C54FAD"/>
    <w:rsid w:val="71DA0A57"/>
    <w:rsid w:val="71EF202A"/>
    <w:rsid w:val="71F94DA8"/>
    <w:rsid w:val="728B1D53"/>
    <w:rsid w:val="728D7CF9"/>
    <w:rsid w:val="72AF14FA"/>
    <w:rsid w:val="73050544"/>
    <w:rsid w:val="73761AFD"/>
    <w:rsid w:val="73CC6C88"/>
    <w:rsid w:val="73DC2DCE"/>
    <w:rsid w:val="74861898"/>
    <w:rsid w:val="74A2126A"/>
    <w:rsid w:val="74A94C32"/>
    <w:rsid w:val="74B9649C"/>
    <w:rsid w:val="74C1030C"/>
    <w:rsid w:val="752913AF"/>
    <w:rsid w:val="75487861"/>
    <w:rsid w:val="75660B34"/>
    <w:rsid w:val="7583406D"/>
    <w:rsid w:val="76047BAD"/>
    <w:rsid w:val="764C557E"/>
    <w:rsid w:val="765C05BD"/>
    <w:rsid w:val="765D3A06"/>
    <w:rsid w:val="768216BE"/>
    <w:rsid w:val="76BF646F"/>
    <w:rsid w:val="76C86481"/>
    <w:rsid w:val="776719F2"/>
    <w:rsid w:val="77693EE1"/>
    <w:rsid w:val="77731088"/>
    <w:rsid w:val="77766CAF"/>
    <w:rsid w:val="77C37CBD"/>
    <w:rsid w:val="781A76D5"/>
    <w:rsid w:val="782D7408"/>
    <w:rsid w:val="785E1CB7"/>
    <w:rsid w:val="78666033"/>
    <w:rsid w:val="78F22844"/>
    <w:rsid w:val="79017226"/>
    <w:rsid w:val="7909541A"/>
    <w:rsid w:val="791F060B"/>
    <w:rsid w:val="791F0DCC"/>
    <w:rsid w:val="792457E3"/>
    <w:rsid w:val="792B603A"/>
    <w:rsid w:val="79313756"/>
    <w:rsid w:val="79954710"/>
    <w:rsid w:val="79A04344"/>
    <w:rsid w:val="79B17BC5"/>
    <w:rsid w:val="79ED32BB"/>
    <w:rsid w:val="7A042367"/>
    <w:rsid w:val="7A2938BC"/>
    <w:rsid w:val="7A342E0A"/>
    <w:rsid w:val="7A534527"/>
    <w:rsid w:val="7AFA7350"/>
    <w:rsid w:val="7B494559"/>
    <w:rsid w:val="7B4D1359"/>
    <w:rsid w:val="7B4E59E9"/>
    <w:rsid w:val="7B635422"/>
    <w:rsid w:val="7BAE696C"/>
    <w:rsid w:val="7C043085"/>
    <w:rsid w:val="7C662EE9"/>
    <w:rsid w:val="7C87531C"/>
    <w:rsid w:val="7C9308A0"/>
    <w:rsid w:val="7CF36423"/>
    <w:rsid w:val="7D160888"/>
    <w:rsid w:val="7D181617"/>
    <w:rsid w:val="7D7814F9"/>
    <w:rsid w:val="7DAE5640"/>
    <w:rsid w:val="7DAF30C1"/>
    <w:rsid w:val="7DB46307"/>
    <w:rsid w:val="7DB704CD"/>
    <w:rsid w:val="7DE50961"/>
    <w:rsid w:val="7E2C19FD"/>
    <w:rsid w:val="7E6C3ECF"/>
    <w:rsid w:val="7EDB003E"/>
    <w:rsid w:val="7F132988"/>
    <w:rsid w:val="7F64384B"/>
    <w:rsid w:val="7F7160D4"/>
    <w:rsid w:val="7FD75F49"/>
    <w:rsid w:val="7FD91C23"/>
    <w:rsid w:val="7FE37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 w:type="paragraph" w:styleId="6">
    <w:name w:val="No Spacing"/>
    <w:qFormat/>
    <w:uiPriority w:val="1"/>
    <w:pPr>
      <w:spacing w:after="0" w:line="240" w:lineRule="auto"/>
    </w:pPr>
    <w:rPr>
      <w:rFonts w:asciiTheme="minorHAnsi" w:hAnsiTheme="minorHAnsi" w:eastAsiaTheme="minorEastAsia" w:cstheme="minorBidi"/>
      <w:sz w:val="22"/>
      <w:szCs w:val="22"/>
      <w:lang w:val="en-GB" w:eastAsia="en-GB"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microsoft.com/office/2007/relationships/hdphoto" Target="media/image2.wdp"/><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1051</Words>
  <Characters>5928</Characters>
  <Lines>0</Lines>
  <Paragraphs>0</Paragraphs>
  <TotalTime>33</TotalTime>
  <ScaleCrop>false</ScaleCrop>
  <LinksUpToDate>false</LinksUpToDate>
  <CharactersWithSpaces>6962</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2022-08-09T14:17:00Z</dcterms:created>
  <dc:creator>Sam</dc:creator>
  <cp:lastModifiedBy>WPS_1670938979</cp:lastModifiedBy>
  <cp:lastPrinted>2023-09-27T14:57:00Z</cp:lastPrinted>
  <dcterms:modified xsi:type="dcterms:W3CDTF">2026-04-29T10:30:48Z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50F7D8121AC24D2B9C3973A64E4E580C</vt:lpwstr>
  </property>
  <property fmtid="{D5CDD505-2E9C-101B-9397-08002B2CF9AE}" pid="4" name="KSOTemplateDocerSaveRecord">
    <vt:lpwstr>eyJoZGlkIjoiOTM0MzY0NGE2MzA5NDU1MTE5ZWMzNmNhMzc2YWNkZTgiLCJ1c2VySWQiOiIzODY1ODcyNzgyOTEyIn0=</vt:lpwstr>
  </property>
</Properties>
</file>