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5DD65"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34EB4468" w14:textId="77777777"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40AC2605"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4EF52C32" w14:textId="77777777" w:rsidTr="00683C17">
        <w:tc>
          <w:tcPr>
            <w:tcW w:w="3681" w:type="dxa"/>
          </w:tcPr>
          <w:p w14:paraId="273B584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2AB72437" w14:textId="77777777" w:rsidR="00097010" w:rsidRPr="002F7C6B"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PL/2026/00472</w:t>
            </w:r>
          </w:p>
        </w:tc>
      </w:tr>
      <w:tr w:rsidR="00097010" w14:paraId="71C6B7B6" w14:textId="77777777" w:rsidTr="00683C17">
        <w:tc>
          <w:tcPr>
            <w:tcW w:w="3681" w:type="dxa"/>
          </w:tcPr>
          <w:p w14:paraId="2EAD485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BC1036" w14:textId="77777777"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Listed building consent (Alt/Ext)</w:t>
            </w:r>
          </w:p>
        </w:tc>
      </w:tr>
      <w:tr w:rsidR="00097010" w14:paraId="18E0B09A" w14:textId="77777777" w:rsidTr="00683C17">
        <w:tc>
          <w:tcPr>
            <w:tcW w:w="3681" w:type="dxa"/>
          </w:tcPr>
          <w:p w14:paraId="6F82C7F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073F0CF4" w14:textId="77777777"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60 The Green, Poulshot, Devizes, SN10 1RT</w:t>
            </w:r>
          </w:p>
        </w:tc>
      </w:tr>
      <w:tr w:rsidR="00097010" w14:paraId="05F6B8E0" w14:textId="77777777" w:rsidTr="00683C17">
        <w:tc>
          <w:tcPr>
            <w:tcW w:w="3681" w:type="dxa"/>
          </w:tcPr>
          <w:p w14:paraId="7EE3D41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DESCRIPTION</w:t>
            </w:r>
            <w:r w:rsidR="00290898">
              <w:rPr>
                <w:rFonts w:ascii="Arial" w:eastAsia="Times New Roman" w:hAnsi="Arial" w:cs="Arial"/>
                <w:b/>
                <w:bCs/>
                <w:kern w:val="0"/>
                <w:sz w:val="22"/>
                <w:szCs w:val="22"/>
                <w:lang w:eastAsia="en-GB"/>
                <w14:ligatures w14:val="none"/>
              </w:rPr>
              <w:t xml:space="preserve"> OF WORKS</w:t>
            </w:r>
            <w:r w:rsidRPr="00F7609E">
              <w:rPr>
                <w:rFonts w:ascii="Arial" w:eastAsia="Times New Roman" w:hAnsi="Arial" w:cs="Arial"/>
                <w:b/>
                <w:bCs/>
                <w:kern w:val="0"/>
                <w:sz w:val="22"/>
                <w:szCs w:val="22"/>
                <w:lang w:eastAsia="en-GB"/>
                <w14:ligatures w14:val="none"/>
              </w:rPr>
              <w:t>:</w:t>
            </w:r>
          </w:p>
        </w:tc>
        <w:tc>
          <w:tcPr>
            <w:tcW w:w="5335" w:type="dxa"/>
          </w:tcPr>
          <w:p w14:paraId="054D6A61" w14:textId="77777777"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Retrospective application for replacement of fence.</w:t>
            </w:r>
          </w:p>
        </w:tc>
      </w:tr>
      <w:tr w:rsidR="00097010" w14:paraId="7C927D5B" w14:textId="77777777" w:rsidTr="00683C17">
        <w:tc>
          <w:tcPr>
            <w:tcW w:w="3681" w:type="dxa"/>
          </w:tcPr>
          <w:p w14:paraId="651F0E3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3722215" w14:textId="77777777" w:rsidR="00680DA9" w:rsidRPr="009F2ED4" w:rsidRDefault="009F2ED4" w:rsidP="00680DA9">
            <w:pPr>
              <w:spacing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Refuse</w:t>
            </w:r>
          </w:p>
        </w:tc>
      </w:tr>
    </w:tbl>
    <w:p w14:paraId="1AE00479"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ED28154" w14:textId="282CCA57" w:rsidR="00976F18" w:rsidRDefault="00683C17" w:rsidP="007844EF">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1B64B088" w14:textId="77777777" w:rsidR="007844EF" w:rsidRPr="007844EF" w:rsidRDefault="007844EF" w:rsidP="007844EF">
      <w:pPr>
        <w:spacing w:after="0" w:line="276" w:lineRule="auto"/>
        <w:jc w:val="both"/>
        <w:outlineLvl w:val="2"/>
        <w:rPr>
          <w:rFonts w:ascii="Arial" w:eastAsia="Times New Roman" w:hAnsi="Arial" w:cs="Arial"/>
          <w:b/>
          <w:bCs/>
          <w:kern w:val="0"/>
          <w:sz w:val="22"/>
          <w:szCs w:val="22"/>
          <w:lang w:eastAsia="en-GB"/>
          <w14:ligatures w14:val="none"/>
        </w:rPr>
      </w:pPr>
    </w:p>
    <w:p w14:paraId="3CA0A5B6" w14:textId="05E5510E" w:rsidR="00970F6B" w:rsidRPr="007844EF" w:rsidRDefault="00970F6B" w:rsidP="00970F6B">
      <w:pPr>
        <w:spacing w:after="0" w:line="276" w:lineRule="auto"/>
        <w:jc w:val="both"/>
        <w:rPr>
          <w:rFonts w:ascii="Arial" w:eastAsia="Times New Roman" w:hAnsi="Arial" w:cs="Arial"/>
          <w:color w:val="000000" w:themeColor="text1"/>
          <w:kern w:val="0"/>
          <w:sz w:val="22"/>
          <w:szCs w:val="22"/>
          <w:lang w:eastAsia="en-GB"/>
          <w14:ligatures w14:val="none"/>
        </w:rPr>
      </w:pPr>
      <w:r w:rsidRPr="007844EF">
        <w:rPr>
          <w:rFonts w:ascii="Arial" w:eastAsia="Times New Roman" w:hAnsi="Arial" w:cs="Arial"/>
          <w:color w:val="000000" w:themeColor="text1"/>
          <w:kern w:val="0"/>
          <w:sz w:val="22"/>
          <w:szCs w:val="22"/>
          <w:lang w:eastAsia="en-GB"/>
          <w14:ligatures w14:val="none"/>
        </w:rPr>
        <w:t xml:space="preserve">The application site comprises a </w:t>
      </w:r>
      <w:r w:rsidR="000C177C" w:rsidRPr="007844EF">
        <w:rPr>
          <w:rFonts w:ascii="Arial" w:eastAsia="Times New Roman" w:hAnsi="Arial" w:cs="Arial"/>
          <w:color w:val="000000" w:themeColor="text1"/>
          <w:kern w:val="0"/>
          <w:sz w:val="22"/>
          <w:szCs w:val="22"/>
          <w:lang w:eastAsia="en-GB"/>
          <w14:ligatures w14:val="none"/>
        </w:rPr>
        <w:t xml:space="preserve">1.5 storey </w:t>
      </w:r>
      <w:r w:rsidR="007844EF" w:rsidRPr="007844EF">
        <w:rPr>
          <w:rFonts w:ascii="Arial" w:eastAsia="Times New Roman" w:hAnsi="Arial" w:cs="Arial"/>
          <w:color w:val="000000" w:themeColor="text1"/>
          <w:kern w:val="0"/>
          <w:sz w:val="22"/>
          <w:szCs w:val="22"/>
          <w:lang w:eastAsia="en-GB"/>
          <w14:ligatures w14:val="none"/>
        </w:rPr>
        <w:t xml:space="preserve">detached </w:t>
      </w:r>
      <w:r w:rsidR="000C177C" w:rsidRPr="007844EF">
        <w:rPr>
          <w:rFonts w:ascii="Arial" w:eastAsia="Times New Roman" w:hAnsi="Arial" w:cs="Arial"/>
          <w:color w:val="000000" w:themeColor="text1"/>
          <w:kern w:val="0"/>
          <w:sz w:val="22"/>
          <w:szCs w:val="22"/>
          <w:lang w:eastAsia="en-GB"/>
          <w14:ligatures w14:val="none"/>
        </w:rPr>
        <w:t xml:space="preserve">cottage </w:t>
      </w:r>
      <w:r w:rsidRPr="007844EF">
        <w:rPr>
          <w:rFonts w:ascii="Arial" w:eastAsia="Times New Roman" w:hAnsi="Arial" w:cs="Arial"/>
          <w:color w:val="000000" w:themeColor="text1"/>
          <w:kern w:val="0"/>
          <w:sz w:val="22"/>
          <w:szCs w:val="22"/>
          <w:lang w:eastAsia="en-GB"/>
          <w14:ligatures w14:val="none"/>
        </w:rPr>
        <w:t xml:space="preserve">known as </w:t>
      </w:r>
      <w:r w:rsidR="000C177C" w:rsidRPr="007844EF">
        <w:rPr>
          <w:rFonts w:ascii="Arial" w:eastAsia="Times New Roman" w:hAnsi="Arial" w:cs="Arial"/>
          <w:color w:val="000000" w:themeColor="text1"/>
          <w:kern w:val="0"/>
          <w:sz w:val="22"/>
          <w:szCs w:val="22"/>
          <w:lang w:eastAsia="en-GB"/>
          <w14:ligatures w14:val="none"/>
        </w:rPr>
        <w:t>60 The Green</w:t>
      </w:r>
      <w:r w:rsidRPr="007844EF">
        <w:rPr>
          <w:rFonts w:ascii="Arial" w:eastAsia="Times New Roman" w:hAnsi="Arial" w:cs="Arial"/>
          <w:color w:val="000000" w:themeColor="text1"/>
          <w:kern w:val="0"/>
          <w:sz w:val="22"/>
          <w:szCs w:val="22"/>
          <w:lang w:eastAsia="en-GB"/>
          <w14:ligatures w14:val="none"/>
        </w:rPr>
        <w:t>, which is a Grade II listed building, located within the settlement of</w:t>
      </w:r>
      <w:r w:rsidR="000C177C" w:rsidRPr="007844EF">
        <w:rPr>
          <w:rFonts w:ascii="Arial" w:eastAsia="Times New Roman" w:hAnsi="Arial" w:cs="Arial"/>
          <w:color w:val="000000" w:themeColor="text1"/>
          <w:kern w:val="0"/>
          <w:sz w:val="22"/>
          <w:szCs w:val="22"/>
          <w:lang w:eastAsia="en-GB"/>
          <w14:ligatures w14:val="none"/>
        </w:rPr>
        <w:t xml:space="preserve"> Poulshot, Devizes</w:t>
      </w:r>
      <w:r w:rsidRPr="007844EF">
        <w:rPr>
          <w:rFonts w:ascii="Arial" w:eastAsia="Times New Roman" w:hAnsi="Arial" w:cs="Arial"/>
          <w:color w:val="000000" w:themeColor="text1"/>
          <w:kern w:val="0"/>
          <w:sz w:val="22"/>
          <w:szCs w:val="22"/>
          <w:lang w:eastAsia="en-GB"/>
          <w14:ligatures w14:val="none"/>
        </w:rPr>
        <w:t>. The building is designated for its special architectural and/or historic interest under the Planning (Listed Buildings and Conservation Areas) Act 1990.</w:t>
      </w:r>
    </w:p>
    <w:p w14:paraId="7A021839" w14:textId="77777777" w:rsidR="00707756" w:rsidRPr="007844EF" w:rsidRDefault="00707756" w:rsidP="00970F6B">
      <w:pPr>
        <w:spacing w:after="0" w:line="276" w:lineRule="auto"/>
        <w:jc w:val="both"/>
        <w:rPr>
          <w:rFonts w:ascii="Arial" w:eastAsia="Times New Roman" w:hAnsi="Arial" w:cs="Arial"/>
          <w:color w:val="000000" w:themeColor="text1"/>
          <w:kern w:val="0"/>
          <w:sz w:val="22"/>
          <w:szCs w:val="22"/>
          <w:lang w:eastAsia="en-GB"/>
          <w14:ligatures w14:val="none"/>
        </w:rPr>
      </w:pPr>
    </w:p>
    <w:p w14:paraId="0F7FD905" w14:textId="384C833F" w:rsidR="007844EF" w:rsidRPr="007844EF" w:rsidRDefault="007844EF" w:rsidP="007844EF">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7844EF">
        <w:rPr>
          <w:rFonts w:ascii="Arial" w:eastAsia="Times New Roman" w:hAnsi="Arial" w:cs="Arial"/>
          <w:color w:val="000000" w:themeColor="text1"/>
          <w:kern w:val="0"/>
          <w:sz w:val="22"/>
          <w:szCs w:val="22"/>
          <w:lang w:eastAsia="en-GB"/>
          <w14:ligatures w14:val="none"/>
        </w:rPr>
        <w:t xml:space="preserve">The cottage is the southern-most property </w:t>
      </w:r>
      <w:r w:rsidR="008B6809">
        <w:rPr>
          <w:rFonts w:ascii="Arial" w:eastAsia="Times New Roman" w:hAnsi="Arial" w:cs="Arial"/>
          <w:color w:val="000000" w:themeColor="text1"/>
          <w:kern w:val="0"/>
          <w:sz w:val="22"/>
          <w:szCs w:val="22"/>
          <w:lang w:eastAsia="en-GB"/>
          <w14:ligatures w14:val="none"/>
        </w:rPr>
        <w:t>in</w:t>
      </w:r>
      <w:r w:rsidRPr="007844EF">
        <w:rPr>
          <w:rFonts w:ascii="Arial" w:eastAsia="Times New Roman" w:hAnsi="Arial" w:cs="Arial"/>
          <w:color w:val="000000" w:themeColor="text1"/>
          <w:kern w:val="0"/>
          <w:sz w:val="22"/>
          <w:szCs w:val="22"/>
          <w:lang w:eastAsia="en-GB"/>
          <w14:ligatures w14:val="none"/>
        </w:rPr>
        <w:t xml:space="preserve"> a row of historic dwellings facing onto The Green, with a public Right of Way (POUL14) running immediately to the south of the site with open fields beyond and open fields lying to the west.</w:t>
      </w:r>
    </w:p>
    <w:p w14:paraId="6229A9D8" w14:textId="77777777" w:rsidR="00630588" w:rsidRPr="007844EF" w:rsidRDefault="00630588" w:rsidP="00970F6B">
      <w:pPr>
        <w:spacing w:after="0" w:line="276" w:lineRule="auto"/>
        <w:jc w:val="both"/>
        <w:rPr>
          <w:rFonts w:ascii="Arial" w:eastAsia="Times New Roman" w:hAnsi="Arial" w:cs="Arial"/>
          <w:color w:val="000000" w:themeColor="text1"/>
          <w:kern w:val="0"/>
          <w:sz w:val="22"/>
          <w:szCs w:val="22"/>
          <w:lang w:eastAsia="en-GB"/>
          <w14:ligatures w14:val="none"/>
        </w:rPr>
      </w:pPr>
    </w:p>
    <w:p w14:paraId="7365A553" w14:textId="030EF172" w:rsidR="00630588" w:rsidRPr="007844EF" w:rsidRDefault="00970F6B" w:rsidP="00970F6B">
      <w:pPr>
        <w:spacing w:after="0" w:line="276" w:lineRule="auto"/>
        <w:jc w:val="both"/>
        <w:rPr>
          <w:rFonts w:ascii="Arial" w:eastAsia="Times New Roman" w:hAnsi="Arial" w:cs="Arial"/>
          <w:color w:val="000000" w:themeColor="text1"/>
          <w:kern w:val="0"/>
          <w:sz w:val="22"/>
          <w:szCs w:val="22"/>
          <w:lang w:eastAsia="en-GB"/>
          <w14:ligatures w14:val="none"/>
        </w:rPr>
      </w:pPr>
      <w:r w:rsidRPr="007844EF">
        <w:rPr>
          <w:rFonts w:ascii="Arial" w:eastAsia="Times New Roman" w:hAnsi="Arial" w:cs="Arial"/>
          <w:color w:val="000000" w:themeColor="text1"/>
          <w:kern w:val="0"/>
          <w:sz w:val="22"/>
          <w:szCs w:val="22"/>
          <w:lang w:eastAsia="en-GB"/>
          <w14:ligatures w14:val="none"/>
        </w:rPr>
        <w:t xml:space="preserve">The building exhibits </w:t>
      </w:r>
      <w:r w:rsidR="007844EF" w:rsidRPr="007844EF">
        <w:rPr>
          <w:rFonts w:ascii="Arial" w:eastAsia="Times New Roman" w:hAnsi="Arial" w:cs="Arial"/>
          <w:color w:val="000000" w:themeColor="text1"/>
          <w:kern w:val="0"/>
          <w:sz w:val="22"/>
          <w:szCs w:val="22"/>
          <w:lang w:eastAsia="en-GB"/>
          <w14:ligatures w14:val="none"/>
        </w:rPr>
        <w:t xml:space="preserve">brick/painted brick exterior walls under a steeply pitched hip-to-gable tiled roof </w:t>
      </w:r>
      <w:r w:rsidRPr="007844EF">
        <w:rPr>
          <w:rFonts w:ascii="Arial" w:eastAsia="Times New Roman" w:hAnsi="Arial" w:cs="Arial"/>
          <w:color w:val="000000" w:themeColor="text1"/>
          <w:kern w:val="0"/>
          <w:sz w:val="22"/>
          <w:szCs w:val="22"/>
          <w:lang w:eastAsia="en-GB"/>
          <w14:ligatures w14:val="none"/>
        </w:rPr>
        <w:t xml:space="preserve">and retains features of special interest that contribute to its heritage significance. </w:t>
      </w:r>
    </w:p>
    <w:p w14:paraId="37146BB6" w14:textId="77777777" w:rsidR="002073DA" w:rsidRPr="007844EF" w:rsidRDefault="002073DA" w:rsidP="00970F6B">
      <w:pPr>
        <w:spacing w:after="0" w:line="276" w:lineRule="auto"/>
        <w:jc w:val="both"/>
        <w:rPr>
          <w:rFonts w:ascii="Arial" w:eastAsia="Times New Roman" w:hAnsi="Arial" w:cs="Arial"/>
          <w:color w:val="000000" w:themeColor="text1"/>
          <w:kern w:val="0"/>
          <w:sz w:val="22"/>
          <w:szCs w:val="22"/>
          <w:lang w:eastAsia="en-GB"/>
          <w14:ligatures w14:val="none"/>
        </w:rPr>
      </w:pPr>
    </w:p>
    <w:p w14:paraId="2574F392" w14:textId="77777777" w:rsidR="00970F6B" w:rsidRPr="00A6406E" w:rsidRDefault="00970F6B" w:rsidP="00970F6B">
      <w:pPr>
        <w:spacing w:after="0" w:line="276" w:lineRule="auto"/>
        <w:jc w:val="both"/>
        <w:rPr>
          <w:rFonts w:ascii="Arial" w:eastAsia="Times New Roman" w:hAnsi="Arial" w:cs="Arial"/>
          <w:color w:val="000000" w:themeColor="text1"/>
          <w:kern w:val="0"/>
          <w:sz w:val="22"/>
          <w:szCs w:val="22"/>
          <w:lang w:eastAsia="en-GB"/>
          <w14:ligatures w14:val="none"/>
        </w:rPr>
      </w:pPr>
      <w:r w:rsidRPr="00970F6B">
        <w:rPr>
          <w:rFonts w:ascii="Arial" w:eastAsia="Times New Roman" w:hAnsi="Arial" w:cs="Arial"/>
          <w:color w:val="000000" w:themeColor="text1"/>
          <w:kern w:val="0"/>
          <w:sz w:val="22"/>
          <w:szCs w:val="22"/>
          <w:lang w:eastAsia="en-GB"/>
          <w14:ligatures w14:val="none"/>
        </w:rPr>
        <w:t xml:space="preserve">The list entry, for </w:t>
      </w:r>
      <w:r w:rsidR="00283A5E">
        <w:rPr>
          <w:rFonts w:ascii="Arial" w:eastAsia="Times New Roman" w:hAnsi="Arial" w:cs="Arial"/>
          <w:color w:val="000000" w:themeColor="text1"/>
          <w:kern w:val="0"/>
          <w:sz w:val="22"/>
          <w:szCs w:val="22"/>
          <w:lang w:eastAsia="en-GB"/>
          <w14:ligatures w14:val="none"/>
        </w:rPr>
        <w:t xml:space="preserve">means of </w:t>
      </w:r>
      <w:r w:rsidRPr="00970F6B">
        <w:rPr>
          <w:rFonts w:ascii="Arial" w:eastAsia="Times New Roman" w:hAnsi="Arial" w:cs="Arial"/>
          <w:color w:val="000000" w:themeColor="text1"/>
          <w:kern w:val="0"/>
          <w:sz w:val="22"/>
          <w:szCs w:val="22"/>
          <w:lang w:eastAsia="en-GB"/>
          <w14:ligatures w14:val="none"/>
        </w:rPr>
        <w:t>identification purposes only, provides the following description</w:t>
      </w:r>
      <w:r w:rsidR="00A6406E">
        <w:rPr>
          <w:rFonts w:ascii="Arial" w:eastAsia="Times New Roman" w:hAnsi="Arial" w:cs="Arial"/>
          <w:color w:val="000000" w:themeColor="text1"/>
          <w:kern w:val="0"/>
          <w:sz w:val="22"/>
          <w:szCs w:val="22"/>
          <w:lang w:eastAsia="en-GB"/>
          <w14:ligatures w14:val="none"/>
        </w:rPr>
        <w:t>:</w:t>
      </w:r>
    </w:p>
    <w:p w14:paraId="12B0E256" w14:textId="77777777" w:rsidR="00630588" w:rsidRDefault="00630588" w:rsidP="00970F6B">
      <w:pPr>
        <w:spacing w:after="0" w:line="276" w:lineRule="auto"/>
        <w:jc w:val="both"/>
        <w:rPr>
          <w:rFonts w:ascii="Arial" w:eastAsia="Times New Roman" w:hAnsi="Arial" w:cs="Arial"/>
          <w:i/>
          <w:iCs/>
          <w:color w:val="FF0000"/>
          <w:kern w:val="0"/>
          <w:sz w:val="22"/>
          <w:szCs w:val="22"/>
          <w:lang w:eastAsia="en-GB"/>
          <w14:ligatures w14:val="none"/>
        </w:rPr>
      </w:pPr>
    </w:p>
    <w:p w14:paraId="4243B9D8" w14:textId="6A531A7C" w:rsidR="00E27375" w:rsidRPr="007844EF" w:rsidRDefault="00E27375" w:rsidP="00E27375">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7844EF">
        <w:rPr>
          <w:rFonts w:ascii="Arial" w:eastAsia="Times New Roman" w:hAnsi="Arial" w:cs="Arial"/>
          <w:i/>
          <w:iCs/>
          <w:color w:val="000000" w:themeColor="text1"/>
          <w:kern w:val="0"/>
          <w:sz w:val="22"/>
          <w:szCs w:val="22"/>
          <w:lang w:eastAsia="en-GB"/>
          <w14:ligatures w14:val="none"/>
        </w:rPr>
        <w:t xml:space="preserve">ST 95 NE POULSHOT THE GREEN (west side). 7/190 No 60. GV II. House, C17 timber-framed, extended in painted brick in C19 and in red brick in C20. Bridgwater tile roofs, half-hipped to west. End wall stacks. 1½ storeys. South front is painted brick to left, C20 flat dormer over cambered-head large triple casement. Tile-hanging to first floor right, over timber-frame. Eaves- breaking gabled dormer over ground floor door and casement pair set in C20 stone and tile </w:t>
      </w:r>
      <w:proofErr w:type="spellStart"/>
      <w:r w:rsidRPr="007844EF">
        <w:rPr>
          <w:rFonts w:ascii="Arial" w:eastAsia="Times New Roman" w:hAnsi="Arial" w:cs="Arial"/>
          <w:i/>
          <w:iCs/>
          <w:color w:val="000000" w:themeColor="text1"/>
          <w:kern w:val="0"/>
          <w:sz w:val="22"/>
          <w:szCs w:val="22"/>
          <w:lang w:eastAsia="en-GB"/>
          <w14:ligatures w14:val="none"/>
        </w:rPr>
        <w:t>verandah</w:t>
      </w:r>
      <w:proofErr w:type="spellEnd"/>
      <w:r w:rsidRPr="007844EF">
        <w:rPr>
          <w:rFonts w:ascii="Arial" w:eastAsia="Times New Roman" w:hAnsi="Arial" w:cs="Arial"/>
          <w:i/>
          <w:iCs/>
          <w:color w:val="000000" w:themeColor="text1"/>
          <w:kern w:val="0"/>
          <w:sz w:val="22"/>
          <w:szCs w:val="22"/>
          <w:lang w:eastAsia="en-GB"/>
          <w14:ligatures w14:val="none"/>
        </w:rPr>
        <w:t xml:space="preserve">. Painted brick east end wall with casements. Exposed square framing on rear wall. North-east, C20 extension to north-west. </w:t>
      </w:r>
    </w:p>
    <w:p w14:paraId="5CD20574" w14:textId="77777777" w:rsidR="00E27375" w:rsidRPr="007844EF" w:rsidRDefault="00E27375" w:rsidP="00E27375">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p>
    <w:p w14:paraId="3B3D7699" w14:textId="77777777" w:rsidR="00E27375" w:rsidRPr="007844EF" w:rsidRDefault="00E27375" w:rsidP="00E27375">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7844EF">
        <w:rPr>
          <w:rFonts w:ascii="Arial" w:eastAsia="Times New Roman" w:hAnsi="Arial" w:cs="Arial"/>
          <w:i/>
          <w:iCs/>
          <w:color w:val="000000" w:themeColor="text1"/>
          <w:kern w:val="0"/>
          <w:sz w:val="22"/>
          <w:szCs w:val="22"/>
          <w:lang w:eastAsia="en-GB"/>
          <w14:ligatures w14:val="none"/>
        </w:rPr>
        <w:t>Listing NGR: ST9686659683</w:t>
      </w:r>
    </w:p>
    <w:p w14:paraId="2344FF91" w14:textId="77777777" w:rsidR="00630588" w:rsidRPr="00970F6B" w:rsidRDefault="00630588" w:rsidP="00970F6B">
      <w:pPr>
        <w:spacing w:after="0" w:line="276" w:lineRule="auto"/>
        <w:jc w:val="both"/>
        <w:rPr>
          <w:rFonts w:ascii="Arial" w:eastAsia="Times New Roman" w:hAnsi="Arial" w:cs="Arial"/>
          <w:color w:val="FF0000"/>
          <w:kern w:val="0"/>
          <w:sz w:val="22"/>
          <w:szCs w:val="22"/>
          <w:lang w:eastAsia="en-GB"/>
          <w14:ligatures w14:val="none"/>
        </w:rPr>
      </w:pPr>
    </w:p>
    <w:p w14:paraId="290D27A2" w14:textId="7777777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78B6300A"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1A849E42" w14:textId="77777777" w:rsidR="00EC4828" w:rsidRDefault="00EC4828" w:rsidP="00EC482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w:t>
      </w:r>
      <w:r>
        <w:rPr>
          <w:rFonts w:ascii="Arial" w:eastAsia="Times New Roman" w:hAnsi="Arial" w:cs="Arial"/>
          <w:color w:val="000000" w:themeColor="text1"/>
          <w:kern w:val="0"/>
          <w:sz w:val="22"/>
          <w:szCs w:val="22"/>
          <w:lang w:eastAsia="en-GB"/>
          <w14:ligatures w14:val="none"/>
        </w:rPr>
        <w:t xml:space="preserve">retrospective </w:t>
      </w:r>
      <w:r w:rsidRPr="00BE5F7B">
        <w:rPr>
          <w:rFonts w:ascii="Arial" w:eastAsia="Times New Roman" w:hAnsi="Arial" w:cs="Arial"/>
          <w:color w:val="000000" w:themeColor="text1"/>
          <w:kern w:val="0"/>
          <w:sz w:val="22"/>
          <w:szCs w:val="22"/>
          <w:lang w:eastAsia="en-GB"/>
          <w14:ligatures w14:val="none"/>
        </w:rPr>
        <w:t xml:space="preserve">planning permission </w:t>
      </w:r>
      <w:r w:rsidRPr="00D6355E">
        <w:rPr>
          <w:rFonts w:ascii="Arial" w:eastAsia="Times New Roman" w:hAnsi="Arial" w:cs="Arial"/>
          <w:color w:val="000000" w:themeColor="text1"/>
          <w:kern w:val="0"/>
          <w:sz w:val="22"/>
          <w:szCs w:val="22"/>
          <w:lang w:eastAsia="en-GB"/>
          <w14:ligatures w14:val="none"/>
        </w:rPr>
        <w:t xml:space="preserve">for the </w:t>
      </w:r>
      <w:r>
        <w:rPr>
          <w:rFonts w:ascii="Arial" w:eastAsia="Times New Roman" w:hAnsi="Arial" w:cs="Arial"/>
          <w:color w:val="000000" w:themeColor="text1"/>
          <w:kern w:val="0"/>
          <w:sz w:val="22"/>
          <w:szCs w:val="22"/>
          <w:lang w:eastAsia="en-GB"/>
          <w14:ligatures w14:val="none"/>
        </w:rPr>
        <w:t xml:space="preserve">erection of a </w:t>
      </w:r>
      <w:r w:rsidRPr="00D6355E">
        <w:rPr>
          <w:rFonts w:ascii="Arial" w:eastAsia="Times New Roman" w:hAnsi="Arial" w:cs="Arial"/>
          <w:color w:val="000000" w:themeColor="text1"/>
          <w:kern w:val="0"/>
          <w:sz w:val="22"/>
          <w:szCs w:val="22"/>
          <w:lang w:eastAsia="en-GB"/>
          <w14:ligatures w14:val="none"/>
        </w:rPr>
        <w:t>replacement fence.</w:t>
      </w:r>
      <w:r>
        <w:rPr>
          <w:rFonts w:ascii="Arial" w:eastAsia="Times New Roman" w:hAnsi="Arial" w:cs="Arial"/>
          <w:color w:val="000000" w:themeColor="text1"/>
          <w:kern w:val="0"/>
          <w:sz w:val="22"/>
          <w:szCs w:val="22"/>
          <w:lang w:eastAsia="en-GB"/>
          <w14:ligatures w14:val="none"/>
        </w:rPr>
        <w:t xml:space="preserve"> The proposed fence would span the southern side boundary of the site which fronts onto a pedestrian lane. It consists of pre-assembled close-board fence panels stacked two-high, sitting at approximately 3 metres in height.</w:t>
      </w:r>
    </w:p>
    <w:p w14:paraId="6CB81A73" w14:textId="77777777" w:rsidR="00EC4828" w:rsidRDefault="00EC4828" w:rsidP="00EC482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DDBA1C4" w14:textId="77777777" w:rsidR="00EC4828" w:rsidRPr="00D6355E" w:rsidRDefault="00EC4828" w:rsidP="00EC482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Due to the retrospective nature of the application, the case officer has had the opportunity to view the proposed works as built in person.</w:t>
      </w:r>
    </w:p>
    <w:p w14:paraId="2D680645"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0AC5431D" w14:textId="77777777"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4CAC5A52"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6D66D1E6" w14:textId="77777777" w:rsidR="00455BCE" w:rsidRPr="00455BCE" w:rsidRDefault="00455BCE" w:rsidP="00455BCE">
      <w:pPr>
        <w:spacing w:after="0" w:line="276" w:lineRule="auto"/>
        <w:jc w:val="both"/>
        <w:rPr>
          <w:rFonts w:ascii="Arial" w:eastAsia="Times New Roman" w:hAnsi="Arial" w:cs="Arial"/>
          <w:color w:val="000000" w:themeColor="text1"/>
          <w:kern w:val="0"/>
          <w:sz w:val="22"/>
          <w:szCs w:val="22"/>
          <w:lang w:eastAsia="en-GB"/>
          <w14:ligatures w14:val="none"/>
        </w:rPr>
      </w:pPr>
      <w:r w:rsidRPr="00455BCE">
        <w:rPr>
          <w:rFonts w:ascii="Arial" w:eastAsia="Times New Roman" w:hAnsi="Arial" w:cs="Arial"/>
          <w:color w:val="000000" w:themeColor="text1"/>
          <w:kern w:val="0"/>
          <w:sz w:val="22"/>
          <w:szCs w:val="22"/>
          <w:lang w:eastAsia="en-GB"/>
          <w14:ligatures w14:val="none"/>
        </w:rPr>
        <w:t>K/56977/F - New wing and associated works. Approved with conditions 15th August 2007.</w:t>
      </w:r>
    </w:p>
    <w:p w14:paraId="1C8F47FD" w14:textId="77777777" w:rsidR="00455BCE" w:rsidRPr="00455BCE" w:rsidRDefault="00455BCE" w:rsidP="00455BCE">
      <w:pPr>
        <w:spacing w:after="0" w:line="276" w:lineRule="auto"/>
        <w:jc w:val="both"/>
        <w:rPr>
          <w:rFonts w:ascii="Arial" w:eastAsia="Times New Roman" w:hAnsi="Arial" w:cs="Arial"/>
          <w:color w:val="000000" w:themeColor="text1"/>
          <w:kern w:val="0"/>
          <w:sz w:val="22"/>
          <w:szCs w:val="22"/>
          <w:lang w:eastAsia="en-GB"/>
          <w14:ligatures w14:val="none"/>
        </w:rPr>
      </w:pPr>
    </w:p>
    <w:p w14:paraId="3FC969E3" w14:textId="77777777" w:rsidR="00455BCE" w:rsidRPr="00455BCE" w:rsidRDefault="00455BCE" w:rsidP="00455BCE">
      <w:pPr>
        <w:spacing w:after="0" w:line="276" w:lineRule="auto"/>
        <w:jc w:val="both"/>
        <w:rPr>
          <w:rFonts w:ascii="Arial" w:eastAsia="Times New Roman" w:hAnsi="Arial" w:cs="Arial"/>
          <w:color w:val="000000" w:themeColor="text1"/>
          <w:kern w:val="0"/>
          <w:sz w:val="22"/>
          <w:szCs w:val="22"/>
          <w:lang w:eastAsia="en-GB"/>
          <w14:ligatures w14:val="none"/>
        </w:rPr>
      </w:pPr>
      <w:r w:rsidRPr="00455BCE">
        <w:rPr>
          <w:rFonts w:ascii="Arial" w:eastAsia="Times New Roman" w:hAnsi="Arial" w:cs="Arial"/>
          <w:color w:val="000000" w:themeColor="text1"/>
          <w:kern w:val="0"/>
          <w:sz w:val="22"/>
          <w:szCs w:val="22"/>
          <w:lang w:eastAsia="en-GB"/>
          <w14:ligatures w14:val="none"/>
        </w:rPr>
        <w:t>K/56969/LBC - Two storey side extension and alterations to existing building. Approved with conditions 15th August 2007.</w:t>
      </w:r>
    </w:p>
    <w:p w14:paraId="2CEFED0D" w14:textId="77777777" w:rsidR="00455BCE" w:rsidRPr="00455BCE" w:rsidRDefault="00455BCE" w:rsidP="00455BCE">
      <w:pPr>
        <w:spacing w:after="0" w:line="276" w:lineRule="auto"/>
        <w:jc w:val="both"/>
        <w:rPr>
          <w:rFonts w:ascii="Arial" w:eastAsia="Times New Roman" w:hAnsi="Arial" w:cs="Arial"/>
          <w:color w:val="000000" w:themeColor="text1"/>
          <w:kern w:val="0"/>
          <w:sz w:val="22"/>
          <w:szCs w:val="22"/>
          <w:lang w:eastAsia="en-GB"/>
          <w14:ligatures w14:val="none"/>
        </w:rPr>
      </w:pPr>
    </w:p>
    <w:p w14:paraId="0B65DF6C" w14:textId="77777777" w:rsidR="00455BCE" w:rsidRPr="00455BCE" w:rsidRDefault="00455BCE" w:rsidP="00455BCE">
      <w:pPr>
        <w:spacing w:after="0" w:line="276" w:lineRule="auto"/>
        <w:jc w:val="both"/>
        <w:rPr>
          <w:rFonts w:ascii="Arial" w:eastAsia="Times New Roman" w:hAnsi="Arial" w:cs="Arial"/>
          <w:color w:val="000000" w:themeColor="text1"/>
          <w:kern w:val="0"/>
          <w:sz w:val="22"/>
          <w:szCs w:val="22"/>
          <w:lang w:eastAsia="en-GB"/>
          <w14:ligatures w14:val="none"/>
        </w:rPr>
      </w:pPr>
      <w:r w:rsidRPr="00455BCE">
        <w:rPr>
          <w:rFonts w:ascii="Arial" w:eastAsia="Times New Roman" w:hAnsi="Arial" w:cs="Arial"/>
          <w:color w:val="000000" w:themeColor="text1"/>
          <w:kern w:val="0"/>
          <w:sz w:val="22"/>
          <w:szCs w:val="22"/>
          <w:lang w:eastAsia="en-GB"/>
          <w14:ligatures w14:val="none"/>
        </w:rPr>
        <w:t>K/55587/F - Two storey extension. Refused 16th January 2007.</w:t>
      </w:r>
    </w:p>
    <w:p w14:paraId="5E38E196" w14:textId="77777777" w:rsidR="00455BCE" w:rsidRPr="00455BCE" w:rsidRDefault="00455BCE" w:rsidP="00455BCE">
      <w:pPr>
        <w:spacing w:after="0" w:line="276" w:lineRule="auto"/>
        <w:jc w:val="both"/>
        <w:rPr>
          <w:rFonts w:ascii="Arial" w:eastAsia="Times New Roman" w:hAnsi="Arial" w:cs="Arial"/>
          <w:color w:val="000000" w:themeColor="text1"/>
          <w:kern w:val="0"/>
          <w:sz w:val="22"/>
          <w:szCs w:val="22"/>
          <w:lang w:eastAsia="en-GB"/>
          <w14:ligatures w14:val="none"/>
        </w:rPr>
      </w:pPr>
    </w:p>
    <w:p w14:paraId="47332FE7" w14:textId="77777777" w:rsidR="00455BCE" w:rsidRPr="00455BCE" w:rsidRDefault="00455BCE" w:rsidP="00455BCE">
      <w:pPr>
        <w:spacing w:after="0" w:line="276" w:lineRule="auto"/>
        <w:jc w:val="both"/>
        <w:rPr>
          <w:rFonts w:ascii="Arial" w:eastAsia="Times New Roman" w:hAnsi="Arial" w:cs="Arial"/>
          <w:color w:val="000000" w:themeColor="text1"/>
          <w:kern w:val="0"/>
          <w:sz w:val="22"/>
          <w:szCs w:val="22"/>
          <w:lang w:eastAsia="en-GB"/>
          <w14:ligatures w14:val="none"/>
        </w:rPr>
      </w:pPr>
      <w:r w:rsidRPr="00455BCE">
        <w:rPr>
          <w:rFonts w:ascii="Arial" w:eastAsia="Times New Roman" w:hAnsi="Arial" w:cs="Arial"/>
          <w:color w:val="000000" w:themeColor="text1"/>
          <w:kern w:val="0"/>
          <w:sz w:val="22"/>
          <w:szCs w:val="22"/>
          <w:lang w:eastAsia="en-GB"/>
          <w14:ligatures w14:val="none"/>
        </w:rPr>
        <w:t>K/55586/LBC - Two storey extension and other alterations. Refused 16th January 2007.</w:t>
      </w:r>
    </w:p>
    <w:p w14:paraId="11C186CA" w14:textId="77777777" w:rsidR="00455BCE" w:rsidRPr="00455BCE" w:rsidRDefault="00455BCE" w:rsidP="00455BCE">
      <w:pPr>
        <w:spacing w:after="0" w:line="276" w:lineRule="auto"/>
        <w:jc w:val="both"/>
        <w:rPr>
          <w:rFonts w:ascii="Arial" w:eastAsia="Times New Roman" w:hAnsi="Arial" w:cs="Arial"/>
          <w:color w:val="000000" w:themeColor="text1"/>
          <w:kern w:val="0"/>
          <w:sz w:val="22"/>
          <w:szCs w:val="22"/>
          <w:lang w:eastAsia="en-GB"/>
          <w14:ligatures w14:val="none"/>
        </w:rPr>
      </w:pPr>
    </w:p>
    <w:p w14:paraId="485CAD01" w14:textId="77777777" w:rsidR="00455BCE" w:rsidRPr="00455BCE" w:rsidRDefault="00455BCE" w:rsidP="00455BCE">
      <w:pPr>
        <w:spacing w:after="0" w:line="276" w:lineRule="auto"/>
        <w:jc w:val="both"/>
        <w:rPr>
          <w:rFonts w:ascii="Arial" w:eastAsia="Times New Roman" w:hAnsi="Arial" w:cs="Arial"/>
          <w:color w:val="000000" w:themeColor="text1"/>
          <w:kern w:val="0"/>
          <w:sz w:val="22"/>
          <w:szCs w:val="22"/>
          <w:lang w:eastAsia="en-GB"/>
          <w14:ligatures w14:val="none"/>
        </w:rPr>
      </w:pPr>
      <w:r w:rsidRPr="00455BCE">
        <w:rPr>
          <w:rFonts w:ascii="Arial" w:eastAsia="Times New Roman" w:hAnsi="Arial" w:cs="Arial"/>
          <w:color w:val="000000" w:themeColor="text1"/>
          <w:kern w:val="0"/>
          <w:sz w:val="22"/>
          <w:szCs w:val="22"/>
          <w:lang w:eastAsia="en-GB"/>
          <w14:ligatures w14:val="none"/>
        </w:rPr>
        <w:t>K/59649/F - New wing and associated works (amendment to K/56977/F). Approved with Conditions 12th December 2008.</w:t>
      </w:r>
    </w:p>
    <w:p w14:paraId="2665CCFE" w14:textId="77777777" w:rsidR="00455BCE" w:rsidRPr="00455BCE" w:rsidRDefault="00455BCE" w:rsidP="00455BCE">
      <w:pPr>
        <w:spacing w:after="0" w:line="276" w:lineRule="auto"/>
        <w:jc w:val="both"/>
        <w:rPr>
          <w:rFonts w:ascii="Arial" w:eastAsia="Times New Roman" w:hAnsi="Arial" w:cs="Arial"/>
          <w:color w:val="000000" w:themeColor="text1"/>
          <w:kern w:val="0"/>
          <w:sz w:val="22"/>
          <w:szCs w:val="22"/>
          <w:lang w:eastAsia="en-GB"/>
          <w14:ligatures w14:val="none"/>
        </w:rPr>
      </w:pPr>
    </w:p>
    <w:p w14:paraId="2A75E6A5" w14:textId="77777777" w:rsidR="00455BCE" w:rsidRPr="00455BCE" w:rsidRDefault="00455BCE" w:rsidP="00455BCE">
      <w:pPr>
        <w:spacing w:after="0" w:line="276" w:lineRule="auto"/>
        <w:jc w:val="both"/>
        <w:rPr>
          <w:rFonts w:ascii="Arial" w:eastAsia="Times New Roman" w:hAnsi="Arial" w:cs="Arial"/>
          <w:color w:val="000000" w:themeColor="text1"/>
          <w:kern w:val="0"/>
          <w:sz w:val="22"/>
          <w:szCs w:val="22"/>
          <w:lang w:eastAsia="en-GB"/>
          <w14:ligatures w14:val="none"/>
        </w:rPr>
      </w:pPr>
      <w:r w:rsidRPr="00455BCE">
        <w:rPr>
          <w:rFonts w:ascii="Arial" w:eastAsia="Times New Roman" w:hAnsi="Arial" w:cs="Arial"/>
          <w:color w:val="000000" w:themeColor="text1"/>
          <w:kern w:val="0"/>
          <w:sz w:val="22"/>
          <w:szCs w:val="22"/>
          <w:lang w:eastAsia="en-GB"/>
          <w14:ligatures w14:val="none"/>
        </w:rPr>
        <w:t>K/59650/LBC - New wing and associated works (amendment to K/56969/LBC). Approved with Conditions 12th December 2008.</w:t>
      </w:r>
    </w:p>
    <w:p w14:paraId="081E0E87" w14:textId="77777777" w:rsidR="00455BCE" w:rsidRPr="00455BCE" w:rsidRDefault="00455BCE" w:rsidP="00455BCE">
      <w:pPr>
        <w:spacing w:after="0" w:line="276" w:lineRule="auto"/>
        <w:jc w:val="both"/>
        <w:rPr>
          <w:rFonts w:ascii="Arial" w:eastAsia="Times New Roman" w:hAnsi="Arial" w:cs="Arial"/>
          <w:color w:val="000000" w:themeColor="text1"/>
          <w:kern w:val="0"/>
          <w:sz w:val="22"/>
          <w:szCs w:val="22"/>
          <w:lang w:eastAsia="en-GB"/>
          <w14:ligatures w14:val="none"/>
        </w:rPr>
      </w:pPr>
    </w:p>
    <w:p w14:paraId="04200892" w14:textId="77777777" w:rsidR="00455BCE" w:rsidRPr="00455BCE" w:rsidRDefault="00455BCE" w:rsidP="00455BCE">
      <w:pPr>
        <w:spacing w:after="0" w:line="276" w:lineRule="auto"/>
        <w:jc w:val="both"/>
        <w:rPr>
          <w:rFonts w:ascii="Arial" w:eastAsia="Times New Roman" w:hAnsi="Arial" w:cs="Arial"/>
          <w:color w:val="000000" w:themeColor="text1"/>
          <w:kern w:val="0"/>
          <w:sz w:val="22"/>
          <w:szCs w:val="22"/>
          <w:lang w:eastAsia="en-GB"/>
          <w14:ligatures w14:val="none"/>
        </w:rPr>
      </w:pPr>
      <w:r w:rsidRPr="00455BCE">
        <w:rPr>
          <w:rFonts w:ascii="Arial" w:eastAsia="Times New Roman" w:hAnsi="Arial" w:cs="Arial"/>
          <w:color w:val="000000" w:themeColor="text1"/>
          <w:kern w:val="0"/>
          <w:sz w:val="22"/>
          <w:szCs w:val="22"/>
          <w:lang w:eastAsia="en-GB"/>
          <w14:ligatures w14:val="none"/>
        </w:rPr>
        <w:t>K/10964 - Garage. Approved with Conditions 24th September 1987.</w:t>
      </w:r>
    </w:p>
    <w:p w14:paraId="5BF56D01" w14:textId="77777777" w:rsidR="00455BCE" w:rsidRPr="00455BCE" w:rsidRDefault="00455BCE" w:rsidP="00455BCE">
      <w:pPr>
        <w:spacing w:after="0" w:line="276" w:lineRule="auto"/>
        <w:jc w:val="both"/>
        <w:rPr>
          <w:rFonts w:ascii="Arial" w:eastAsia="Times New Roman" w:hAnsi="Arial" w:cs="Arial"/>
          <w:color w:val="000000" w:themeColor="text1"/>
          <w:kern w:val="0"/>
          <w:sz w:val="22"/>
          <w:szCs w:val="22"/>
          <w:lang w:eastAsia="en-GB"/>
          <w14:ligatures w14:val="none"/>
        </w:rPr>
      </w:pPr>
    </w:p>
    <w:p w14:paraId="7163A065" w14:textId="77777777" w:rsidR="00455BCE" w:rsidRPr="00455BCE" w:rsidRDefault="00455BCE" w:rsidP="00455BCE">
      <w:pPr>
        <w:spacing w:after="0" w:line="276" w:lineRule="auto"/>
        <w:jc w:val="both"/>
        <w:rPr>
          <w:rFonts w:ascii="Arial" w:eastAsia="Times New Roman" w:hAnsi="Arial" w:cs="Arial"/>
          <w:color w:val="000000" w:themeColor="text1"/>
          <w:kern w:val="0"/>
          <w:sz w:val="22"/>
          <w:szCs w:val="22"/>
          <w:lang w:eastAsia="en-GB"/>
          <w14:ligatures w14:val="none"/>
        </w:rPr>
      </w:pPr>
      <w:r w:rsidRPr="00455BCE">
        <w:rPr>
          <w:rFonts w:ascii="Arial" w:eastAsia="Times New Roman" w:hAnsi="Arial" w:cs="Arial"/>
          <w:color w:val="000000" w:themeColor="text1"/>
          <w:kern w:val="0"/>
          <w:sz w:val="22"/>
          <w:szCs w:val="22"/>
          <w:lang w:eastAsia="en-GB"/>
          <w14:ligatures w14:val="none"/>
        </w:rPr>
        <w:t>K/10974/L – Demolition of existing garage. Approved with Conditions 24th September 1987.</w:t>
      </w:r>
    </w:p>
    <w:p w14:paraId="160D2526" w14:textId="77777777" w:rsidR="00455BCE" w:rsidRPr="00455BCE" w:rsidRDefault="00455BCE" w:rsidP="00455BCE">
      <w:pPr>
        <w:spacing w:after="0" w:line="276" w:lineRule="auto"/>
        <w:jc w:val="both"/>
        <w:rPr>
          <w:rFonts w:ascii="Arial" w:eastAsia="Times New Roman" w:hAnsi="Arial" w:cs="Arial"/>
          <w:color w:val="000000" w:themeColor="text1"/>
          <w:kern w:val="0"/>
          <w:sz w:val="22"/>
          <w:szCs w:val="22"/>
          <w:lang w:eastAsia="en-GB"/>
          <w14:ligatures w14:val="none"/>
        </w:rPr>
      </w:pPr>
    </w:p>
    <w:p w14:paraId="1156F05C" w14:textId="77777777" w:rsidR="00455BCE" w:rsidRPr="00455BCE" w:rsidRDefault="00455BCE" w:rsidP="00455BCE">
      <w:pPr>
        <w:spacing w:after="0" w:line="276" w:lineRule="auto"/>
        <w:jc w:val="both"/>
        <w:rPr>
          <w:rFonts w:ascii="Arial" w:eastAsia="Times New Roman" w:hAnsi="Arial" w:cs="Arial"/>
          <w:color w:val="000000" w:themeColor="text1"/>
          <w:kern w:val="0"/>
          <w:sz w:val="22"/>
          <w:szCs w:val="22"/>
          <w:lang w:eastAsia="en-GB"/>
          <w14:ligatures w14:val="none"/>
        </w:rPr>
      </w:pPr>
      <w:r w:rsidRPr="00455BCE">
        <w:rPr>
          <w:rFonts w:ascii="Arial" w:eastAsia="Times New Roman" w:hAnsi="Arial" w:cs="Arial"/>
          <w:color w:val="000000" w:themeColor="text1"/>
          <w:kern w:val="0"/>
          <w:sz w:val="22"/>
          <w:szCs w:val="22"/>
          <w:lang w:eastAsia="en-GB"/>
          <w14:ligatures w14:val="none"/>
        </w:rPr>
        <w:t>K/83/0065 - Two storey extension. Approved with Conditions 6th April 1983.</w:t>
      </w:r>
    </w:p>
    <w:p w14:paraId="4F4FACD2" w14:textId="77777777" w:rsidR="00455BCE" w:rsidRPr="00455BCE" w:rsidRDefault="00455BCE" w:rsidP="00455BCE">
      <w:pPr>
        <w:spacing w:after="0" w:line="276" w:lineRule="auto"/>
        <w:jc w:val="both"/>
        <w:rPr>
          <w:rFonts w:ascii="Arial" w:eastAsia="Times New Roman" w:hAnsi="Arial" w:cs="Arial"/>
          <w:color w:val="000000" w:themeColor="text1"/>
          <w:kern w:val="0"/>
          <w:sz w:val="22"/>
          <w:szCs w:val="22"/>
          <w:lang w:eastAsia="en-GB"/>
          <w14:ligatures w14:val="none"/>
        </w:rPr>
      </w:pPr>
    </w:p>
    <w:p w14:paraId="3EA5E55B" w14:textId="77777777" w:rsidR="00455BCE" w:rsidRPr="00455BCE" w:rsidRDefault="00455BCE" w:rsidP="00455BCE">
      <w:pPr>
        <w:spacing w:after="0" w:line="276" w:lineRule="auto"/>
        <w:jc w:val="both"/>
        <w:rPr>
          <w:rFonts w:ascii="Arial" w:eastAsia="Times New Roman" w:hAnsi="Arial" w:cs="Arial"/>
          <w:color w:val="000000" w:themeColor="text1"/>
          <w:kern w:val="0"/>
          <w:sz w:val="22"/>
          <w:szCs w:val="22"/>
          <w:lang w:eastAsia="en-GB"/>
          <w14:ligatures w14:val="none"/>
        </w:rPr>
      </w:pPr>
      <w:r w:rsidRPr="00455BCE">
        <w:rPr>
          <w:rFonts w:ascii="Arial" w:eastAsia="Times New Roman" w:hAnsi="Arial" w:cs="Arial"/>
          <w:color w:val="000000" w:themeColor="text1"/>
          <w:kern w:val="0"/>
          <w:sz w:val="22"/>
          <w:szCs w:val="22"/>
          <w:lang w:eastAsia="en-GB"/>
          <w14:ligatures w14:val="none"/>
        </w:rPr>
        <w:t>PL/2025/05916 - TG1 3 Crack Willows - Pollard to 2.5m above ground level. Previously pollarded trees with lapsed pollard cycles. No objection 19th August 2025.</w:t>
      </w:r>
    </w:p>
    <w:p w14:paraId="7D5CB191" w14:textId="77777777" w:rsidR="00455BCE" w:rsidRPr="00455BCE" w:rsidRDefault="00455BCE" w:rsidP="00455BCE">
      <w:pPr>
        <w:spacing w:after="0" w:line="276" w:lineRule="auto"/>
        <w:jc w:val="both"/>
        <w:rPr>
          <w:rFonts w:ascii="Arial" w:eastAsia="Times New Roman" w:hAnsi="Arial" w:cs="Arial"/>
          <w:color w:val="000000" w:themeColor="text1"/>
          <w:kern w:val="0"/>
          <w:sz w:val="22"/>
          <w:szCs w:val="22"/>
          <w:lang w:eastAsia="en-GB"/>
          <w14:ligatures w14:val="none"/>
        </w:rPr>
      </w:pPr>
    </w:p>
    <w:p w14:paraId="4E49B586" w14:textId="6814FBE3" w:rsidR="002941BD" w:rsidRPr="00455BCE" w:rsidRDefault="00455BCE" w:rsidP="00455BCE">
      <w:pPr>
        <w:spacing w:after="0" w:line="276" w:lineRule="auto"/>
        <w:jc w:val="both"/>
        <w:rPr>
          <w:rFonts w:ascii="Arial" w:eastAsia="Times New Roman" w:hAnsi="Arial" w:cs="Arial"/>
          <w:color w:val="000000" w:themeColor="text1"/>
          <w:kern w:val="0"/>
          <w:sz w:val="22"/>
          <w:szCs w:val="22"/>
          <w:lang w:eastAsia="en-GB"/>
          <w14:ligatures w14:val="none"/>
        </w:rPr>
      </w:pPr>
      <w:r w:rsidRPr="00455BCE">
        <w:rPr>
          <w:rFonts w:ascii="Arial" w:eastAsia="Times New Roman" w:hAnsi="Arial" w:cs="Arial"/>
          <w:color w:val="000000" w:themeColor="text1"/>
          <w:kern w:val="0"/>
          <w:sz w:val="22"/>
          <w:szCs w:val="22"/>
          <w:lang w:eastAsia="en-GB"/>
          <w14:ligatures w14:val="none"/>
        </w:rPr>
        <w:t>18/03384/TCA - Works to trees on The Green - as specified in accompanying reports. NOOBJECT 4th May 2018.</w:t>
      </w:r>
    </w:p>
    <w:p w14:paraId="7CC5C0F9"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498914DB" w14:textId="7F49DE07" w:rsidR="00683C17" w:rsidRDefault="00F7609E" w:rsidP="00683C17">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p>
    <w:p w14:paraId="1DCACF73" w14:textId="77777777" w:rsidR="007844EF" w:rsidRDefault="007844EF" w:rsidP="00683C17">
      <w:pPr>
        <w:spacing w:after="0" w:line="276" w:lineRule="auto"/>
        <w:jc w:val="both"/>
        <w:rPr>
          <w:rFonts w:ascii="Arial" w:eastAsia="Times New Roman" w:hAnsi="Arial" w:cs="Arial"/>
          <w:color w:val="FF0000"/>
          <w:kern w:val="0"/>
          <w:sz w:val="22"/>
          <w:szCs w:val="22"/>
          <w:lang w:eastAsia="en-GB"/>
          <w14:ligatures w14:val="none"/>
        </w:rPr>
      </w:pPr>
    </w:p>
    <w:p w14:paraId="2AF1EDE7" w14:textId="77777777" w:rsidR="00AB6CA9" w:rsidRPr="00AB6CA9" w:rsidRDefault="0029205E"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1E407051" w14:textId="77777777" w:rsidR="006B23D0" w:rsidRPr="006B23D0" w:rsidRDefault="006B23D0"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29218C26"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070A548A"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3259F798"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407C444E" w14:textId="77777777" w:rsidR="0029205E" w:rsidRPr="00496BFD" w:rsidRDefault="0029205E" w:rsidP="00507FCF">
      <w:pPr>
        <w:autoSpaceDE w:val="0"/>
        <w:autoSpaceDN w:val="0"/>
        <w:spacing w:after="0" w:line="276" w:lineRule="auto"/>
        <w:jc w:val="both"/>
        <w:rPr>
          <w:rFonts w:ascii="Arial" w:hAnsi="Arial" w:cs="Arial"/>
          <w:sz w:val="22"/>
          <w:szCs w:val="22"/>
          <w:u w:val="single"/>
          <w:lang w:eastAsia="en-GB"/>
        </w:rPr>
      </w:pPr>
      <w:bookmarkStart w:id="0" w:name="_Hlk192696406"/>
      <w:r w:rsidRPr="00496BFD">
        <w:rPr>
          <w:rFonts w:ascii="Arial" w:hAnsi="Arial" w:cs="Arial"/>
          <w:sz w:val="22"/>
          <w:szCs w:val="22"/>
          <w:u w:val="single"/>
          <w:lang w:eastAsia="en-GB"/>
        </w:rPr>
        <w:t>National Policy and Guidance</w:t>
      </w:r>
    </w:p>
    <w:bookmarkEnd w:id="0"/>
    <w:p w14:paraId="7A55461D" w14:textId="77777777"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 sets out government policy, including in respect of the historic environment.  </w:t>
      </w:r>
    </w:p>
    <w:p w14:paraId="346FC850" w14:textId="77777777" w:rsidR="00507FCF" w:rsidRPr="00507FCF" w:rsidRDefault="00507FCF" w:rsidP="00507FCF">
      <w:pPr>
        <w:autoSpaceDE w:val="0"/>
        <w:autoSpaceDN w:val="0"/>
        <w:spacing w:after="0" w:line="276" w:lineRule="auto"/>
        <w:jc w:val="both"/>
        <w:rPr>
          <w:rFonts w:ascii="Arial" w:hAnsi="Arial" w:cs="Arial"/>
          <w:sz w:val="22"/>
          <w:szCs w:val="22"/>
        </w:rPr>
      </w:pPr>
    </w:p>
    <w:p w14:paraId="3F646F9E"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 xml:space="preserve">Section 16 of the NPPF ('Conserving and enhancing the historic environment') sets out the Government's high-level policies concerning heritage and sustainable development. </w:t>
      </w:r>
    </w:p>
    <w:p w14:paraId="0B1ACFFA" w14:textId="77777777" w:rsidR="00507FCF" w:rsidRPr="00507FCF" w:rsidRDefault="00507FCF" w:rsidP="00507FCF">
      <w:pPr>
        <w:autoSpaceDE w:val="0"/>
        <w:autoSpaceDN w:val="0"/>
        <w:spacing w:after="0" w:line="276" w:lineRule="auto"/>
        <w:jc w:val="both"/>
        <w:rPr>
          <w:rFonts w:ascii="Arial" w:hAnsi="Arial" w:cs="Arial"/>
          <w:sz w:val="22"/>
          <w:szCs w:val="22"/>
        </w:rPr>
      </w:pPr>
    </w:p>
    <w:p w14:paraId="1EA9598D" w14:textId="77777777" w:rsidR="00507FCF" w:rsidRDefault="00507FCF" w:rsidP="00507FCF">
      <w:pPr>
        <w:autoSpaceDE w:val="0"/>
        <w:autoSpaceDN w:val="0"/>
        <w:spacing w:after="0" w:line="276" w:lineRule="auto"/>
        <w:jc w:val="both"/>
        <w:rPr>
          <w:rFonts w:ascii="Arial" w:hAnsi="Arial" w:cs="Arial"/>
          <w:color w:val="000000"/>
          <w:sz w:val="22"/>
          <w:szCs w:val="22"/>
          <w:lang w:eastAsia="en-GB"/>
        </w:rPr>
      </w:pPr>
      <w:r w:rsidRPr="00507FCF">
        <w:rPr>
          <w:rFonts w:ascii="Arial" w:hAnsi="Arial" w:cs="Arial"/>
          <w:color w:val="000000"/>
          <w:sz w:val="22"/>
          <w:szCs w:val="22"/>
          <w:lang w:eastAsia="en-GB"/>
        </w:rPr>
        <w:t>Paragraphs 213-215 of the NPPF require a balanced approach with any harm which would be caused being weighed against the potential public benefits which might be achieved. Paragraph 210 requires local planning authorities to take account of the desirability of sustaining and enhancing the significance of heritage assets and of new development making a positive contribution to local character and distinctiveness.</w:t>
      </w:r>
    </w:p>
    <w:p w14:paraId="325A1E8B" w14:textId="77777777" w:rsidR="00507FCF" w:rsidRPr="00507FCF" w:rsidRDefault="00507FCF" w:rsidP="00507FCF">
      <w:pPr>
        <w:autoSpaceDE w:val="0"/>
        <w:autoSpaceDN w:val="0"/>
        <w:spacing w:after="0" w:line="276" w:lineRule="auto"/>
        <w:jc w:val="both"/>
        <w:rPr>
          <w:rFonts w:ascii="Arial" w:hAnsi="Arial" w:cs="Arial"/>
          <w:sz w:val="22"/>
          <w:szCs w:val="22"/>
        </w:rPr>
      </w:pPr>
    </w:p>
    <w:p w14:paraId="46529921" w14:textId="77777777" w:rsidR="00507FCF" w:rsidRPr="00507FCF" w:rsidRDefault="00507FCF" w:rsidP="00507FCF">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69C970A3" w14:textId="77777777" w:rsidR="00507FCF" w:rsidRPr="00507FCF" w:rsidRDefault="00507FCF" w:rsidP="00507FCF">
      <w:pPr>
        <w:spacing w:after="0" w:line="276" w:lineRule="auto"/>
        <w:jc w:val="both"/>
        <w:rPr>
          <w:rFonts w:ascii="Arial" w:hAnsi="Arial" w:cs="Arial"/>
          <w:sz w:val="22"/>
          <w:szCs w:val="22"/>
          <w:lang w:eastAsia="en-GB"/>
        </w:rPr>
      </w:pPr>
    </w:p>
    <w:p w14:paraId="6FF2FB66" w14:textId="77777777" w:rsidR="00507FCF" w:rsidRPr="00507FCF" w:rsidRDefault="00507FCF" w:rsidP="00507FCF">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t>Historic England Advice Note 2</w:t>
      </w:r>
      <w:r w:rsidR="00CB7792" w:rsidRPr="00CB7792">
        <w:rPr>
          <w:rFonts w:ascii="Arial" w:hAnsi="Arial" w:cs="Arial"/>
          <w:i/>
          <w:iCs/>
          <w:sz w:val="22"/>
          <w:szCs w:val="22"/>
          <w:lang w:eastAsia="en-GB"/>
        </w:rPr>
        <w:t xml:space="preserve">: </w:t>
      </w:r>
      <w:r w:rsidRPr="00CB7792">
        <w:rPr>
          <w:rFonts w:ascii="Arial" w:hAnsi="Arial" w:cs="Arial"/>
          <w:i/>
          <w:iCs/>
          <w:sz w:val="22"/>
          <w:szCs w:val="22"/>
          <w:lang w:eastAsia="en-GB"/>
        </w:rPr>
        <w:t>Making changes to Heritage Assets</w:t>
      </w:r>
      <w:r w:rsidR="00CB7792">
        <w:rPr>
          <w:rFonts w:ascii="Arial" w:hAnsi="Arial" w:cs="Arial"/>
          <w:sz w:val="22"/>
          <w:szCs w:val="22"/>
          <w:lang w:eastAsia="en-GB"/>
        </w:rPr>
        <w:t>,</w:t>
      </w:r>
      <w:r w:rsidRPr="00507FCF">
        <w:rPr>
          <w:rFonts w:ascii="Arial" w:hAnsi="Arial" w:cs="Arial"/>
          <w:sz w:val="22"/>
          <w:szCs w:val="22"/>
          <w:lang w:eastAsia="en-GB"/>
        </w:rPr>
        <w:t xml:space="preserve"> illustrates the application of policies set out in the NPPF in determining applications for LBC (and planning permission).</w:t>
      </w:r>
    </w:p>
    <w:p w14:paraId="57A35E41" w14:textId="77777777" w:rsidR="00507FCF" w:rsidRPr="00507FCF" w:rsidRDefault="00507FCF" w:rsidP="00507FCF">
      <w:pPr>
        <w:spacing w:after="0" w:line="276" w:lineRule="auto"/>
        <w:jc w:val="both"/>
        <w:rPr>
          <w:rFonts w:ascii="Arial" w:hAnsi="Arial" w:cs="Arial"/>
          <w:sz w:val="22"/>
          <w:szCs w:val="22"/>
          <w:lang w:eastAsia="en-GB"/>
        </w:rPr>
      </w:pPr>
    </w:p>
    <w:p w14:paraId="6AC90FC7" w14:textId="77777777"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3E6F37A2" w14:textId="77777777"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4BB622E2" w14:textId="77777777" w:rsidR="00384CE5" w:rsidRPr="00C84F43" w:rsidRDefault="00384CE5" w:rsidP="00465B83">
      <w:pPr>
        <w:spacing w:after="0" w:line="276" w:lineRule="auto"/>
        <w:jc w:val="both"/>
        <w:rPr>
          <w:rFonts w:ascii="Arial" w:hAnsi="Arial" w:cs="Arial"/>
          <w:iCs/>
          <w:sz w:val="22"/>
          <w:szCs w:val="22"/>
        </w:rPr>
      </w:pPr>
    </w:p>
    <w:p w14:paraId="25651A8F"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 xml:space="preserve">Core </w:t>
      </w:r>
      <w:r w:rsidR="00465B83" w:rsidRPr="00FC44D1">
        <w:rPr>
          <w:rFonts w:ascii="Arial" w:hAnsi="Arial" w:cs="Arial"/>
          <w:iCs/>
          <w:sz w:val="22"/>
          <w:szCs w:val="22"/>
        </w:rPr>
        <w:t xml:space="preserve"> Policy 57 ‘</w:t>
      </w:r>
      <w:r w:rsidR="00465B83" w:rsidRPr="00FC44D1">
        <w:rPr>
          <w:rFonts w:ascii="Arial" w:hAnsi="Arial" w:cs="Arial"/>
          <w:bCs/>
          <w:iCs/>
          <w:sz w:val="22"/>
          <w:szCs w:val="22"/>
        </w:rPr>
        <w:t xml:space="preserve">Ensuring high quality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32B8AD5A" w14:textId="77777777" w:rsidR="00465B83" w:rsidRPr="00465B83" w:rsidRDefault="00465B83" w:rsidP="00FC44D1">
      <w:pPr>
        <w:spacing w:after="0" w:line="276" w:lineRule="auto"/>
        <w:jc w:val="both"/>
        <w:rPr>
          <w:rFonts w:ascii="Arial" w:hAnsi="Arial" w:cs="Arial"/>
          <w:iCs/>
          <w:sz w:val="22"/>
          <w:szCs w:val="22"/>
        </w:rPr>
      </w:pPr>
    </w:p>
    <w:p w14:paraId="71DF2185"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1815E4A1"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1AF0AAF7" w14:textId="77777777"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1DDB7B3B" w14:textId="77777777" w:rsidR="0062089F" w:rsidRDefault="0062089F" w:rsidP="00CD3444">
      <w:pPr>
        <w:spacing w:after="0" w:line="276" w:lineRule="auto"/>
        <w:jc w:val="both"/>
        <w:rPr>
          <w:rFonts w:ascii="Arial" w:hAnsi="Arial" w:cs="Arial"/>
          <w:bCs/>
          <w:color w:val="000000"/>
        </w:rPr>
      </w:pPr>
    </w:p>
    <w:p w14:paraId="08135470" w14:textId="77777777"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689B0388"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1DE3771D"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3A5D4CEE"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61667DF3" w14:textId="77777777" w:rsidR="00DF6F97" w:rsidRPr="00E16B1D" w:rsidRDefault="00DF6F97" w:rsidP="00DF6F97">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Poulshot </w:t>
      </w:r>
      <w:r w:rsidRPr="00085C56">
        <w:rPr>
          <w:rFonts w:ascii="Arial" w:eastAsia="Times New Roman" w:hAnsi="Arial" w:cs="Arial"/>
          <w:kern w:val="0"/>
          <w:sz w:val="22"/>
          <w:szCs w:val="22"/>
          <w:u w:val="single"/>
          <w:lang w:eastAsia="en-GB"/>
          <w14:ligatures w14:val="none"/>
        </w:rPr>
        <w:t>Parish Council</w:t>
      </w:r>
      <w:r w:rsidRPr="00085C56">
        <w:rPr>
          <w:rFonts w:ascii="Arial" w:eastAsia="Times New Roman" w:hAnsi="Arial" w:cs="Arial"/>
          <w:kern w:val="0"/>
          <w:sz w:val="22"/>
          <w:szCs w:val="22"/>
          <w:lang w:eastAsia="en-GB"/>
          <w14:ligatures w14:val="none"/>
        </w:rPr>
        <w:t>:</w:t>
      </w:r>
      <w:r w:rsidRPr="00A3010D">
        <w:rPr>
          <w:rFonts w:ascii="Arial" w:eastAsia="Times New Roman" w:hAnsi="Arial" w:cs="Arial"/>
          <w:kern w:val="0"/>
          <w:sz w:val="22"/>
          <w:szCs w:val="22"/>
          <w:lang w:eastAsia="en-GB"/>
          <w14:ligatures w14:val="none"/>
        </w:rPr>
        <w:t xml:space="preserve"> </w:t>
      </w:r>
      <w:bookmarkStart w:id="1" w:name="_Hlk198304422"/>
      <w:r>
        <w:rPr>
          <w:rFonts w:ascii="Arial" w:eastAsia="Times New Roman" w:hAnsi="Arial" w:cs="Arial"/>
          <w:kern w:val="0"/>
          <w:sz w:val="22"/>
          <w:szCs w:val="22"/>
          <w:lang w:eastAsia="en-GB"/>
          <w14:ligatures w14:val="none"/>
        </w:rPr>
        <w:t>Object.</w:t>
      </w:r>
    </w:p>
    <w:bookmarkEnd w:id="1"/>
    <w:p w14:paraId="33FAB788" w14:textId="77777777" w:rsidR="00DF6F97" w:rsidRDefault="00DF6F97" w:rsidP="00DF6F97">
      <w:pPr>
        <w:spacing w:after="0" w:line="276" w:lineRule="auto"/>
        <w:jc w:val="both"/>
        <w:rPr>
          <w:rFonts w:ascii="Arial" w:eastAsia="Times New Roman" w:hAnsi="Arial" w:cs="Arial"/>
          <w:b/>
          <w:bCs/>
          <w:color w:val="FF0000"/>
          <w:kern w:val="0"/>
          <w:sz w:val="22"/>
          <w:szCs w:val="22"/>
          <w:lang w:eastAsia="en-GB"/>
          <w14:ligatures w14:val="none"/>
        </w:rPr>
      </w:pPr>
    </w:p>
    <w:p w14:paraId="345FB798" w14:textId="77777777" w:rsidR="00DF6F97" w:rsidRPr="00D6355E" w:rsidRDefault="00DF6F97" w:rsidP="00DF6F97">
      <w:pPr>
        <w:spacing w:after="0" w:line="276" w:lineRule="auto"/>
        <w:jc w:val="both"/>
        <w:rPr>
          <w:rFonts w:ascii="Arial" w:eastAsia="Times New Roman" w:hAnsi="Arial" w:cs="Arial"/>
          <w:color w:val="000000" w:themeColor="text1"/>
          <w:kern w:val="0"/>
          <w:sz w:val="22"/>
          <w:szCs w:val="22"/>
          <w:lang w:eastAsia="en-GB"/>
          <w14:ligatures w14:val="none"/>
        </w:rPr>
      </w:pPr>
      <w:r w:rsidRPr="00D6355E">
        <w:rPr>
          <w:rFonts w:ascii="Arial" w:eastAsia="Times New Roman" w:hAnsi="Arial" w:cs="Arial"/>
          <w:color w:val="000000" w:themeColor="text1"/>
          <w:kern w:val="0"/>
          <w:sz w:val="22"/>
          <w:szCs w:val="22"/>
          <w:u w:val="single"/>
          <w:lang w:eastAsia="en-GB"/>
          <w14:ligatures w14:val="none"/>
        </w:rPr>
        <w:t>Conservation</w:t>
      </w:r>
      <w:r w:rsidRPr="00D6355E">
        <w:rPr>
          <w:rFonts w:ascii="Arial" w:eastAsia="Times New Roman" w:hAnsi="Arial" w:cs="Arial"/>
          <w:color w:val="000000" w:themeColor="text1"/>
          <w:kern w:val="0"/>
          <w:sz w:val="22"/>
          <w:szCs w:val="22"/>
          <w:lang w:eastAsia="en-GB"/>
          <w14:ligatures w14:val="none"/>
        </w:rPr>
        <w:t>: Object.</w:t>
      </w:r>
    </w:p>
    <w:p w14:paraId="18763298"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097FB6AE" w14:textId="7D840E66" w:rsidR="0052282C" w:rsidRPr="0052282C" w:rsidRDefault="00F7609E" w:rsidP="0052282C">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p>
    <w:p w14:paraId="1B0BC292" w14:textId="77777777" w:rsidR="00B030C6" w:rsidRPr="00475AA8" w:rsidRDefault="00B030C6" w:rsidP="00E03DF5">
      <w:pPr>
        <w:spacing w:after="0" w:line="276" w:lineRule="auto"/>
        <w:jc w:val="both"/>
        <w:rPr>
          <w:rFonts w:ascii="Arial" w:eastAsia="Arial" w:hAnsi="Arial" w:cs="Arial"/>
          <w:color w:val="ED0000"/>
          <w:sz w:val="22"/>
          <w:szCs w:val="22"/>
        </w:rPr>
      </w:pPr>
    </w:p>
    <w:p w14:paraId="2D342572" w14:textId="77777777" w:rsidR="00E03DF5" w:rsidRDefault="00BD555F"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(1)</w:t>
      </w:r>
      <w:r w:rsidR="00970D26">
        <w:rPr>
          <w:rFonts w:ascii="Arial" w:eastAsia="Arial" w:hAnsi="Arial" w:cs="Arial"/>
          <w:sz w:val="22"/>
          <w:szCs w:val="22"/>
        </w:rPr>
        <w:t xml:space="preserve">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sidR="00970D26">
        <w:rPr>
          <w:rFonts w:ascii="Arial" w:eastAsia="Arial" w:hAnsi="Arial" w:cs="Arial"/>
          <w:sz w:val="22"/>
          <w:szCs w:val="22"/>
        </w:rPr>
        <w:t xml:space="preserve">) </w:t>
      </w:r>
      <w:r w:rsidR="00E03DF5" w:rsidRPr="00E03DF5">
        <w:rPr>
          <w:rFonts w:ascii="Arial" w:eastAsia="Arial" w:hAnsi="Arial" w:cs="Arial"/>
          <w:sz w:val="22"/>
          <w:szCs w:val="22"/>
        </w:rPr>
        <w:t>the application for listed building consent was publicised by way of:</w:t>
      </w:r>
    </w:p>
    <w:p w14:paraId="448D480D" w14:textId="77777777" w:rsidR="00E03DF5" w:rsidRPr="00E03DF5" w:rsidRDefault="00E03DF5" w:rsidP="00E03DF5">
      <w:pPr>
        <w:spacing w:after="0" w:line="276" w:lineRule="auto"/>
        <w:jc w:val="both"/>
        <w:rPr>
          <w:rFonts w:ascii="Arial" w:eastAsia="Arial" w:hAnsi="Arial" w:cs="Arial"/>
          <w:sz w:val="22"/>
          <w:szCs w:val="22"/>
        </w:rPr>
      </w:pPr>
    </w:p>
    <w:p w14:paraId="7B11F90E" w14:textId="77777777" w:rsidR="00E03DF5" w:rsidRPr="00E03DF5"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A site notice displayed near the site</w:t>
      </w:r>
      <w:r>
        <w:rPr>
          <w:rFonts w:ascii="Arial" w:eastAsia="Arial" w:hAnsi="Arial" w:cs="Arial"/>
          <w:color w:val="000000" w:themeColor="text1"/>
          <w:sz w:val="22"/>
          <w:szCs w:val="22"/>
        </w:rPr>
        <w:t>;</w:t>
      </w:r>
    </w:p>
    <w:p w14:paraId="7B8C8239" w14:textId="77777777" w:rsidR="00E03DF5" w:rsidRPr="00E03DF5" w:rsidRDefault="00E03DF5" w:rsidP="00E03DF5">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t>An advertisement placed in the local press</w:t>
      </w:r>
      <w:r w:rsidR="00970D26">
        <w:rPr>
          <w:rFonts w:ascii="Arial" w:eastAsia="Arial" w:hAnsi="Arial" w:cs="Arial"/>
          <w:sz w:val="22"/>
          <w:szCs w:val="22"/>
        </w:rPr>
        <w:t>.</w:t>
      </w:r>
    </w:p>
    <w:p w14:paraId="586CB386" w14:textId="77777777" w:rsidR="00E03DF5" w:rsidRDefault="00E03DF5" w:rsidP="00E03DF5">
      <w:pPr>
        <w:spacing w:after="0" w:line="276" w:lineRule="auto"/>
        <w:jc w:val="both"/>
        <w:rPr>
          <w:rFonts w:ascii="Arial" w:eastAsia="Arial" w:hAnsi="Arial" w:cs="Arial"/>
          <w:sz w:val="22"/>
          <w:szCs w:val="22"/>
        </w:rPr>
      </w:pPr>
    </w:p>
    <w:p w14:paraId="5D300E65" w14:textId="77777777" w:rsidR="00E03DF5" w:rsidRP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17A5160E" w14:textId="77777777" w:rsidR="00D902FA" w:rsidRDefault="00D902FA" w:rsidP="77C81A16">
      <w:pPr>
        <w:spacing w:after="0" w:line="276" w:lineRule="auto"/>
        <w:jc w:val="both"/>
      </w:pPr>
    </w:p>
    <w:p w14:paraId="334BD700" w14:textId="77777777" w:rsidR="00475AA8" w:rsidRDefault="00513E22" w:rsidP="00D902FA">
      <w:pPr>
        <w:spacing w:after="0" w:line="276" w:lineRule="auto"/>
        <w:jc w:val="both"/>
        <w:rPr>
          <w:rFonts w:ascii="Arial" w:eastAsia="Arial" w:hAnsi="Arial" w:cs="Arial"/>
          <w:sz w:val="22"/>
          <w:szCs w:val="22"/>
        </w:rPr>
      </w:pPr>
      <w:r w:rsidRPr="00513E22">
        <w:rPr>
          <w:rFonts w:ascii="Arial" w:eastAsia="Arial" w:hAnsi="Arial" w:cs="Arial"/>
          <w:sz w:val="22"/>
          <w:szCs w:val="22"/>
        </w:rPr>
        <w:t xml:space="preserve">Below is a summary of the representations received during the consultation period. In accordance with the provisions of the </w:t>
      </w:r>
      <w:r w:rsidRPr="00513E22">
        <w:rPr>
          <w:rFonts w:ascii="Arial" w:eastAsia="Arial" w:hAnsi="Arial" w:cs="Arial"/>
          <w:i/>
          <w:iCs/>
          <w:sz w:val="22"/>
          <w:szCs w:val="22"/>
        </w:rPr>
        <w:t>Planning (Listed Buildings and Conservation Areas) Act 1990</w:t>
      </w:r>
      <w:r w:rsidRPr="00513E22">
        <w:rPr>
          <w:rFonts w:ascii="Arial" w:eastAsia="Arial" w:hAnsi="Arial" w:cs="Arial"/>
          <w:sz w:val="22"/>
          <w:szCs w:val="22"/>
        </w:rPr>
        <w:t xml:space="preserve">, only matters relevant to the consideration of the building’s special architectural or historic interest have been </w:t>
      </w:r>
      <w:proofErr w:type="gramStart"/>
      <w:r w:rsidRPr="00513E22">
        <w:rPr>
          <w:rFonts w:ascii="Arial" w:eastAsia="Arial" w:hAnsi="Arial" w:cs="Arial"/>
          <w:sz w:val="22"/>
          <w:szCs w:val="22"/>
        </w:rPr>
        <w:t>taken into account</w:t>
      </w:r>
      <w:proofErr w:type="gramEnd"/>
      <w:r w:rsidRPr="00513E22">
        <w:rPr>
          <w:rFonts w:ascii="Arial" w:eastAsia="Arial" w:hAnsi="Arial" w:cs="Arial"/>
          <w:sz w:val="22"/>
          <w:szCs w:val="22"/>
        </w:rPr>
        <w:t xml:space="preserve"> in the assessment of this Listed Building Consent application.</w:t>
      </w:r>
    </w:p>
    <w:p w14:paraId="03FB91CA"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6514B225" w14:textId="77777777"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66032562" w14:textId="77777777" w:rsidR="00044293" w:rsidRPr="00044293" w:rsidRDefault="00044293" w:rsidP="00044293">
      <w:pPr>
        <w:spacing w:after="0" w:line="276" w:lineRule="auto"/>
        <w:jc w:val="both"/>
        <w:rPr>
          <w:rFonts w:ascii="Arial" w:eastAsia="Times New Roman" w:hAnsi="Arial" w:cs="Arial"/>
          <w:color w:val="000000" w:themeColor="text1"/>
          <w:kern w:val="0"/>
          <w:sz w:val="22"/>
          <w:szCs w:val="22"/>
          <w:lang w:eastAsia="en-GB"/>
          <w14:ligatures w14:val="none"/>
        </w:rPr>
      </w:pPr>
      <w:r w:rsidRPr="00044293">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16: Conserving and Enhancing the Historic Environment, have also been </w:t>
      </w:r>
      <w:proofErr w:type="gramStart"/>
      <w:r w:rsidRPr="00044293">
        <w:rPr>
          <w:rFonts w:ascii="Arial" w:eastAsia="Times New Roman" w:hAnsi="Arial" w:cs="Arial"/>
          <w:color w:val="000000" w:themeColor="text1"/>
          <w:kern w:val="0"/>
          <w:sz w:val="22"/>
          <w:szCs w:val="22"/>
          <w:lang w:eastAsia="en-GB"/>
          <w14:ligatures w14:val="none"/>
        </w:rPr>
        <w:t>taken into account</w:t>
      </w:r>
      <w:proofErr w:type="gramEnd"/>
      <w:r w:rsidRPr="00044293">
        <w:rPr>
          <w:rFonts w:ascii="Arial" w:eastAsia="Times New Roman" w:hAnsi="Arial" w:cs="Arial"/>
          <w:color w:val="000000" w:themeColor="text1"/>
          <w:kern w:val="0"/>
          <w:sz w:val="22"/>
          <w:szCs w:val="22"/>
          <w:lang w:eastAsia="en-GB"/>
          <w14:ligatures w14:val="none"/>
        </w:rPr>
        <w:t>. These policies require that any harm to the significance of a designated heritage asset must be clearly justified and weighed against the public benefits of the proposal.</w:t>
      </w:r>
    </w:p>
    <w:p w14:paraId="21BE08AE"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125FBA27" w14:textId="77777777" w:rsidR="00A96182" w:rsidRPr="00A96182" w:rsidRDefault="00A96182" w:rsidP="00A96182">
      <w:pPr>
        <w:spacing w:after="0" w:line="240" w:lineRule="auto"/>
        <w:jc w:val="both"/>
        <w:rPr>
          <w:rFonts w:ascii="Times New Roman" w:eastAsia="Times New Roman" w:hAnsi="Times New Roman" w:cs="Times New Roman"/>
          <w:kern w:val="0"/>
          <w:lang w:eastAsia="en-GB"/>
          <w14:ligatures w14:val="none"/>
        </w:rPr>
      </w:pPr>
      <w:proofErr w:type="gramStart"/>
      <w:r w:rsidRPr="00A96182">
        <w:rPr>
          <w:rFonts w:ascii="Arial" w:eastAsia="Times New Roman" w:hAnsi="Arial" w:cs="Arial"/>
          <w:color w:val="000000"/>
          <w:kern w:val="0"/>
          <w:sz w:val="22"/>
          <w:szCs w:val="22"/>
          <w:lang w:eastAsia="en-GB"/>
          <w14:ligatures w14:val="none"/>
        </w:rPr>
        <w:t>In order to</w:t>
      </w:r>
      <w:proofErr w:type="gramEnd"/>
      <w:r w:rsidRPr="00A96182">
        <w:rPr>
          <w:rFonts w:ascii="Arial" w:eastAsia="Times New Roman" w:hAnsi="Arial" w:cs="Arial"/>
          <w:color w:val="000000"/>
          <w:kern w:val="0"/>
          <w:sz w:val="22"/>
          <w:szCs w:val="22"/>
          <w:lang w:eastAsia="en-GB"/>
          <w14:ligatures w14:val="none"/>
        </w:rPr>
        <w:t xml:space="preserve"> be acceptable, the application needs to be assessed against the following criteria:</w:t>
      </w:r>
    </w:p>
    <w:p w14:paraId="7D7533D2"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1451EE56" w14:textId="77777777" w:rsidR="00E25A94" w:rsidRDefault="00E25A94" w:rsidP="00E25A94">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u w:val="single"/>
          <w:lang w:eastAsia="en-GB"/>
          <w14:ligatures w14:val="none"/>
        </w:rPr>
        <w:t>Information considered/submitted</w:t>
      </w:r>
    </w:p>
    <w:p w14:paraId="26311436" w14:textId="77777777" w:rsidR="00E25A94" w:rsidRPr="00E25A94" w:rsidRDefault="00E25A94"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lang w:eastAsia="en-GB"/>
          <w14:ligatures w14:val="none"/>
        </w:rPr>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p>
    <w:p w14:paraId="43E13395" w14:textId="77777777" w:rsidR="00E25A94" w:rsidRDefault="00E25A94" w:rsidP="00E25A94">
      <w:pPr>
        <w:spacing w:after="0" w:line="276" w:lineRule="auto"/>
        <w:ind w:right="-23"/>
        <w:jc w:val="both"/>
        <w:rPr>
          <w:rFonts w:ascii="Arial" w:eastAsia="Times New Roman" w:hAnsi="Arial" w:cs="Arial"/>
          <w:b/>
          <w:bCs/>
          <w:color w:val="FF0000"/>
          <w:kern w:val="0"/>
          <w:sz w:val="22"/>
          <w:szCs w:val="22"/>
          <w:lang w:eastAsia="en-GB"/>
          <w14:ligatures w14:val="none"/>
        </w:rPr>
      </w:pPr>
    </w:p>
    <w:p w14:paraId="6EE130AF" w14:textId="7434079E" w:rsidR="00DF6F97" w:rsidRPr="00156623" w:rsidRDefault="00DF6F97"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156623">
        <w:rPr>
          <w:rFonts w:ascii="Arial" w:eastAsia="Times New Roman" w:hAnsi="Arial" w:cs="Arial"/>
          <w:color w:val="000000" w:themeColor="text1"/>
          <w:kern w:val="0"/>
          <w:sz w:val="22"/>
          <w:szCs w:val="22"/>
          <w:lang w:eastAsia="en-GB"/>
          <w14:ligatures w14:val="none"/>
        </w:rPr>
        <w:t xml:space="preserve">The application has been submitted with </w:t>
      </w:r>
      <w:r w:rsidR="00C134DC" w:rsidRPr="00156623">
        <w:rPr>
          <w:rFonts w:ascii="Arial" w:eastAsia="Times New Roman" w:hAnsi="Arial" w:cs="Arial"/>
          <w:color w:val="000000" w:themeColor="text1"/>
          <w:kern w:val="0"/>
          <w:sz w:val="22"/>
          <w:szCs w:val="22"/>
          <w:lang w:eastAsia="en-GB"/>
          <w14:ligatures w14:val="none"/>
        </w:rPr>
        <w:t xml:space="preserve">a Design, Heritage &amp; Access Statement by Dolman Surveyors which gives a brief site analysis </w:t>
      </w:r>
      <w:r w:rsidR="00E4204A" w:rsidRPr="00156623">
        <w:rPr>
          <w:rFonts w:ascii="Arial" w:eastAsia="Times New Roman" w:hAnsi="Arial" w:cs="Arial"/>
          <w:color w:val="000000" w:themeColor="text1"/>
          <w:kern w:val="0"/>
          <w:sz w:val="22"/>
          <w:szCs w:val="22"/>
          <w:lang w:eastAsia="en-GB"/>
          <w14:ligatures w14:val="none"/>
        </w:rPr>
        <w:t>and over</w:t>
      </w:r>
      <w:r w:rsidR="00156623" w:rsidRPr="00156623">
        <w:rPr>
          <w:rFonts w:ascii="Arial" w:eastAsia="Times New Roman" w:hAnsi="Arial" w:cs="Arial"/>
          <w:color w:val="000000" w:themeColor="text1"/>
          <w:kern w:val="0"/>
          <w:sz w:val="22"/>
          <w:szCs w:val="22"/>
          <w:lang w:eastAsia="en-GB"/>
          <w14:ligatures w14:val="none"/>
        </w:rPr>
        <w:t>vi</w:t>
      </w:r>
      <w:r w:rsidR="00E4204A" w:rsidRPr="00156623">
        <w:rPr>
          <w:rFonts w:ascii="Arial" w:eastAsia="Times New Roman" w:hAnsi="Arial" w:cs="Arial"/>
          <w:color w:val="000000" w:themeColor="text1"/>
          <w:kern w:val="0"/>
          <w:sz w:val="22"/>
          <w:szCs w:val="22"/>
          <w:lang w:eastAsia="en-GB"/>
          <w14:ligatures w14:val="none"/>
        </w:rPr>
        <w:t xml:space="preserve">ew of the planning </w:t>
      </w:r>
      <w:r w:rsidR="00156623" w:rsidRPr="00156623">
        <w:rPr>
          <w:rFonts w:ascii="Arial" w:eastAsia="Times New Roman" w:hAnsi="Arial" w:cs="Arial"/>
          <w:color w:val="000000" w:themeColor="text1"/>
          <w:kern w:val="0"/>
          <w:sz w:val="22"/>
          <w:szCs w:val="22"/>
          <w:lang w:eastAsia="en-GB"/>
          <w14:ligatures w14:val="none"/>
        </w:rPr>
        <w:t>history</w:t>
      </w:r>
      <w:r w:rsidR="00E4204A" w:rsidRPr="00156623">
        <w:rPr>
          <w:rFonts w:ascii="Arial" w:eastAsia="Times New Roman" w:hAnsi="Arial" w:cs="Arial"/>
          <w:color w:val="000000" w:themeColor="text1"/>
          <w:kern w:val="0"/>
          <w:sz w:val="22"/>
          <w:szCs w:val="22"/>
          <w:lang w:eastAsia="en-GB"/>
          <w14:ligatures w14:val="none"/>
        </w:rPr>
        <w:t xml:space="preserve"> at the site, as well as a justification for the fencing. The statement provides a justification </w:t>
      </w:r>
      <w:r w:rsidR="00156623" w:rsidRPr="00156623">
        <w:rPr>
          <w:rFonts w:ascii="Arial" w:eastAsia="Times New Roman" w:hAnsi="Arial" w:cs="Arial"/>
          <w:color w:val="000000" w:themeColor="text1"/>
          <w:kern w:val="0"/>
          <w:sz w:val="22"/>
          <w:szCs w:val="22"/>
          <w:lang w:eastAsia="en-GB"/>
          <w14:ligatures w14:val="none"/>
        </w:rPr>
        <w:t>for</w:t>
      </w:r>
      <w:r w:rsidR="00E4204A" w:rsidRPr="00156623">
        <w:rPr>
          <w:rFonts w:ascii="Arial" w:eastAsia="Times New Roman" w:hAnsi="Arial" w:cs="Arial"/>
          <w:color w:val="000000" w:themeColor="text1"/>
          <w:kern w:val="0"/>
          <w:sz w:val="22"/>
          <w:szCs w:val="22"/>
          <w:lang w:eastAsia="en-GB"/>
          <w14:ligatures w14:val="none"/>
        </w:rPr>
        <w:t xml:space="preserve"> the current fence whereby it is claimed a previous fence of the same height/design was in </w:t>
      </w:r>
      <w:r w:rsidR="00156623" w:rsidRPr="00156623">
        <w:rPr>
          <w:rFonts w:ascii="Arial" w:eastAsia="Times New Roman" w:hAnsi="Arial" w:cs="Arial"/>
          <w:color w:val="000000" w:themeColor="text1"/>
          <w:kern w:val="0"/>
          <w:sz w:val="22"/>
          <w:szCs w:val="22"/>
          <w:lang w:eastAsia="en-GB"/>
          <w14:ligatures w14:val="none"/>
        </w:rPr>
        <w:t xml:space="preserve">situ </w:t>
      </w:r>
      <w:r w:rsidR="00E4204A" w:rsidRPr="00156623">
        <w:rPr>
          <w:rFonts w:ascii="Arial" w:eastAsia="Times New Roman" w:hAnsi="Arial" w:cs="Arial"/>
          <w:color w:val="000000" w:themeColor="text1"/>
          <w:kern w:val="0"/>
          <w:sz w:val="22"/>
          <w:szCs w:val="22"/>
          <w:lang w:eastAsia="en-GB"/>
          <w14:ligatures w14:val="none"/>
        </w:rPr>
        <w:t xml:space="preserve">for </w:t>
      </w:r>
      <w:r w:rsidR="00156623" w:rsidRPr="00156623">
        <w:rPr>
          <w:rFonts w:ascii="Arial" w:eastAsia="Times New Roman" w:hAnsi="Arial" w:cs="Arial"/>
          <w:color w:val="000000" w:themeColor="text1"/>
          <w:kern w:val="0"/>
          <w:sz w:val="22"/>
          <w:szCs w:val="22"/>
          <w:lang w:eastAsia="en-GB"/>
          <w14:ligatures w14:val="none"/>
        </w:rPr>
        <w:t>approximately</w:t>
      </w:r>
      <w:r w:rsidR="00E4204A" w:rsidRPr="00156623">
        <w:rPr>
          <w:rFonts w:ascii="Arial" w:eastAsia="Times New Roman" w:hAnsi="Arial" w:cs="Arial"/>
          <w:color w:val="000000" w:themeColor="text1"/>
          <w:kern w:val="0"/>
          <w:sz w:val="22"/>
          <w:szCs w:val="22"/>
          <w:lang w:eastAsia="en-GB"/>
          <w14:ligatures w14:val="none"/>
        </w:rPr>
        <w:t xml:space="preserve"> 10-15 years, although there is no</w:t>
      </w:r>
      <w:r w:rsidR="00156623" w:rsidRPr="00156623">
        <w:rPr>
          <w:rFonts w:ascii="Arial" w:eastAsia="Times New Roman" w:hAnsi="Arial" w:cs="Arial"/>
          <w:color w:val="000000" w:themeColor="text1"/>
          <w:kern w:val="0"/>
          <w:sz w:val="22"/>
          <w:szCs w:val="22"/>
          <w:lang w:eastAsia="en-GB"/>
          <w14:ligatures w14:val="none"/>
        </w:rPr>
        <w:t xml:space="preserve"> satisfactory evidence provided to back up this claim. </w:t>
      </w:r>
    </w:p>
    <w:p w14:paraId="4C898F78" w14:textId="77777777" w:rsidR="00E25A94" w:rsidRPr="00E25A94" w:rsidRDefault="00E25A94" w:rsidP="00E25A94">
      <w:pPr>
        <w:spacing w:after="0" w:line="276" w:lineRule="auto"/>
        <w:ind w:right="-23"/>
        <w:jc w:val="both"/>
        <w:rPr>
          <w:rFonts w:ascii="Arial" w:eastAsia="Times New Roman" w:hAnsi="Arial" w:cs="Arial"/>
          <w:b/>
          <w:bCs/>
          <w:color w:val="FF0000"/>
          <w:kern w:val="0"/>
          <w:sz w:val="22"/>
          <w:szCs w:val="22"/>
          <w:lang w:eastAsia="en-GB"/>
          <w14:ligatures w14:val="none"/>
        </w:rPr>
      </w:pPr>
    </w:p>
    <w:p w14:paraId="5451D9D1" w14:textId="1D25F021" w:rsidR="00E25A94" w:rsidRPr="00E25A94" w:rsidRDefault="00E25A94" w:rsidP="00E25A94">
      <w:pPr>
        <w:spacing w:after="0" w:line="276" w:lineRule="auto"/>
        <w:ind w:right="-23"/>
        <w:jc w:val="both"/>
        <w:rPr>
          <w:rFonts w:ascii="Arial" w:eastAsia="Times New Roman" w:hAnsi="Arial" w:cs="Arial"/>
          <w:b/>
          <w:bCs/>
          <w:color w:val="FF0000"/>
          <w:kern w:val="0"/>
          <w:sz w:val="22"/>
          <w:szCs w:val="22"/>
          <w:lang w:eastAsia="en-GB"/>
          <w14:ligatures w14:val="none"/>
        </w:rPr>
      </w:pPr>
      <w:r w:rsidRPr="00E25A94">
        <w:rPr>
          <w:rFonts w:ascii="Arial" w:eastAsia="Times New Roman" w:hAnsi="Arial" w:cs="Arial"/>
          <w:kern w:val="0"/>
          <w:sz w:val="22"/>
          <w:szCs w:val="22"/>
          <w:lang w:eastAsia="en-GB"/>
          <w14:ligatures w14:val="none"/>
        </w:rPr>
        <w:t xml:space="preserve">Paragraph 208 also provides for the local planning authority to make its own assessment of impact and the following heritage recommendations are offered on this basis. </w:t>
      </w:r>
    </w:p>
    <w:p w14:paraId="10A5D5AA"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45028CCF" w14:textId="77777777" w:rsidR="00F82572" w:rsidRPr="00F82572" w:rsidRDefault="00F82572" w:rsidP="00047400">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F82572">
        <w:rPr>
          <w:rFonts w:ascii="Arial" w:eastAsia="Times New Roman" w:hAnsi="Arial" w:cs="Arial"/>
          <w:color w:val="000000" w:themeColor="text1"/>
          <w:kern w:val="0"/>
          <w:sz w:val="22"/>
          <w:szCs w:val="22"/>
          <w:u w:val="single"/>
          <w:lang w:eastAsia="en-GB"/>
          <w14:ligatures w14:val="none"/>
        </w:rPr>
        <w:t>Assessment of significance</w:t>
      </w:r>
      <w:r w:rsidRPr="00F82572">
        <w:rPr>
          <w:rFonts w:ascii="Arial" w:eastAsia="Times New Roman" w:hAnsi="Arial" w:cs="Arial"/>
          <w:color w:val="000000" w:themeColor="text1"/>
          <w:kern w:val="0"/>
          <w:sz w:val="22"/>
          <w:szCs w:val="22"/>
          <w:lang w:eastAsia="en-GB"/>
          <w14:ligatures w14:val="none"/>
        </w:rPr>
        <w:t>:</w:t>
      </w:r>
      <w:r w:rsidRPr="00F82572">
        <w:rPr>
          <w:rFonts w:ascii="Arial" w:eastAsia="Times New Roman" w:hAnsi="Arial" w:cs="Arial"/>
          <w:color w:val="000000" w:themeColor="text1"/>
          <w:kern w:val="0"/>
          <w:sz w:val="22"/>
          <w:szCs w:val="22"/>
          <w:u w:val="single"/>
          <w:lang w:eastAsia="en-GB"/>
          <w14:ligatures w14:val="none"/>
        </w:rPr>
        <w:t xml:space="preserve"> </w:t>
      </w:r>
    </w:p>
    <w:p w14:paraId="0DE0C7EE"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047400">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047400">
        <w:rPr>
          <w:rFonts w:ascii="Arial" w:eastAsia="Times New Roman" w:hAnsi="Arial" w:cs="Arial"/>
          <w:i/>
          <w:iCs/>
          <w:color w:val="000000" w:themeColor="text1"/>
          <w:kern w:val="0"/>
          <w:sz w:val="22"/>
          <w:szCs w:val="22"/>
          <w:lang w:eastAsia="en-GB"/>
          <w14:ligatures w14:val="none"/>
        </w:rPr>
        <w:t xml:space="preserve"> </w:t>
      </w:r>
    </w:p>
    <w:p w14:paraId="0362AA11"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7B22EEEB" w14:textId="77777777" w:rsidR="00047400" w:rsidRDefault="00F82572" w:rsidP="00047400">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F82572">
        <w:rPr>
          <w:rFonts w:ascii="Arial" w:eastAsia="Times New Roman" w:hAnsi="Arial" w:cs="Arial"/>
          <w:i/>
          <w:iCs/>
          <w:color w:val="000000" w:themeColor="text1"/>
          <w:kern w:val="0"/>
          <w:sz w:val="22"/>
          <w:szCs w:val="22"/>
          <w:lang w:eastAsia="en-GB"/>
          <w14:ligatures w14:val="none"/>
        </w:rPr>
        <w:t>“</w:t>
      </w:r>
      <w:r w:rsidR="00047400">
        <w:rPr>
          <w:rFonts w:ascii="Arial" w:eastAsia="Times New Roman" w:hAnsi="Arial" w:cs="Arial"/>
          <w:i/>
          <w:iCs/>
          <w:color w:val="000000" w:themeColor="text1"/>
          <w:kern w:val="0"/>
          <w:sz w:val="22"/>
          <w:szCs w:val="22"/>
          <w:lang w:eastAsia="en-GB"/>
          <w14:ligatures w14:val="none"/>
        </w:rPr>
        <w:t xml:space="preserve">The </w:t>
      </w:r>
      <w:r w:rsidRPr="00F82572">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F82572">
        <w:rPr>
          <w:rFonts w:ascii="Arial" w:eastAsia="Times New Roman" w:hAnsi="Arial" w:cs="Arial"/>
          <w:color w:val="000000" w:themeColor="text1"/>
          <w:kern w:val="0"/>
          <w:sz w:val="22"/>
          <w:szCs w:val="22"/>
          <w:lang w:eastAsia="en-GB"/>
          <w14:ligatures w14:val="none"/>
        </w:rPr>
        <w:t xml:space="preserve"> </w:t>
      </w:r>
    </w:p>
    <w:p w14:paraId="063495AD" w14:textId="77777777" w:rsidR="000474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2A5EBB55" w14:textId="77777777" w:rsidR="005E1B00" w:rsidRDefault="005E1B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0F45692C" w14:textId="77777777" w:rsidR="00047400" w:rsidRPr="005E1B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74E086C9"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 xml:space="preserve">Evidential </w:t>
      </w:r>
      <w:r w:rsidRPr="005E1B00">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649FC9FF"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Historic</w:t>
      </w:r>
      <w:r w:rsidRPr="005E1B00">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61153AF0"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Aesthetic</w:t>
      </w:r>
      <w:r w:rsidRPr="005E1B00">
        <w:rPr>
          <w:rFonts w:ascii="Arial" w:eastAsia="Times New Roman" w:hAnsi="Arial" w:cs="Arial"/>
          <w:color w:val="000000" w:themeColor="text1"/>
          <w:kern w:val="0"/>
          <w:sz w:val="22"/>
          <w:szCs w:val="22"/>
          <w:lang w:eastAsia="en-GB"/>
          <w14:ligatures w14:val="none"/>
        </w:rPr>
        <w:t xml:space="preserve"> – the sensory and design qualities of the asset.</w:t>
      </w:r>
    </w:p>
    <w:p w14:paraId="0682FA55"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Communal</w:t>
      </w:r>
      <w:r w:rsidRPr="005E1B00">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69CA4CFE"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34918C77" w14:textId="7C8CBCEE" w:rsidR="00424A85" w:rsidRDefault="00E339FC" w:rsidP="00424A85">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339FC">
        <w:rPr>
          <w:rFonts w:ascii="Arial" w:eastAsia="Times New Roman" w:hAnsi="Arial" w:cs="Arial"/>
          <w:color w:val="000000" w:themeColor="text1"/>
          <w:kern w:val="0"/>
          <w:sz w:val="22"/>
          <w:szCs w:val="22"/>
          <w:lang w:eastAsia="en-GB"/>
          <w14:ligatures w14:val="none"/>
        </w:rPr>
        <w:t xml:space="preserve">In this case the significance of the building lies largely with </w:t>
      </w:r>
      <w:r w:rsidR="00424A85" w:rsidRPr="00424A85">
        <w:rPr>
          <w:rFonts w:ascii="Arial" w:eastAsia="Times New Roman" w:hAnsi="Arial" w:cs="Arial"/>
          <w:color w:val="000000" w:themeColor="text1"/>
          <w:kern w:val="0"/>
          <w:sz w:val="22"/>
          <w:szCs w:val="22"/>
          <w:lang w:eastAsia="en-GB"/>
          <w14:ligatures w14:val="none"/>
        </w:rPr>
        <w:t>its historic fabric and architecture - its form, layout and architectural expression/detailing and use of high-quality design materials which have significant aesthetic and architectural interest, and which contribute to the character of the conservation area.</w:t>
      </w:r>
    </w:p>
    <w:p w14:paraId="1207246B" w14:textId="77777777" w:rsidR="00424A85" w:rsidRPr="00424A85" w:rsidRDefault="00424A85" w:rsidP="00424A85">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4064CCE5" w14:textId="77777777" w:rsidR="00FA1351" w:rsidRPr="00FA1351" w:rsidRDefault="00FA1351" w:rsidP="00FA135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A1351">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76154BD3"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2A0AC74E"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7A8CB34E" w14:textId="77777777" w:rsid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 xml:space="preserve">The significance of a heritage asset is not static; it is shaped by its architectural, historic, and communal values, and by how these are experienced in context. Therefore, any intervention must be considered </w:t>
      </w:r>
      <w:proofErr w:type="gramStart"/>
      <w:r w:rsidRPr="000B5BFA">
        <w:rPr>
          <w:rFonts w:ascii="Arial" w:eastAsia="Times New Roman" w:hAnsi="Arial" w:cs="Arial"/>
          <w:color w:val="000000" w:themeColor="text1"/>
          <w:kern w:val="0"/>
          <w:sz w:val="22"/>
          <w:szCs w:val="22"/>
          <w:lang w:eastAsia="en-GB"/>
          <w14:ligatures w14:val="none"/>
        </w:rPr>
        <w:t>in light of</w:t>
      </w:r>
      <w:proofErr w:type="gramEnd"/>
      <w:r w:rsidRPr="000B5BFA">
        <w:rPr>
          <w:rFonts w:ascii="Arial" w:eastAsia="Times New Roman" w:hAnsi="Arial" w:cs="Arial"/>
          <w:color w:val="000000" w:themeColor="text1"/>
          <w:kern w:val="0"/>
          <w:sz w:val="22"/>
          <w:szCs w:val="22"/>
          <w:lang w:eastAsia="en-GB"/>
          <w14:ligatures w14:val="none"/>
        </w:rPr>
        <w:t xml:space="preserve"> the asset’s identified significance, with attention given to both potential harm and benefits. Benefits may include repairs that support the long-term conservation of the building, improved energy performance, or enhanced public access and understanding.</w:t>
      </w:r>
    </w:p>
    <w:p w14:paraId="02C7AB7B"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410A2FC7" w14:textId="775F0086" w:rsidR="008A78F9" w:rsidRPr="000B5BFA"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8A78F9">
        <w:rPr>
          <w:rFonts w:ascii="Arial" w:eastAsia="Times New Roman" w:hAnsi="Arial" w:cs="Arial"/>
          <w:color w:val="000000" w:themeColor="text1"/>
          <w:kern w:val="0"/>
          <w:sz w:val="22"/>
          <w:szCs w:val="22"/>
          <w:lang w:eastAsia="en-GB"/>
          <w14:ligatures w14:val="none"/>
        </w:rPr>
        <w:t xml:space="preserve">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w:t>
      </w:r>
      <w:r w:rsidR="00D94665" w:rsidRPr="00D94665">
        <w:rPr>
          <w:rFonts w:ascii="Arial" w:eastAsia="Times New Roman" w:hAnsi="Arial" w:cs="Arial"/>
          <w:color w:val="000000" w:themeColor="text1"/>
          <w:kern w:val="0"/>
          <w:sz w:val="22"/>
          <w:szCs w:val="22"/>
          <w:lang w:eastAsia="en-GB"/>
          <w14:ligatures w14:val="none"/>
        </w:rPr>
        <w:t>particularly the heritage policies within Section 16 of the National Planning Policy Framework (December 2024), which require great weight to be given to the conservation of designated heritage assets</w:t>
      </w:r>
      <w:r w:rsidRPr="008A78F9">
        <w:rPr>
          <w:rFonts w:ascii="Arial" w:eastAsia="Times New Roman" w:hAnsi="Arial" w:cs="Arial"/>
          <w:color w:val="000000" w:themeColor="text1"/>
          <w:kern w:val="0"/>
          <w:sz w:val="22"/>
          <w:szCs w:val="22"/>
          <w:lang w:eastAsia="en-GB"/>
          <w14:ligatures w14:val="none"/>
        </w:rPr>
        <w:t>, and relevant local heritage policies and guidance.</w:t>
      </w:r>
    </w:p>
    <w:p w14:paraId="3ED7B193" w14:textId="77777777" w:rsidR="008E5134" w:rsidRDefault="008E5134" w:rsidP="008A78F9">
      <w:pPr>
        <w:spacing w:after="0" w:line="276" w:lineRule="auto"/>
        <w:ind w:firstLine="720"/>
        <w:jc w:val="both"/>
        <w:rPr>
          <w:rFonts w:ascii="Arial" w:eastAsia="Times New Roman" w:hAnsi="Arial" w:cs="Arial"/>
          <w:color w:val="000000" w:themeColor="text1"/>
          <w:kern w:val="0"/>
          <w:sz w:val="22"/>
          <w:szCs w:val="22"/>
          <w:u w:val="single"/>
          <w:lang w:eastAsia="en-GB"/>
          <w14:ligatures w14:val="none"/>
        </w:rPr>
      </w:pPr>
    </w:p>
    <w:p w14:paraId="2D510B3E" w14:textId="6A905363" w:rsidR="004073CC" w:rsidRPr="0082575E" w:rsidRDefault="004073CC" w:rsidP="004073CC">
      <w:pPr>
        <w:spacing w:after="0" w:line="276" w:lineRule="auto"/>
        <w:jc w:val="both"/>
        <w:rPr>
          <w:rFonts w:ascii="Arial" w:hAnsi="Arial" w:cs="Arial"/>
          <w:color w:val="000000" w:themeColor="text1"/>
          <w:sz w:val="22"/>
          <w:szCs w:val="22"/>
        </w:rPr>
      </w:pPr>
      <w:r w:rsidRPr="0082575E">
        <w:rPr>
          <w:rFonts w:ascii="Arial" w:hAnsi="Arial" w:cs="Arial"/>
          <w:color w:val="000000" w:themeColor="text1"/>
          <w:sz w:val="22"/>
          <w:szCs w:val="22"/>
        </w:rPr>
        <w:t xml:space="preserve">The proposed fence consists of pre-assembled close-board fence panels stacked two high, sitting at approximately three metres in height. The height of the fence alone raises cause for concern as it </w:t>
      </w:r>
      <w:r w:rsidR="00D94665" w:rsidRPr="00D94665">
        <w:rPr>
          <w:rFonts w:ascii="Arial" w:hAnsi="Arial" w:cs="Arial"/>
          <w:color w:val="000000" w:themeColor="text1"/>
          <w:sz w:val="22"/>
          <w:szCs w:val="22"/>
        </w:rPr>
        <w:t>results in a visually dominant and enclosing form of boundary treatment that appears incongruous in the context of a modest vernacular listed cottage and its semi</w:t>
      </w:r>
      <w:r w:rsidR="00D94665" w:rsidRPr="00D94665">
        <w:rPr>
          <w:rFonts w:ascii="Arial" w:hAnsi="Arial" w:cs="Arial"/>
          <w:color w:val="000000" w:themeColor="text1"/>
          <w:sz w:val="22"/>
          <w:szCs w:val="22"/>
        </w:rPr>
        <w:noBreakHyphen/>
        <w:t>rural setting</w:t>
      </w:r>
      <w:r w:rsidRPr="0082575E">
        <w:rPr>
          <w:rFonts w:ascii="Arial" w:hAnsi="Arial" w:cs="Arial"/>
          <w:color w:val="000000" w:themeColor="text1"/>
          <w:sz w:val="22"/>
          <w:szCs w:val="22"/>
        </w:rPr>
        <w:t>, but particularly so in the semi-rural location within which the site sits. The quality of the build is also concerning, with the double-stacked pre-constructed timber fence panels appearing as a hap-hazard arrangement which does not represent good design. When viewed at an angle it is apparent that certain fence posts are not standing entirely straight and the fence posts do not reach the full height of the panels. There is also a section of the fence which is cut around a pollarded tree; this is a non-standard design element which further contributes to the confusing appearance of the fence.</w:t>
      </w:r>
    </w:p>
    <w:p w14:paraId="58FDA381" w14:textId="77777777" w:rsidR="00A92438" w:rsidRDefault="00A92438" w:rsidP="00F1263F">
      <w:pPr>
        <w:spacing w:after="0" w:line="276" w:lineRule="auto"/>
        <w:jc w:val="both"/>
        <w:rPr>
          <w:rFonts w:ascii="Arial" w:eastAsia="Times New Roman" w:hAnsi="Arial" w:cs="Arial"/>
          <w:color w:val="EE0000"/>
          <w:kern w:val="0"/>
          <w:sz w:val="22"/>
          <w:szCs w:val="22"/>
          <w:lang w:eastAsia="en-GB"/>
          <w14:ligatures w14:val="none"/>
        </w:rPr>
      </w:pPr>
    </w:p>
    <w:p w14:paraId="600CAF44" w14:textId="77777777" w:rsidR="0070382B" w:rsidRPr="0070382B" w:rsidRDefault="0070382B" w:rsidP="0070382B">
      <w:pPr>
        <w:spacing w:after="0" w:line="276" w:lineRule="auto"/>
        <w:jc w:val="both"/>
        <w:rPr>
          <w:rFonts w:ascii="Arial" w:eastAsia="Times New Roman" w:hAnsi="Arial" w:cs="Arial"/>
          <w:color w:val="000000" w:themeColor="text1"/>
          <w:kern w:val="0"/>
          <w:sz w:val="22"/>
          <w:szCs w:val="22"/>
          <w:lang w:eastAsia="en-GB"/>
          <w14:ligatures w14:val="none"/>
        </w:rPr>
      </w:pPr>
      <w:r w:rsidRPr="0070382B">
        <w:rPr>
          <w:rFonts w:ascii="Arial" w:eastAsia="Times New Roman" w:hAnsi="Arial" w:cs="Arial"/>
          <w:color w:val="000000" w:themeColor="text1"/>
          <w:kern w:val="0"/>
          <w:sz w:val="22"/>
          <w:szCs w:val="22"/>
          <w:lang w:eastAsia="en-GB"/>
          <w14:ligatures w14:val="none"/>
        </w:rPr>
        <w:t xml:space="preserve">Wiltshire Council’s Conservation department has been consulted on the application and have objected to the scheme as the proposed fence is considered excessively tall and has a fortress like suburban appearance on the boundary of the attractive vernacular cottage. </w:t>
      </w:r>
    </w:p>
    <w:p w14:paraId="61AC9B11" w14:textId="77777777" w:rsidR="0070382B" w:rsidRPr="0070382B" w:rsidRDefault="0070382B" w:rsidP="0070382B">
      <w:pPr>
        <w:spacing w:after="0" w:line="276" w:lineRule="auto"/>
        <w:jc w:val="both"/>
        <w:rPr>
          <w:rFonts w:ascii="Arial" w:eastAsia="Times New Roman" w:hAnsi="Arial" w:cs="Arial"/>
          <w:color w:val="000000" w:themeColor="text1"/>
          <w:kern w:val="0"/>
          <w:sz w:val="22"/>
          <w:szCs w:val="22"/>
          <w:lang w:eastAsia="en-GB"/>
          <w14:ligatures w14:val="none"/>
        </w:rPr>
      </w:pPr>
    </w:p>
    <w:p w14:paraId="35C5D370" w14:textId="77777777" w:rsidR="0070382B" w:rsidRPr="0070382B" w:rsidRDefault="0070382B" w:rsidP="0070382B">
      <w:pPr>
        <w:spacing w:after="0" w:line="276" w:lineRule="auto"/>
        <w:jc w:val="both"/>
        <w:rPr>
          <w:rFonts w:ascii="Arial" w:eastAsia="Times New Roman" w:hAnsi="Arial" w:cs="Arial"/>
          <w:color w:val="000000" w:themeColor="text1"/>
          <w:kern w:val="0"/>
          <w:sz w:val="22"/>
          <w:szCs w:val="22"/>
          <w:lang w:eastAsia="en-GB"/>
          <w14:ligatures w14:val="none"/>
        </w:rPr>
      </w:pPr>
      <w:r w:rsidRPr="0070382B">
        <w:rPr>
          <w:rFonts w:ascii="Arial" w:eastAsia="Times New Roman" w:hAnsi="Arial" w:cs="Arial"/>
          <w:color w:val="000000" w:themeColor="text1"/>
          <w:kern w:val="0"/>
          <w:sz w:val="22"/>
          <w:szCs w:val="22"/>
          <w:lang w:eastAsia="en-GB"/>
          <w14:ligatures w14:val="none"/>
        </w:rPr>
        <w:t>The applicant has claimed that the fence is a replacement of a previous fence, but the only evidence of this supplied to the council is a photograph of a small section of the boundary showing a remnant area of low-level timber fencing. In any case, there is no planning history permitting any type of close-boarded fence so if there was previously a fence of this type at any height, it would have been built without consent, and no certificate of lawfulness application was submitted while it was supposedly in place. It appears that a significant amount of planting on the boundary has been removed so if there was previously a fence of this type on the boundary, it may have gone unnoticed due to screening on the boundary which is no longer in place. the planting of native hedging in front of the fence has been included in the proposal, but it would take a significant amount of time to fully screen a fence of this height and this would only soften the appearance of the public side of the fence so this would not be considered adequate to offset the harm imposed by the poor design and excessive height of the boundary treatment. Due to the planting only being sited on the southern side of the fence, concerns regarding the impact upon the setting of the listed building from within the site would also not be alleviated by the proposed planting scheme.</w:t>
      </w:r>
    </w:p>
    <w:p w14:paraId="014D379F" w14:textId="77777777" w:rsidR="0070382B" w:rsidRPr="0070382B" w:rsidRDefault="0070382B" w:rsidP="0070382B">
      <w:pPr>
        <w:spacing w:after="0" w:line="276" w:lineRule="auto"/>
        <w:jc w:val="both"/>
        <w:rPr>
          <w:rFonts w:ascii="Arial" w:eastAsia="Times New Roman" w:hAnsi="Arial" w:cs="Arial"/>
          <w:color w:val="000000" w:themeColor="text1"/>
          <w:kern w:val="0"/>
          <w:sz w:val="22"/>
          <w:szCs w:val="22"/>
          <w:lang w:eastAsia="en-GB"/>
          <w14:ligatures w14:val="none"/>
        </w:rPr>
      </w:pPr>
    </w:p>
    <w:p w14:paraId="0A5B90A1" w14:textId="03A3755C" w:rsidR="0070382B" w:rsidRPr="0070382B" w:rsidRDefault="0070382B" w:rsidP="0070382B">
      <w:pPr>
        <w:spacing w:after="0" w:line="276" w:lineRule="auto"/>
        <w:jc w:val="both"/>
        <w:rPr>
          <w:rFonts w:ascii="Arial" w:eastAsia="Times New Roman" w:hAnsi="Arial" w:cs="Arial"/>
          <w:color w:val="000000" w:themeColor="text1"/>
          <w:kern w:val="0"/>
          <w:sz w:val="22"/>
          <w:szCs w:val="22"/>
          <w:lang w:eastAsia="en-GB"/>
          <w14:ligatures w14:val="none"/>
        </w:rPr>
      </w:pPr>
      <w:r w:rsidRPr="0070382B">
        <w:rPr>
          <w:rFonts w:ascii="Arial" w:eastAsia="Times New Roman" w:hAnsi="Arial" w:cs="Arial"/>
          <w:color w:val="000000" w:themeColor="text1"/>
          <w:kern w:val="0"/>
          <w:sz w:val="22"/>
          <w:szCs w:val="22"/>
          <w:lang w:eastAsia="en-GB"/>
          <w14:ligatures w14:val="none"/>
        </w:rPr>
        <w:t xml:space="preserve">As such, the proposed development would result in harm to the setting and significance of a Grade II listed building and </w:t>
      </w:r>
      <w:r w:rsidR="00D94665" w:rsidRPr="00D94665">
        <w:rPr>
          <w:rFonts w:ascii="Arial" w:eastAsia="Times New Roman" w:hAnsi="Arial" w:cs="Arial"/>
          <w:color w:val="000000" w:themeColor="text1"/>
          <w:kern w:val="0"/>
          <w:sz w:val="22"/>
          <w:szCs w:val="22"/>
          <w:lang w:eastAsia="en-GB"/>
          <w14:ligatures w14:val="none"/>
        </w:rPr>
        <w:t xml:space="preserve">would fail to preserve the character and appearance of the </w:t>
      </w:r>
      <w:proofErr w:type="spellStart"/>
      <w:r w:rsidR="00D94665" w:rsidRPr="00D94665">
        <w:rPr>
          <w:rFonts w:ascii="Arial" w:eastAsia="Times New Roman" w:hAnsi="Arial" w:cs="Arial"/>
          <w:color w:val="000000" w:themeColor="text1"/>
          <w:kern w:val="0"/>
          <w:sz w:val="22"/>
          <w:szCs w:val="22"/>
          <w:lang w:eastAsia="en-GB"/>
          <w14:ligatures w14:val="none"/>
        </w:rPr>
        <w:t>Poulshot</w:t>
      </w:r>
      <w:proofErr w:type="spellEnd"/>
      <w:r w:rsidR="00D94665" w:rsidRPr="00D94665">
        <w:rPr>
          <w:rFonts w:ascii="Arial" w:eastAsia="Times New Roman" w:hAnsi="Arial" w:cs="Arial"/>
          <w:color w:val="000000" w:themeColor="text1"/>
          <w:kern w:val="0"/>
          <w:sz w:val="22"/>
          <w:szCs w:val="22"/>
          <w:lang w:eastAsia="en-GB"/>
          <w14:ligatures w14:val="none"/>
        </w:rPr>
        <w:t xml:space="preserve"> Conservation Area, whose significance in this location derives from its open, informal boundaries and the visual relationship between historic cottages and The Green.</w:t>
      </w:r>
      <w:r w:rsidR="00D94665">
        <w:rPr>
          <w:rFonts w:ascii="Arial" w:eastAsia="Times New Roman" w:hAnsi="Arial" w:cs="Arial"/>
          <w:color w:val="000000" w:themeColor="text1"/>
          <w:kern w:val="0"/>
          <w:sz w:val="22"/>
          <w:szCs w:val="22"/>
          <w:lang w:eastAsia="en-GB"/>
          <w14:ligatures w14:val="none"/>
        </w:rPr>
        <w:t xml:space="preserve"> </w:t>
      </w:r>
      <w:r w:rsidRPr="0070382B">
        <w:rPr>
          <w:rFonts w:ascii="Arial" w:eastAsia="Times New Roman" w:hAnsi="Arial" w:cs="Arial"/>
          <w:color w:val="000000" w:themeColor="text1"/>
          <w:kern w:val="0"/>
          <w:sz w:val="22"/>
          <w:szCs w:val="22"/>
          <w:lang w:eastAsia="en-GB"/>
          <w14:ligatures w14:val="none"/>
        </w:rPr>
        <w:t xml:space="preserve">The proposal fails to preserve the special architectural and historic interest of the heritage assets, contrary to the statutory duty under Sections </w:t>
      </w:r>
      <w:r w:rsidR="00D94665">
        <w:rPr>
          <w:rFonts w:ascii="Arial" w:eastAsia="Times New Roman" w:hAnsi="Arial" w:cs="Arial"/>
          <w:color w:val="000000" w:themeColor="text1"/>
          <w:kern w:val="0"/>
          <w:sz w:val="22"/>
          <w:szCs w:val="22"/>
          <w:lang w:eastAsia="en-GB"/>
          <w14:ligatures w14:val="none"/>
        </w:rPr>
        <w:t>16</w:t>
      </w:r>
      <w:r w:rsidRPr="0070382B">
        <w:rPr>
          <w:rFonts w:ascii="Arial" w:eastAsia="Times New Roman" w:hAnsi="Arial" w:cs="Arial"/>
          <w:color w:val="000000" w:themeColor="text1"/>
          <w:kern w:val="0"/>
          <w:sz w:val="22"/>
          <w:szCs w:val="22"/>
          <w:lang w:eastAsia="en-GB"/>
          <w14:ligatures w14:val="none"/>
        </w:rPr>
        <w:t xml:space="preserve"> and Section 72(1) of the Planning (Listed Buildings and Conservation Areas) Act 1990</w:t>
      </w:r>
      <w:r w:rsidR="00D94665">
        <w:rPr>
          <w:rFonts w:ascii="Arial" w:eastAsia="Times New Roman" w:hAnsi="Arial" w:cs="Arial"/>
          <w:color w:val="000000" w:themeColor="text1"/>
          <w:kern w:val="0"/>
          <w:sz w:val="22"/>
          <w:szCs w:val="22"/>
          <w:lang w:eastAsia="en-GB"/>
          <w14:ligatures w14:val="none"/>
        </w:rPr>
        <w:t>,</w:t>
      </w:r>
      <w:r w:rsidR="00D94665" w:rsidRPr="00D94665">
        <w:t xml:space="preserve"> </w:t>
      </w:r>
      <w:r w:rsidR="00D94665" w:rsidRPr="00D94665">
        <w:rPr>
          <w:rFonts w:ascii="Arial" w:eastAsia="Times New Roman" w:hAnsi="Arial" w:cs="Arial"/>
          <w:color w:val="000000" w:themeColor="text1"/>
          <w:kern w:val="0"/>
          <w:sz w:val="22"/>
          <w:szCs w:val="22"/>
          <w:lang w:eastAsia="en-GB"/>
          <w14:ligatures w14:val="none"/>
        </w:rPr>
        <w:t>insofar as the proposal affects the character and appearance of the Conservation Area</w:t>
      </w:r>
      <w:r w:rsidRPr="0070382B">
        <w:rPr>
          <w:rFonts w:ascii="Arial" w:eastAsia="Times New Roman" w:hAnsi="Arial" w:cs="Arial"/>
          <w:color w:val="000000" w:themeColor="text1"/>
          <w:kern w:val="0"/>
          <w:sz w:val="22"/>
          <w:szCs w:val="22"/>
          <w:lang w:eastAsia="en-GB"/>
          <w14:ligatures w14:val="none"/>
        </w:rPr>
        <w:t>. This harm is considered less than substantial by the Conservation Officer, and this is agreed.</w:t>
      </w:r>
    </w:p>
    <w:p w14:paraId="75C81700" w14:textId="77777777" w:rsidR="0070382B" w:rsidRPr="0070382B" w:rsidRDefault="0070382B" w:rsidP="0070382B">
      <w:pPr>
        <w:spacing w:after="0" w:line="276" w:lineRule="auto"/>
        <w:jc w:val="both"/>
        <w:rPr>
          <w:rFonts w:ascii="Arial" w:eastAsia="Times New Roman" w:hAnsi="Arial" w:cs="Arial"/>
          <w:color w:val="000000" w:themeColor="text1"/>
          <w:kern w:val="0"/>
          <w:sz w:val="22"/>
          <w:szCs w:val="22"/>
          <w:lang w:eastAsia="en-GB"/>
          <w14:ligatures w14:val="none"/>
        </w:rPr>
      </w:pPr>
    </w:p>
    <w:p w14:paraId="18274E48" w14:textId="77777777" w:rsidR="0070382B" w:rsidRPr="0070382B" w:rsidRDefault="0070382B" w:rsidP="0070382B">
      <w:pPr>
        <w:spacing w:after="0" w:line="276" w:lineRule="auto"/>
        <w:jc w:val="both"/>
        <w:rPr>
          <w:rFonts w:ascii="Arial" w:eastAsia="Times New Roman" w:hAnsi="Arial" w:cs="Arial"/>
          <w:color w:val="000000" w:themeColor="text1"/>
          <w:kern w:val="0"/>
          <w:sz w:val="22"/>
          <w:szCs w:val="22"/>
          <w:lang w:eastAsia="en-GB"/>
          <w14:ligatures w14:val="none"/>
        </w:rPr>
      </w:pPr>
      <w:r w:rsidRPr="0070382B">
        <w:rPr>
          <w:rFonts w:ascii="Arial" w:eastAsia="Times New Roman" w:hAnsi="Arial" w:cs="Arial"/>
          <w:color w:val="000000" w:themeColor="text1"/>
          <w:kern w:val="0"/>
          <w:sz w:val="22"/>
          <w:szCs w:val="22"/>
          <w:lang w:eastAsia="en-GB"/>
          <w14:ligatures w14:val="none"/>
        </w:rPr>
        <w:t xml:space="preserve">Paragraph 215 of the National Planning Policy Framework outlines that where a development proposal will lead to less than substantial harm to the significance of a designated heritage asset, this harm should be weighed against the public benefits of the proposal. Planning Practice Guidance gives further clarity that public benefits could be anything that delivers economic, social or environmental objectives, in reference to Paragraph 8 of the National Planning Policy Framework. The applicant has stated that the height of fence proposed is required </w:t>
      </w:r>
      <w:proofErr w:type="gramStart"/>
      <w:r w:rsidRPr="0070382B">
        <w:rPr>
          <w:rFonts w:ascii="Arial" w:eastAsia="Times New Roman" w:hAnsi="Arial" w:cs="Arial"/>
          <w:color w:val="000000" w:themeColor="text1"/>
          <w:kern w:val="0"/>
          <w:sz w:val="22"/>
          <w:szCs w:val="22"/>
          <w:lang w:eastAsia="en-GB"/>
          <w14:ligatures w14:val="none"/>
        </w:rPr>
        <w:t>in order to</w:t>
      </w:r>
      <w:proofErr w:type="gramEnd"/>
      <w:r w:rsidRPr="0070382B">
        <w:rPr>
          <w:rFonts w:ascii="Arial" w:eastAsia="Times New Roman" w:hAnsi="Arial" w:cs="Arial"/>
          <w:color w:val="000000" w:themeColor="text1"/>
          <w:kern w:val="0"/>
          <w:sz w:val="22"/>
          <w:szCs w:val="22"/>
          <w:lang w:eastAsia="en-GB"/>
          <w14:ligatures w14:val="none"/>
        </w:rPr>
        <w:t xml:space="preserve"> secure adequate privacy and safety for the resident at the cottage. This is considered a private benefit so this would not be considered to outweigh the harm identified. </w:t>
      </w:r>
    </w:p>
    <w:p w14:paraId="36F2D1FC" w14:textId="77777777" w:rsidR="0070382B" w:rsidRPr="0070382B" w:rsidRDefault="0070382B" w:rsidP="0070382B">
      <w:pPr>
        <w:spacing w:after="0" w:line="276" w:lineRule="auto"/>
        <w:jc w:val="both"/>
        <w:rPr>
          <w:rFonts w:ascii="Arial" w:eastAsia="Times New Roman" w:hAnsi="Arial" w:cs="Arial"/>
          <w:color w:val="000000" w:themeColor="text1"/>
          <w:kern w:val="0"/>
          <w:sz w:val="22"/>
          <w:szCs w:val="22"/>
          <w:lang w:eastAsia="en-GB"/>
          <w14:ligatures w14:val="none"/>
        </w:rPr>
      </w:pPr>
    </w:p>
    <w:p w14:paraId="11E8B9AC" w14:textId="1C6E825F" w:rsidR="00944185" w:rsidRDefault="0070382B" w:rsidP="0070382B">
      <w:pPr>
        <w:spacing w:after="0" w:line="276" w:lineRule="auto"/>
        <w:jc w:val="both"/>
        <w:rPr>
          <w:rFonts w:ascii="Arial" w:eastAsia="Times New Roman" w:hAnsi="Arial" w:cs="Arial"/>
          <w:color w:val="000000" w:themeColor="text1"/>
          <w:kern w:val="0"/>
          <w:sz w:val="22"/>
          <w:szCs w:val="22"/>
          <w:lang w:eastAsia="en-GB"/>
          <w14:ligatures w14:val="none"/>
        </w:rPr>
      </w:pPr>
      <w:r w:rsidRPr="0070382B">
        <w:rPr>
          <w:rFonts w:ascii="Arial" w:eastAsia="Times New Roman" w:hAnsi="Arial" w:cs="Arial"/>
          <w:color w:val="000000" w:themeColor="text1"/>
          <w:kern w:val="0"/>
          <w:sz w:val="22"/>
          <w:szCs w:val="22"/>
          <w:lang w:eastAsia="en-GB"/>
          <w14:ligatures w14:val="none"/>
        </w:rPr>
        <w:t>As the harm identified is not outweighed by any public benefits the proposal therefore conflicts with Core Policy 58 of the Wiltshire Core Strategy and the relevant provisions of the National Planning Policy Framework, particularly paragraph 215. The application must therefore be refused on heritage grounds.</w:t>
      </w:r>
    </w:p>
    <w:p w14:paraId="54BF9CD6" w14:textId="77777777" w:rsidR="00E83505" w:rsidRDefault="00E83505" w:rsidP="0070382B">
      <w:pPr>
        <w:spacing w:after="0" w:line="276" w:lineRule="auto"/>
        <w:jc w:val="both"/>
        <w:rPr>
          <w:rFonts w:ascii="Arial" w:eastAsia="Times New Roman" w:hAnsi="Arial" w:cs="Arial"/>
          <w:color w:val="FF0000"/>
          <w:kern w:val="0"/>
          <w:sz w:val="22"/>
          <w:szCs w:val="22"/>
          <w:lang w:eastAsia="en-GB"/>
          <w14:ligatures w14:val="none"/>
        </w:rPr>
      </w:pPr>
    </w:p>
    <w:p w14:paraId="15766674" w14:textId="77777777" w:rsidR="00202DE0" w:rsidRDefault="00202DE0" w:rsidP="00F1263F">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02DE0">
        <w:rPr>
          <w:rFonts w:ascii="Arial" w:eastAsia="Times New Roman" w:hAnsi="Arial" w:cs="Arial"/>
          <w:color w:val="000000" w:themeColor="text1"/>
          <w:kern w:val="0"/>
          <w:sz w:val="22"/>
          <w:szCs w:val="22"/>
          <w:u w:val="single"/>
          <w:lang w:eastAsia="en-GB"/>
          <w14:ligatures w14:val="none"/>
        </w:rPr>
        <w:t xml:space="preserve">Impact on Ecology </w:t>
      </w:r>
    </w:p>
    <w:p w14:paraId="40E68606" w14:textId="77777777" w:rsidR="00321C6D" w:rsidRPr="00202DE0" w:rsidRDefault="00321C6D" w:rsidP="00F1263F">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A453AC4" w14:textId="77777777" w:rsidR="009C3A14" w:rsidRPr="007E2693" w:rsidRDefault="007E2693" w:rsidP="007D328F">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7E2693">
        <w:rPr>
          <w:rFonts w:ascii="Arial" w:eastAsia="Times New Roman" w:hAnsi="Arial" w:cs="Arial"/>
          <w:color w:val="000000" w:themeColor="text1"/>
          <w:kern w:val="0"/>
          <w:sz w:val="22"/>
          <w:szCs w:val="22"/>
          <w:lang w:eastAsia="en-GB"/>
          <w14:ligatures w14:val="none"/>
        </w:rPr>
        <w:t xml:space="preserve">While Sections 16 and </w:t>
      </w:r>
      <w:r w:rsidR="00C95D87">
        <w:rPr>
          <w:rFonts w:ascii="Arial" w:eastAsia="Times New Roman" w:hAnsi="Arial" w:cs="Arial"/>
          <w:color w:val="000000" w:themeColor="text1"/>
          <w:kern w:val="0"/>
          <w:sz w:val="22"/>
          <w:szCs w:val="22"/>
          <w:lang w:eastAsia="en-GB"/>
          <w14:ligatures w14:val="none"/>
        </w:rPr>
        <w:t>72</w:t>
      </w:r>
      <w:r w:rsidRPr="007E2693">
        <w:rPr>
          <w:rFonts w:ascii="Arial" w:eastAsia="Times New Roman" w:hAnsi="Arial" w:cs="Arial"/>
          <w:color w:val="000000" w:themeColor="text1"/>
          <w:kern w:val="0"/>
          <w:sz w:val="22"/>
          <w:szCs w:val="22"/>
          <w:lang w:eastAsia="en-GB"/>
          <w14:ligatures w14:val="none"/>
        </w:rPr>
        <w:t xml:space="preserve"> of the Planning (Listed Buildings and Conservation Areas) Act 1990 do not explicitly reference protected species, Local Planning Authorities have a statutory duty to consider potential impacts on protected species when determining applications. This responsibility arises from broader environmental legislation and national planning </w:t>
      </w:r>
      <w:proofErr w:type="gramStart"/>
      <w:r w:rsidRPr="007E2693">
        <w:rPr>
          <w:rFonts w:ascii="Arial" w:eastAsia="Times New Roman" w:hAnsi="Arial" w:cs="Arial"/>
          <w:color w:val="000000" w:themeColor="text1"/>
          <w:kern w:val="0"/>
          <w:sz w:val="22"/>
          <w:szCs w:val="22"/>
          <w:lang w:eastAsia="en-GB"/>
          <w14:ligatures w14:val="none"/>
        </w:rPr>
        <w:t>policy, and</w:t>
      </w:r>
      <w:proofErr w:type="gramEnd"/>
      <w:r w:rsidRPr="007E2693">
        <w:rPr>
          <w:rFonts w:ascii="Arial" w:eastAsia="Times New Roman" w:hAnsi="Arial" w:cs="Arial"/>
          <w:color w:val="000000" w:themeColor="text1"/>
          <w:kern w:val="0"/>
          <w:sz w:val="22"/>
          <w:szCs w:val="22"/>
          <w:lang w:eastAsia="en-GB"/>
          <w14:ligatures w14:val="none"/>
        </w:rPr>
        <w:t xml:space="preserve"> must be </w:t>
      </w:r>
      <w:proofErr w:type="gramStart"/>
      <w:r w:rsidRPr="007E2693">
        <w:rPr>
          <w:rFonts w:ascii="Arial" w:eastAsia="Times New Roman" w:hAnsi="Arial" w:cs="Arial"/>
          <w:color w:val="000000" w:themeColor="text1"/>
          <w:kern w:val="0"/>
          <w:sz w:val="22"/>
          <w:szCs w:val="22"/>
          <w:lang w:eastAsia="en-GB"/>
          <w14:ligatures w14:val="none"/>
        </w:rPr>
        <w:t>taken into account</w:t>
      </w:r>
      <w:proofErr w:type="gramEnd"/>
      <w:r w:rsidRPr="007E2693">
        <w:rPr>
          <w:rFonts w:ascii="Arial" w:eastAsia="Times New Roman" w:hAnsi="Arial" w:cs="Arial"/>
          <w:color w:val="000000" w:themeColor="text1"/>
          <w:kern w:val="0"/>
          <w:sz w:val="22"/>
          <w:szCs w:val="22"/>
          <w:lang w:eastAsia="en-GB"/>
          <w14:ligatures w14:val="none"/>
        </w:rPr>
        <w:t xml:space="preserve"> where relevant.</w:t>
      </w:r>
    </w:p>
    <w:p w14:paraId="4CEC6E1C" w14:textId="77777777" w:rsidR="00202DE0" w:rsidRDefault="00202DE0" w:rsidP="00F1263F">
      <w:pPr>
        <w:spacing w:after="0" w:line="276" w:lineRule="auto"/>
        <w:jc w:val="both"/>
        <w:rPr>
          <w:rFonts w:ascii="Arial" w:eastAsia="Times New Roman" w:hAnsi="Arial" w:cs="Arial"/>
          <w:color w:val="FF0000"/>
          <w:kern w:val="0"/>
          <w:sz w:val="22"/>
          <w:szCs w:val="22"/>
          <w:lang w:eastAsia="en-GB"/>
          <w14:ligatures w14:val="none"/>
        </w:rPr>
      </w:pPr>
    </w:p>
    <w:tbl>
      <w:tblPr>
        <w:tblStyle w:val="TableGrid"/>
        <w:tblW w:w="9356" w:type="dxa"/>
        <w:tblLook w:val="04A0" w:firstRow="1" w:lastRow="0" w:firstColumn="1" w:lastColumn="0" w:noHBand="0" w:noVBand="1"/>
      </w:tblPr>
      <w:tblGrid>
        <w:gridCol w:w="704"/>
        <w:gridCol w:w="7513"/>
        <w:gridCol w:w="1139"/>
      </w:tblGrid>
      <w:tr w:rsidR="008914EE" w14:paraId="0FA508A6" w14:textId="77777777" w:rsidTr="004036FE">
        <w:trPr>
          <w:trHeight w:hRule="exact" w:val="20"/>
        </w:trPr>
        <w:tc>
          <w:tcPr>
            <w:tcW w:w="704" w:type="dxa"/>
            <w:tcBorders>
              <w:top w:val="nil"/>
              <w:left w:val="nil"/>
              <w:bottom w:val="nil"/>
              <w:right w:val="nil"/>
            </w:tcBorders>
          </w:tcPr>
          <w:p w14:paraId="2548FA38" w14:textId="77777777" w:rsidR="008914EE" w:rsidRPr="008914EE" w:rsidRDefault="008914EE">
            <w:pPr>
              <w:rPr>
                <w:color w:val="000000" w:themeColor="text1"/>
                <w:sz w:val="2"/>
              </w:rPr>
            </w:pPr>
            <w:bookmarkStart w:id="2" w:name="_eca03b1d_d44b_4219_86b2_4f942b1775ec"/>
            <w:bookmarkStart w:id="3" w:name="_3da55a7a_6ec5_447d_ba42_52c23e1884e6"/>
            <w:bookmarkEnd w:id="2"/>
            <w:r w:rsidRPr="008914EE">
              <w:rPr>
                <w:sz w:val="2"/>
              </w:rPr>
              <w:t xml:space="preserve">Does the site or proposed development possess/impact on any of the features </w:t>
            </w:r>
            <w:proofErr w:type="gramStart"/>
            <w:r w:rsidRPr="008914EE">
              <w:rPr>
                <w:sz w:val="2"/>
              </w:rPr>
              <w:t>where</w:t>
            </w:r>
            <w:proofErr w:type="gramEnd"/>
            <w:r w:rsidRPr="008914EE">
              <w:rPr>
                <w:sz w:val="2"/>
              </w:rPr>
              <w:cr/>
              <w:t>protected species are likely to be present (assessed against Natural England’s standing</w:t>
            </w:r>
            <w:r w:rsidRPr="008914EE">
              <w:rPr>
                <w:sz w:val="2"/>
              </w:rPr>
              <w:cr/>
              <w:t>advice) and where species are likely to be found?</w:t>
            </w:r>
          </w:p>
        </w:tc>
        <w:tc>
          <w:tcPr>
            <w:tcW w:w="7513" w:type="dxa"/>
            <w:tcBorders>
              <w:top w:val="nil"/>
              <w:left w:val="nil"/>
              <w:bottom w:val="nil"/>
              <w:right w:val="nil"/>
            </w:tcBorders>
          </w:tcPr>
          <w:p w14:paraId="7BB40C35" w14:textId="77777777" w:rsidR="008914EE" w:rsidRDefault="008914EE">
            <w:pPr>
              <w:rPr>
                <w:sz w:val="2"/>
              </w:rPr>
            </w:pPr>
          </w:p>
        </w:tc>
        <w:tc>
          <w:tcPr>
            <w:tcW w:w="1139" w:type="dxa"/>
            <w:tcBorders>
              <w:top w:val="nil"/>
              <w:left w:val="nil"/>
              <w:bottom w:val="nil"/>
              <w:right w:val="nil"/>
            </w:tcBorders>
          </w:tcPr>
          <w:p w14:paraId="4545539A" w14:textId="77777777" w:rsidR="008914EE" w:rsidRDefault="008914EE">
            <w:pPr>
              <w:rPr>
                <w:sz w:val="2"/>
              </w:rPr>
            </w:pPr>
          </w:p>
        </w:tc>
      </w:tr>
      <w:tr w:rsidR="00FC0D4D" w14:paraId="1403EAAE" w14:textId="77777777" w:rsidTr="00FC0D4D">
        <w:tc>
          <w:tcPr>
            <w:tcW w:w="8217" w:type="dxa"/>
            <w:gridSpan w:val="2"/>
            <w:shd w:val="clear" w:color="auto" w:fill="D9D9D9" w:themeFill="background1" w:themeFillShade="D9"/>
          </w:tcPr>
          <w:p w14:paraId="494989A4" w14:textId="77777777" w:rsidR="00FC0D4D" w:rsidRPr="008914EE" w:rsidRDefault="00FC0D4D" w:rsidP="008914EE">
            <w:pPr>
              <w:rPr>
                <w:rFonts w:ascii="Arial" w:eastAsia="Times New Roman" w:hAnsi="Arial" w:cs="Arial"/>
                <w:color w:val="000000" w:themeColor="text1"/>
                <w:kern w:val="0"/>
                <w:sz w:val="22"/>
                <w:szCs w:val="22"/>
                <w:lang w:eastAsia="en-GB"/>
                <w14:ligatures w14:val="none"/>
              </w:rPr>
            </w:pPr>
          </w:p>
        </w:tc>
        <w:tc>
          <w:tcPr>
            <w:tcW w:w="1139" w:type="dxa"/>
            <w:shd w:val="clear" w:color="auto" w:fill="D9D9D9" w:themeFill="background1" w:themeFillShade="D9"/>
          </w:tcPr>
          <w:p w14:paraId="25324168" w14:textId="77777777" w:rsidR="00FC0D4D" w:rsidRPr="00210121" w:rsidRDefault="00FC0D4D"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Y / N / NA</w:t>
            </w:r>
          </w:p>
        </w:tc>
      </w:tr>
      <w:tr w:rsidR="008914EE" w14:paraId="29797B6E" w14:textId="77777777" w:rsidTr="004036FE">
        <w:tc>
          <w:tcPr>
            <w:tcW w:w="704" w:type="dxa"/>
          </w:tcPr>
          <w:p w14:paraId="754EDC04"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sidRPr="00210121">
              <w:rPr>
                <w:rFonts w:ascii="Arial" w:eastAsia="Times New Roman" w:hAnsi="Arial" w:cs="Arial"/>
                <w:color w:val="000000" w:themeColor="text1"/>
                <w:kern w:val="0"/>
                <w:sz w:val="22"/>
                <w:szCs w:val="22"/>
                <w:lang w:eastAsia="en-GB"/>
                <w14:ligatures w14:val="none"/>
              </w:rPr>
              <w:t>(a)</w:t>
            </w:r>
          </w:p>
        </w:tc>
        <w:tc>
          <w:tcPr>
            <w:tcW w:w="7513" w:type="dxa"/>
          </w:tcPr>
          <w:p w14:paraId="6D5B783E" w14:textId="77777777" w:rsidR="008914EE" w:rsidRPr="00E92EE6" w:rsidRDefault="008914EE" w:rsidP="0009569C">
            <w:pPr>
              <w:spacing w:line="276" w:lineRule="auto"/>
              <w:rPr>
                <w:rFonts w:ascii="Arial" w:eastAsia="Times New Roman" w:hAnsi="Arial" w:cs="Arial"/>
                <w:color w:val="000000" w:themeColor="text1"/>
                <w:kern w:val="0"/>
                <w:sz w:val="22"/>
                <w:szCs w:val="22"/>
                <w:lang w:eastAsia="en-GB"/>
                <w14:ligatures w14:val="none"/>
              </w:rPr>
            </w:pPr>
            <w:r w:rsidRPr="008914EE">
              <w:rPr>
                <w:rFonts w:ascii="Arial" w:eastAsia="Times New Roman" w:hAnsi="Arial" w:cs="Arial"/>
                <w:color w:val="000000" w:themeColor="text1"/>
                <w:kern w:val="0"/>
                <w:sz w:val="22"/>
                <w:szCs w:val="22"/>
                <w:lang w:eastAsia="en-GB"/>
                <w14:ligatures w14:val="none"/>
              </w:rPr>
              <w:t xml:space="preserve">Does the site or proposed development possess/impact on any of the </w:t>
            </w:r>
            <w:proofErr w:type="gramStart"/>
            <w:r w:rsidRPr="008914EE">
              <w:rPr>
                <w:rFonts w:ascii="Arial" w:eastAsia="Times New Roman" w:hAnsi="Arial" w:cs="Arial"/>
                <w:color w:val="000000" w:themeColor="text1"/>
                <w:kern w:val="0"/>
                <w:sz w:val="22"/>
                <w:szCs w:val="22"/>
                <w:lang w:eastAsia="en-GB"/>
                <w14:ligatures w14:val="none"/>
              </w:rPr>
              <w:t>features</w:t>
            </w:r>
            <w:proofErr w:type="gramEnd"/>
            <w:r w:rsidRPr="008914EE">
              <w:rPr>
                <w:rFonts w:ascii="Arial" w:eastAsia="Times New Roman" w:hAnsi="Arial" w:cs="Arial"/>
                <w:color w:val="000000" w:themeColor="text1"/>
                <w:kern w:val="0"/>
                <w:sz w:val="22"/>
                <w:szCs w:val="22"/>
                <w:lang w:eastAsia="en-GB"/>
                <w14:ligatures w14:val="none"/>
              </w:rPr>
              <w:t xml:space="preserve"> where</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protected species are likely to be present (assessed against Natural England’s standing</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advice) and where species are likely to be found?</w:t>
            </w:r>
          </w:p>
        </w:tc>
        <w:tc>
          <w:tcPr>
            <w:tcW w:w="1139" w:type="dxa"/>
          </w:tcPr>
          <w:p w14:paraId="6920C6DA" w14:textId="37D2F5E1" w:rsidR="008914EE" w:rsidRPr="00210121" w:rsidRDefault="00B47B44"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w:t>
            </w:r>
          </w:p>
        </w:tc>
      </w:tr>
      <w:tr w:rsidR="008914EE" w14:paraId="7DC2115F" w14:textId="77777777" w:rsidTr="004036FE">
        <w:tc>
          <w:tcPr>
            <w:tcW w:w="704" w:type="dxa"/>
          </w:tcPr>
          <w:p w14:paraId="3480E375"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(b)</w:t>
            </w:r>
          </w:p>
        </w:tc>
        <w:tc>
          <w:tcPr>
            <w:tcW w:w="7513" w:type="dxa"/>
          </w:tcPr>
          <w:p w14:paraId="4FA2D7B2" w14:textId="77777777" w:rsidR="008914EE" w:rsidRPr="00E92EE6" w:rsidRDefault="00A92438" w:rsidP="0009569C">
            <w:pPr>
              <w:spacing w:line="276" w:lineRule="auto"/>
              <w:jc w:val="both"/>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has a protected species survey been submitted?</w:t>
            </w:r>
          </w:p>
        </w:tc>
        <w:tc>
          <w:tcPr>
            <w:tcW w:w="1139" w:type="dxa"/>
          </w:tcPr>
          <w:p w14:paraId="3539997D" w14:textId="7E19F51F" w:rsidR="008914EE" w:rsidRPr="00210121" w:rsidRDefault="00B47B44"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tr w:rsidR="008914EE" w14:paraId="16CE123A" w14:textId="77777777" w:rsidTr="004036FE">
        <w:tc>
          <w:tcPr>
            <w:tcW w:w="704" w:type="dxa"/>
          </w:tcPr>
          <w:p w14:paraId="192155DC"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w:t>
            </w:r>
          </w:p>
        </w:tc>
        <w:tc>
          <w:tcPr>
            <w:tcW w:w="7513" w:type="dxa"/>
          </w:tcPr>
          <w:p w14:paraId="2EE7A593" w14:textId="77777777" w:rsidR="008914EE" w:rsidRPr="00E92EE6" w:rsidRDefault="00A92438" w:rsidP="0009569C">
            <w:pPr>
              <w:spacing w:line="276" w:lineRule="auto"/>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xml:space="preserve">, </w:t>
            </w:r>
            <w:r w:rsidR="006C73D7">
              <w:rPr>
                <w:rFonts w:ascii="Arial" w:eastAsia="Times New Roman" w:hAnsi="Arial" w:cs="Arial"/>
                <w:color w:val="000000" w:themeColor="text1"/>
                <w:kern w:val="0"/>
                <w:sz w:val="22"/>
                <w:szCs w:val="22"/>
                <w:lang w:eastAsia="en-GB"/>
                <w14:ligatures w14:val="none"/>
              </w:rPr>
              <w:t>d</w:t>
            </w:r>
            <w:r w:rsidRPr="00A92438">
              <w:rPr>
                <w:rFonts w:ascii="Arial" w:eastAsia="Times New Roman" w:hAnsi="Arial" w:cs="Arial"/>
                <w:color w:val="000000" w:themeColor="text1"/>
                <w:kern w:val="0"/>
                <w:sz w:val="22"/>
                <w:szCs w:val="22"/>
                <w:lang w:eastAsia="en-GB"/>
                <w14:ligatures w14:val="none"/>
              </w:rPr>
              <w:t>oes the survey show a detailed consideration of ecological impacts, wildlife</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mitigation and the creation, restoration and enhancement of wildlife corridors</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to</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preserve and enhance biodiversity in accordance with the standing advice?</w:t>
            </w:r>
          </w:p>
        </w:tc>
        <w:tc>
          <w:tcPr>
            <w:tcW w:w="1139" w:type="dxa"/>
          </w:tcPr>
          <w:p w14:paraId="07C7CB47" w14:textId="79A06493" w:rsidR="008914EE" w:rsidRPr="00210121" w:rsidRDefault="00B47B44"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bookmarkEnd w:id="3"/>
    </w:tbl>
    <w:p w14:paraId="26BFB1FA"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00B0CE05" w14:textId="77777777" w:rsidR="00B47B44" w:rsidRDefault="00B47B44" w:rsidP="00F1263F">
      <w:pPr>
        <w:spacing w:after="0" w:line="276" w:lineRule="auto"/>
        <w:jc w:val="both"/>
        <w:rPr>
          <w:rFonts w:ascii="Arial" w:eastAsia="Times New Roman" w:hAnsi="Arial" w:cs="Arial"/>
          <w:color w:val="FF0000"/>
          <w:kern w:val="0"/>
          <w:sz w:val="22"/>
          <w:szCs w:val="22"/>
          <w:lang w:eastAsia="en-GB"/>
          <w14:ligatures w14:val="none"/>
        </w:rPr>
      </w:pPr>
    </w:p>
    <w:p w14:paraId="231B8BD4" w14:textId="77777777"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72D00CD8" w14:textId="77777777" w:rsidR="00F1263F" w:rsidRPr="007C50F7" w:rsidRDefault="00F1263F" w:rsidP="00F1263F">
      <w:pPr>
        <w:spacing w:after="0" w:line="276" w:lineRule="auto"/>
        <w:jc w:val="both"/>
        <w:rPr>
          <w:rFonts w:ascii="Arial" w:eastAsia="Times New Roman" w:hAnsi="Arial" w:cs="Arial"/>
          <w:i/>
          <w:iCs/>
          <w:color w:val="000000" w:themeColor="text1"/>
          <w:sz w:val="22"/>
          <w:szCs w:val="22"/>
          <w:lang w:eastAsia="en-GB"/>
        </w:rPr>
      </w:pPr>
    </w:p>
    <w:p w14:paraId="46606701" w14:textId="0069BC91" w:rsidR="00080B8E" w:rsidRPr="007C50F7" w:rsidRDefault="00080B8E" w:rsidP="00080B8E">
      <w:pPr>
        <w:spacing w:after="0" w:line="276" w:lineRule="auto"/>
        <w:jc w:val="both"/>
        <w:rPr>
          <w:rFonts w:ascii="Arial" w:eastAsia="Times New Roman" w:hAnsi="Arial" w:cs="Arial"/>
          <w:color w:val="000000" w:themeColor="text1"/>
          <w:kern w:val="0"/>
          <w:sz w:val="22"/>
          <w:szCs w:val="22"/>
          <w:lang w:eastAsia="en-GB"/>
          <w14:ligatures w14:val="none"/>
        </w:rPr>
      </w:pPr>
      <w:r w:rsidRPr="007C50F7">
        <w:rPr>
          <w:rFonts w:ascii="Arial" w:eastAsia="Times New Roman" w:hAnsi="Arial" w:cs="Arial"/>
          <w:color w:val="000000" w:themeColor="text1"/>
          <w:kern w:val="0"/>
          <w:sz w:val="22"/>
          <w:szCs w:val="22"/>
          <w:lang w:eastAsia="en-GB"/>
          <w14:ligatures w14:val="none"/>
        </w:rPr>
        <w:t xml:space="preserve">In this case, the proposals will result in harm to the building </w:t>
      </w:r>
      <w:r w:rsidR="007C50F7" w:rsidRPr="007C50F7">
        <w:rPr>
          <w:rFonts w:ascii="Arial" w:eastAsia="Times New Roman" w:hAnsi="Arial" w:cs="Arial"/>
          <w:color w:val="000000" w:themeColor="text1"/>
          <w:kern w:val="0"/>
          <w:sz w:val="22"/>
          <w:szCs w:val="22"/>
          <w:lang w:eastAsia="en-GB"/>
          <w14:ligatures w14:val="none"/>
        </w:rPr>
        <w:t xml:space="preserve">via the introduction of an incongruous boundary treatment which is excessive in height and comprises poor design </w:t>
      </w:r>
      <w:proofErr w:type="gramStart"/>
      <w:r w:rsidR="007C50F7" w:rsidRPr="007C50F7">
        <w:rPr>
          <w:rFonts w:ascii="Arial" w:eastAsia="Times New Roman" w:hAnsi="Arial" w:cs="Arial"/>
          <w:color w:val="000000" w:themeColor="text1"/>
          <w:kern w:val="0"/>
          <w:sz w:val="22"/>
          <w:szCs w:val="22"/>
          <w:lang w:eastAsia="en-GB"/>
          <w14:ligatures w14:val="none"/>
        </w:rPr>
        <w:t>in regard to</w:t>
      </w:r>
      <w:proofErr w:type="gramEnd"/>
      <w:r w:rsidR="007C50F7" w:rsidRPr="007C50F7">
        <w:rPr>
          <w:rFonts w:ascii="Arial" w:eastAsia="Times New Roman" w:hAnsi="Arial" w:cs="Arial"/>
          <w:color w:val="000000" w:themeColor="text1"/>
          <w:kern w:val="0"/>
          <w:sz w:val="22"/>
          <w:szCs w:val="22"/>
          <w:lang w:eastAsia="en-GB"/>
          <w14:ligatures w14:val="none"/>
        </w:rPr>
        <w:t xml:space="preserve"> scale, design and materials.</w:t>
      </w:r>
      <w:r w:rsidRPr="007C50F7">
        <w:rPr>
          <w:rFonts w:ascii="Arial" w:eastAsia="Times New Roman" w:hAnsi="Arial" w:cs="Arial"/>
          <w:color w:val="000000" w:themeColor="text1"/>
          <w:kern w:val="0"/>
          <w:sz w:val="22"/>
          <w:szCs w:val="22"/>
          <w:lang w:eastAsia="en-GB"/>
          <w14:ligatures w14:val="none"/>
        </w:rPr>
        <w:t xml:space="preserve"> The proposals involve only part of the setting and could therefore be considered as causing ‘less than substantial harm’ for the purposes of interpreting the NPPF, but they involve impact on the setting</w:t>
      </w:r>
      <w:r w:rsidR="007C50F7" w:rsidRPr="007C50F7">
        <w:rPr>
          <w:rFonts w:ascii="Arial" w:eastAsia="Times New Roman" w:hAnsi="Arial" w:cs="Arial"/>
          <w:color w:val="000000" w:themeColor="text1"/>
          <w:kern w:val="0"/>
          <w:sz w:val="22"/>
          <w:szCs w:val="22"/>
          <w:lang w:eastAsia="en-GB"/>
          <w14:ligatures w14:val="none"/>
        </w:rPr>
        <w:t xml:space="preserve"> </w:t>
      </w:r>
      <w:r w:rsidRPr="007C50F7">
        <w:rPr>
          <w:rFonts w:ascii="Arial" w:eastAsia="Times New Roman" w:hAnsi="Arial" w:cs="Arial"/>
          <w:color w:val="000000" w:themeColor="text1"/>
          <w:kern w:val="0"/>
          <w:sz w:val="22"/>
          <w:szCs w:val="22"/>
          <w:lang w:eastAsia="en-GB"/>
          <w14:ligatures w14:val="none"/>
        </w:rPr>
        <w:t xml:space="preserve">and should not be seen as being of lesser consequence. Indeed, the wording of the NPPF and the ‘special regard’ by Sections 16 and 66 of the Act requires that any level harm caused should be taken seriously. </w:t>
      </w:r>
    </w:p>
    <w:p w14:paraId="7B5C7AEF" w14:textId="77777777" w:rsidR="00B24270" w:rsidRPr="007C50F7" w:rsidRDefault="00B24270" w:rsidP="00080B8E">
      <w:pPr>
        <w:spacing w:after="0" w:line="276" w:lineRule="auto"/>
        <w:jc w:val="both"/>
        <w:rPr>
          <w:rFonts w:ascii="Arial" w:eastAsia="Times New Roman" w:hAnsi="Arial" w:cs="Arial"/>
          <w:color w:val="000000" w:themeColor="text1"/>
          <w:kern w:val="0"/>
          <w:sz w:val="22"/>
          <w:szCs w:val="22"/>
          <w:lang w:eastAsia="en-GB"/>
          <w14:ligatures w14:val="none"/>
        </w:rPr>
      </w:pPr>
    </w:p>
    <w:p w14:paraId="25E52068" w14:textId="6FF70F8C" w:rsidR="00B24270" w:rsidRPr="00B24270" w:rsidRDefault="00B24270" w:rsidP="00B24270">
      <w:pPr>
        <w:spacing w:after="0" w:line="276" w:lineRule="auto"/>
        <w:jc w:val="both"/>
        <w:rPr>
          <w:rFonts w:ascii="Arial" w:eastAsia="Times New Roman" w:hAnsi="Arial" w:cs="Arial"/>
          <w:color w:val="EE0000"/>
          <w:kern w:val="0"/>
          <w:sz w:val="22"/>
          <w:szCs w:val="22"/>
          <w:lang w:eastAsia="en-GB"/>
          <w14:ligatures w14:val="none"/>
        </w:rPr>
      </w:pPr>
      <w:r w:rsidRPr="007C50F7">
        <w:rPr>
          <w:rFonts w:ascii="Arial" w:eastAsia="Times New Roman" w:hAnsi="Arial" w:cs="Arial"/>
          <w:color w:val="000000" w:themeColor="text1"/>
          <w:kern w:val="0"/>
          <w:sz w:val="22"/>
          <w:szCs w:val="22"/>
          <w:lang w:eastAsia="en-GB"/>
          <w14:ligatures w14:val="none"/>
        </w:rPr>
        <w:t xml:space="preserve">Paragraph 215 allows that a level of harm may be offset by public benefits, which could include conservation benefits. In this case, however, insufficient objective justification has been provided to demonstrate that the benefits which will result from the works will outweigh the harm caused and, as a result, the proposals fail to meet with the requirements of current conservation legislation, policy or guidance.  </w:t>
      </w:r>
    </w:p>
    <w:p w14:paraId="6218F9BD" w14:textId="77777777" w:rsidR="00080B8E" w:rsidRDefault="00080B8E" w:rsidP="00D3708F">
      <w:pPr>
        <w:spacing w:after="0" w:line="276" w:lineRule="auto"/>
        <w:jc w:val="both"/>
        <w:rPr>
          <w:rFonts w:ascii="Arial" w:eastAsia="Times New Roman" w:hAnsi="Arial" w:cs="Arial"/>
          <w:b/>
          <w:bCs/>
          <w:kern w:val="0"/>
          <w:sz w:val="22"/>
          <w:szCs w:val="22"/>
          <w:lang w:eastAsia="en-GB"/>
          <w14:ligatures w14:val="none"/>
        </w:rPr>
      </w:pPr>
    </w:p>
    <w:p w14:paraId="7284E5C1" w14:textId="49E094F0" w:rsidR="00EA5C93" w:rsidRPr="00B47B44" w:rsidRDefault="00F7609E" w:rsidP="00B47B44">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r w:rsidR="00B47B44">
        <w:rPr>
          <w:rFonts w:ascii="Arial" w:eastAsia="Times New Roman" w:hAnsi="Arial" w:cs="Arial"/>
          <w:b/>
          <w:bCs/>
          <w:kern w:val="0"/>
          <w:sz w:val="22"/>
          <w:szCs w:val="22"/>
          <w:lang w:eastAsia="en-GB"/>
          <w14:ligatures w14:val="none"/>
        </w:rPr>
        <w:t xml:space="preserve">: </w:t>
      </w:r>
      <w:r w:rsidR="00EA5C93" w:rsidRPr="00EA5C93">
        <w:rPr>
          <w:rFonts w:ascii="Arial" w:eastAsia="Times New Roman" w:hAnsi="Arial" w:cs="Arial"/>
          <w:b/>
          <w:bCs/>
          <w:kern w:val="0"/>
          <w:sz w:val="22"/>
          <w:szCs w:val="22"/>
          <w:lang w:eastAsia="en-GB"/>
          <w14:ligatures w14:val="none"/>
        </w:rPr>
        <w:t>That Listed Building Consent be REFUSED</w:t>
      </w:r>
      <w:r w:rsidR="00B47B44">
        <w:rPr>
          <w:rFonts w:ascii="Arial" w:eastAsia="Times New Roman" w:hAnsi="Arial" w:cs="Arial"/>
          <w:b/>
          <w:bCs/>
          <w:kern w:val="0"/>
          <w:sz w:val="22"/>
          <w:szCs w:val="22"/>
          <w:lang w:eastAsia="en-GB"/>
          <w14:ligatures w14:val="none"/>
        </w:rPr>
        <w:t>.</w:t>
      </w:r>
    </w:p>
    <w:sectPr w:rsidR="00EA5C93" w:rsidRPr="00B47B44"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18"/>
  </w:num>
  <w:num w:numId="4" w16cid:durableId="1650787556">
    <w:abstractNumId w:val="12"/>
  </w:num>
  <w:num w:numId="5" w16cid:durableId="466094426">
    <w:abstractNumId w:val="20"/>
  </w:num>
  <w:num w:numId="6" w16cid:durableId="1542328013">
    <w:abstractNumId w:val="21"/>
  </w:num>
  <w:num w:numId="7" w16cid:durableId="1793137108">
    <w:abstractNumId w:val="11"/>
  </w:num>
  <w:num w:numId="8" w16cid:durableId="894196061">
    <w:abstractNumId w:val="22"/>
  </w:num>
  <w:num w:numId="9" w16cid:durableId="1582301330">
    <w:abstractNumId w:val="4"/>
  </w:num>
  <w:num w:numId="10" w16cid:durableId="1377897276">
    <w:abstractNumId w:val="9"/>
  </w:num>
  <w:num w:numId="11" w16cid:durableId="696538521">
    <w:abstractNumId w:val="10"/>
  </w:num>
  <w:num w:numId="12" w16cid:durableId="544147084">
    <w:abstractNumId w:val="13"/>
  </w:num>
  <w:num w:numId="13" w16cid:durableId="146017676">
    <w:abstractNumId w:val="7"/>
  </w:num>
  <w:num w:numId="14" w16cid:durableId="95908985">
    <w:abstractNumId w:val="8"/>
  </w:num>
  <w:num w:numId="15" w16cid:durableId="1105422663">
    <w:abstractNumId w:val="16"/>
  </w:num>
  <w:num w:numId="16" w16cid:durableId="1087536106">
    <w:abstractNumId w:val="0"/>
  </w:num>
  <w:num w:numId="17" w16cid:durableId="2005745548">
    <w:abstractNumId w:val="1"/>
  </w:num>
  <w:num w:numId="18" w16cid:durableId="650603492">
    <w:abstractNumId w:val="17"/>
  </w:num>
  <w:num w:numId="19" w16cid:durableId="654184100">
    <w:abstractNumId w:val="19"/>
  </w:num>
  <w:num w:numId="20" w16cid:durableId="591665408">
    <w:abstractNumId w:val="14"/>
  </w:num>
  <w:num w:numId="21" w16cid:durableId="1739472710">
    <w:abstractNumId w:val="6"/>
  </w:num>
  <w:num w:numId="22" w16cid:durableId="534393309">
    <w:abstractNumId w:val="15"/>
  </w:num>
  <w:num w:numId="23" w16cid:durableId="6414212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4188C"/>
    <w:rsid w:val="00041F5B"/>
    <w:rsid w:val="00044293"/>
    <w:rsid w:val="00047400"/>
    <w:rsid w:val="0007377C"/>
    <w:rsid w:val="00080B8E"/>
    <w:rsid w:val="000904C8"/>
    <w:rsid w:val="00090C07"/>
    <w:rsid w:val="0009569C"/>
    <w:rsid w:val="00097010"/>
    <w:rsid w:val="000B05B0"/>
    <w:rsid w:val="000B5BFA"/>
    <w:rsid w:val="000C0E31"/>
    <w:rsid w:val="000C177C"/>
    <w:rsid w:val="000D0858"/>
    <w:rsid w:val="000E6B9B"/>
    <w:rsid w:val="000E7C90"/>
    <w:rsid w:val="001018D6"/>
    <w:rsid w:val="00114781"/>
    <w:rsid w:val="00150B21"/>
    <w:rsid w:val="00156623"/>
    <w:rsid w:val="0017436B"/>
    <w:rsid w:val="00174771"/>
    <w:rsid w:val="00176847"/>
    <w:rsid w:val="001975A7"/>
    <w:rsid w:val="001C6BB1"/>
    <w:rsid w:val="001C7ED3"/>
    <w:rsid w:val="001D1B59"/>
    <w:rsid w:val="001D2B00"/>
    <w:rsid w:val="001E3936"/>
    <w:rsid w:val="001E3C8D"/>
    <w:rsid w:val="001F0E86"/>
    <w:rsid w:val="001F793E"/>
    <w:rsid w:val="00202DE0"/>
    <w:rsid w:val="002073DA"/>
    <w:rsid w:val="00210121"/>
    <w:rsid w:val="0021435E"/>
    <w:rsid w:val="00232D93"/>
    <w:rsid w:val="00283A5E"/>
    <w:rsid w:val="002860A6"/>
    <w:rsid w:val="00290898"/>
    <w:rsid w:val="0029205E"/>
    <w:rsid w:val="002941BD"/>
    <w:rsid w:val="002B5AD0"/>
    <w:rsid w:val="002B6649"/>
    <w:rsid w:val="002E16E5"/>
    <w:rsid w:val="002F7C6B"/>
    <w:rsid w:val="00312C7F"/>
    <w:rsid w:val="00321C6D"/>
    <w:rsid w:val="0034607F"/>
    <w:rsid w:val="00354D90"/>
    <w:rsid w:val="00384CE5"/>
    <w:rsid w:val="0038563A"/>
    <w:rsid w:val="00387A45"/>
    <w:rsid w:val="003B32DD"/>
    <w:rsid w:val="003E2176"/>
    <w:rsid w:val="003E3806"/>
    <w:rsid w:val="003F0EB1"/>
    <w:rsid w:val="004036FE"/>
    <w:rsid w:val="00405341"/>
    <w:rsid w:val="004073CC"/>
    <w:rsid w:val="00414164"/>
    <w:rsid w:val="00424A85"/>
    <w:rsid w:val="00424DA4"/>
    <w:rsid w:val="004268CE"/>
    <w:rsid w:val="00455BCE"/>
    <w:rsid w:val="00465B83"/>
    <w:rsid w:val="00475AA8"/>
    <w:rsid w:val="00496BFD"/>
    <w:rsid w:val="004C35D8"/>
    <w:rsid w:val="004D23ED"/>
    <w:rsid w:val="004E6EDB"/>
    <w:rsid w:val="004F6C1C"/>
    <w:rsid w:val="00501911"/>
    <w:rsid w:val="0050216E"/>
    <w:rsid w:val="00506262"/>
    <w:rsid w:val="00507FCF"/>
    <w:rsid w:val="005100B4"/>
    <w:rsid w:val="00513E22"/>
    <w:rsid w:val="0052282C"/>
    <w:rsid w:val="0054068B"/>
    <w:rsid w:val="00554987"/>
    <w:rsid w:val="005607D8"/>
    <w:rsid w:val="0059577B"/>
    <w:rsid w:val="005A13E7"/>
    <w:rsid w:val="005A287E"/>
    <w:rsid w:val="005A451C"/>
    <w:rsid w:val="005D148E"/>
    <w:rsid w:val="005E1B00"/>
    <w:rsid w:val="005F4DDB"/>
    <w:rsid w:val="006030C2"/>
    <w:rsid w:val="0062089F"/>
    <w:rsid w:val="00630588"/>
    <w:rsid w:val="00643C57"/>
    <w:rsid w:val="00644A3D"/>
    <w:rsid w:val="00646DA3"/>
    <w:rsid w:val="00652C05"/>
    <w:rsid w:val="00680DA9"/>
    <w:rsid w:val="00683266"/>
    <w:rsid w:val="00683C17"/>
    <w:rsid w:val="00686A50"/>
    <w:rsid w:val="0069695D"/>
    <w:rsid w:val="006B23D0"/>
    <w:rsid w:val="006B438E"/>
    <w:rsid w:val="006C4BFD"/>
    <w:rsid w:val="006C73D7"/>
    <w:rsid w:val="0070382B"/>
    <w:rsid w:val="00705E25"/>
    <w:rsid w:val="00707756"/>
    <w:rsid w:val="00732F3A"/>
    <w:rsid w:val="007844EF"/>
    <w:rsid w:val="00793F8E"/>
    <w:rsid w:val="007A5F42"/>
    <w:rsid w:val="007C02AD"/>
    <w:rsid w:val="007C50F7"/>
    <w:rsid w:val="007D328F"/>
    <w:rsid w:val="007E2693"/>
    <w:rsid w:val="007E32BF"/>
    <w:rsid w:val="007F46D6"/>
    <w:rsid w:val="00802AEC"/>
    <w:rsid w:val="0080787A"/>
    <w:rsid w:val="00832A35"/>
    <w:rsid w:val="00840A49"/>
    <w:rsid w:val="0086069A"/>
    <w:rsid w:val="00887AC7"/>
    <w:rsid w:val="008914EE"/>
    <w:rsid w:val="008A78F9"/>
    <w:rsid w:val="008B44B6"/>
    <w:rsid w:val="008B6809"/>
    <w:rsid w:val="008D0226"/>
    <w:rsid w:val="008E400E"/>
    <w:rsid w:val="008E5134"/>
    <w:rsid w:val="008E7079"/>
    <w:rsid w:val="00907CF6"/>
    <w:rsid w:val="00920F0F"/>
    <w:rsid w:val="0092586B"/>
    <w:rsid w:val="009316BB"/>
    <w:rsid w:val="00944185"/>
    <w:rsid w:val="00946613"/>
    <w:rsid w:val="009468C7"/>
    <w:rsid w:val="00970A8A"/>
    <w:rsid w:val="00970D26"/>
    <w:rsid w:val="00970F6B"/>
    <w:rsid w:val="00976F18"/>
    <w:rsid w:val="00987651"/>
    <w:rsid w:val="009A5EEC"/>
    <w:rsid w:val="009C3071"/>
    <w:rsid w:val="009C3A14"/>
    <w:rsid w:val="009C3CE7"/>
    <w:rsid w:val="009D1ACE"/>
    <w:rsid w:val="009D2C79"/>
    <w:rsid w:val="009D4867"/>
    <w:rsid w:val="009E1642"/>
    <w:rsid w:val="009F2ED4"/>
    <w:rsid w:val="00A03FD0"/>
    <w:rsid w:val="00A147C7"/>
    <w:rsid w:val="00A247B5"/>
    <w:rsid w:val="00A3064D"/>
    <w:rsid w:val="00A3747E"/>
    <w:rsid w:val="00A43311"/>
    <w:rsid w:val="00A47462"/>
    <w:rsid w:val="00A6406E"/>
    <w:rsid w:val="00A91DB8"/>
    <w:rsid w:val="00A92438"/>
    <w:rsid w:val="00A96182"/>
    <w:rsid w:val="00AA7925"/>
    <w:rsid w:val="00AB535C"/>
    <w:rsid w:val="00AB6CA9"/>
    <w:rsid w:val="00AE1C41"/>
    <w:rsid w:val="00B030C6"/>
    <w:rsid w:val="00B034C2"/>
    <w:rsid w:val="00B04EAD"/>
    <w:rsid w:val="00B06969"/>
    <w:rsid w:val="00B107C5"/>
    <w:rsid w:val="00B24270"/>
    <w:rsid w:val="00B47B44"/>
    <w:rsid w:val="00B57A45"/>
    <w:rsid w:val="00B725C9"/>
    <w:rsid w:val="00B967BC"/>
    <w:rsid w:val="00BB1A61"/>
    <w:rsid w:val="00BD555F"/>
    <w:rsid w:val="00BE0D93"/>
    <w:rsid w:val="00BF603E"/>
    <w:rsid w:val="00BF6DBD"/>
    <w:rsid w:val="00C03935"/>
    <w:rsid w:val="00C134DC"/>
    <w:rsid w:val="00C5188C"/>
    <w:rsid w:val="00C760C4"/>
    <w:rsid w:val="00C84F43"/>
    <w:rsid w:val="00C95D87"/>
    <w:rsid w:val="00CA0A0F"/>
    <w:rsid w:val="00CA5343"/>
    <w:rsid w:val="00CB7792"/>
    <w:rsid w:val="00CD3444"/>
    <w:rsid w:val="00CE04E4"/>
    <w:rsid w:val="00CF161D"/>
    <w:rsid w:val="00D05A60"/>
    <w:rsid w:val="00D14841"/>
    <w:rsid w:val="00D3708F"/>
    <w:rsid w:val="00D56315"/>
    <w:rsid w:val="00D64502"/>
    <w:rsid w:val="00D767DF"/>
    <w:rsid w:val="00D82D3F"/>
    <w:rsid w:val="00D874A6"/>
    <w:rsid w:val="00D87765"/>
    <w:rsid w:val="00D902FA"/>
    <w:rsid w:val="00D94665"/>
    <w:rsid w:val="00D951CA"/>
    <w:rsid w:val="00DC00C1"/>
    <w:rsid w:val="00DC0F76"/>
    <w:rsid w:val="00DC365D"/>
    <w:rsid w:val="00DF3F20"/>
    <w:rsid w:val="00DF6F97"/>
    <w:rsid w:val="00E03DF5"/>
    <w:rsid w:val="00E25A94"/>
    <w:rsid w:val="00E26776"/>
    <w:rsid w:val="00E27375"/>
    <w:rsid w:val="00E2785E"/>
    <w:rsid w:val="00E339FC"/>
    <w:rsid w:val="00E4204A"/>
    <w:rsid w:val="00E638F1"/>
    <w:rsid w:val="00E70D98"/>
    <w:rsid w:val="00E74E27"/>
    <w:rsid w:val="00E77C72"/>
    <w:rsid w:val="00E83505"/>
    <w:rsid w:val="00E85545"/>
    <w:rsid w:val="00E92EE6"/>
    <w:rsid w:val="00E933AC"/>
    <w:rsid w:val="00EA5C93"/>
    <w:rsid w:val="00EC156A"/>
    <w:rsid w:val="00EC1FE1"/>
    <w:rsid w:val="00EC2E4E"/>
    <w:rsid w:val="00EC4828"/>
    <w:rsid w:val="00ED781A"/>
    <w:rsid w:val="00EE21A2"/>
    <w:rsid w:val="00EE5C03"/>
    <w:rsid w:val="00EF14E3"/>
    <w:rsid w:val="00EF6260"/>
    <w:rsid w:val="00F00562"/>
    <w:rsid w:val="00F005A4"/>
    <w:rsid w:val="00F1263F"/>
    <w:rsid w:val="00F2477F"/>
    <w:rsid w:val="00F64398"/>
    <w:rsid w:val="00F7017C"/>
    <w:rsid w:val="00F7609E"/>
    <w:rsid w:val="00F82572"/>
    <w:rsid w:val="00F86303"/>
    <w:rsid w:val="00F87A22"/>
    <w:rsid w:val="00F9161E"/>
    <w:rsid w:val="00FA1351"/>
    <w:rsid w:val="00FA4285"/>
    <w:rsid w:val="00FC0D4D"/>
    <w:rsid w:val="00FC44D1"/>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4CC70"/>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2.xml><?xml version="1.0" encoding="utf-8"?>
<ds:datastoreItem xmlns:ds="http://schemas.openxmlformats.org/officeDocument/2006/customXml" ds:itemID="{8C91C849-38AB-49CB-B859-D14A6BC18820}">
  <ds:schemaRefs>
    <ds:schemaRef ds:uri="http://schemas.microsoft.com/sharepoint/v3/contenttype/forms"/>
  </ds:schemaRefs>
</ds:datastoreItem>
</file>

<file path=customXml/itemProps3.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4.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2689</Words>
  <Characters>15331</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salesforceId:2e04f398-dec0-4a65-9d12-e6ec406b09af</dc:subject>
  <dc:creator>O'Donoghue, Ruaridh</dc:creator>
  <cp:keywords/>
  <dc:description/>
  <cp:lastModifiedBy>Leesam, Joe</cp:lastModifiedBy>
  <cp:revision>23</cp:revision>
  <dcterms:created xsi:type="dcterms:W3CDTF">2026-04-27T10:35:00Z</dcterms:created>
  <dcterms:modified xsi:type="dcterms:W3CDTF">2026-04-27T11:10:00Z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069Q300000OjtSNIAZ</vt:lpwstr>
  </property>
</Properties>
</file>