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B721B6">
        <w:rPr>
          <w:rFonts w:ascii="Arial" w:hAnsi="Arial" w:cs="Arial"/>
          <w:b/>
          <w:bCs/>
          <w:sz w:val="28"/>
          <w:szCs w:val="28"/>
        </w:rPr>
        <w:t>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5E65FF88" w:rsidR="000E38BA" w:rsidRPr="004908AE" w:rsidRDefault="00621166"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PL/2026/01011</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207B7DC" w:rsidR="000E38BA" w:rsidRPr="00621166" w:rsidRDefault="00621166" w:rsidP="00AE4D3F">
            <w:pPr>
              <w:spacing w:before="100" w:beforeAutospacing="1" w:after="100" w:afterAutospacing="1" w:line="276" w:lineRule="auto"/>
              <w:rPr>
                <w:rFonts w:ascii="Arial" w:hAnsi="Arial" w:cs="Arial"/>
                <w:sz w:val="22"/>
                <w:szCs w:val="22"/>
                <w:lang w:eastAsia="en-GB"/>
              </w:rPr>
            </w:pPr>
            <w:r w:rsidRPr="00621166">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Pr="00621166" w:rsidRDefault="000E38BA" w:rsidP="00AE4D3F">
            <w:pPr>
              <w:spacing w:before="100" w:beforeAutospacing="1" w:after="100" w:afterAutospacing="1" w:line="276" w:lineRule="auto"/>
              <w:jc w:val="both"/>
              <w:rPr>
                <w:rFonts w:ascii="Arial" w:hAnsi="Arial" w:cs="Arial"/>
                <w:b/>
                <w:bCs/>
                <w:sz w:val="22"/>
                <w:szCs w:val="22"/>
                <w:lang w:eastAsia="en-GB"/>
              </w:rPr>
            </w:pPr>
            <w:r w:rsidRPr="00621166">
              <w:rPr>
                <w:rFonts w:ascii="Arial" w:hAnsi="Arial" w:cs="Arial"/>
                <w:b/>
                <w:bCs/>
                <w:sz w:val="22"/>
                <w:szCs w:val="22"/>
                <w:lang w:eastAsia="en-GB"/>
              </w:rPr>
              <w:t>SITE ADDRESS:</w:t>
            </w:r>
          </w:p>
        </w:tc>
        <w:tc>
          <w:tcPr>
            <w:tcW w:w="6662" w:type="dxa"/>
          </w:tcPr>
          <w:p w14:paraId="0415A91F" w14:textId="5DB4F80D" w:rsidR="000E38BA" w:rsidRPr="00621166" w:rsidRDefault="00621166" w:rsidP="00AE4D3F">
            <w:pPr>
              <w:spacing w:before="100" w:beforeAutospacing="1" w:after="100" w:afterAutospacing="1" w:line="276" w:lineRule="auto"/>
              <w:rPr>
                <w:rFonts w:ascii="Arial" w:hAnsi="Arial" w:cs="Arial"/>
                <w:b/>
                <w:bCs/>
                <w:sz w:val="22"/>
                <w:szCs w:val="22"/>
                <w:lang w:eastAsia="en-GB"/>
              </w:rPr>
            </w:pPr>
            <w:r w:rsidRPr="00621166">
              <w:rPr>
                <w:rFonts w:ascii="Arial" w:hAnsi="Arial" w:cs="Arial"/>
                <w:sz w:val="22"/>
                <w:szCs w:val="22"/>
                <w:lang w:val="en-GB" w:eastAsia="en-GB"/>
              </w:rPr>
              <w:t>32 Marsh Road, Hilperton Marsh, Trowbridge, BA14 7PR</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1018C4A4" w:rsidR="000E38BA" w:rsidRDefault="00E252FD" w:rsidP="00AE4D3F">
            <w:pPr>
              <w:spacing w:before="100" w:beforeAutospacing="1" w:after="100" w:afterAutospacing="1" w:line="276" w:lineRule="auto"/>
              <w:rPr>
                <w:rFonts w:ascii="Arial" w:hAnsi="Arial" w:cs="Arial"/>
                <w:b/>
                <w:bCs/>
                <w:sz w:val="22"/>
                <w:szCs w:val="22"/>
                <w:lang w:eastAsia="en-GB"/>
              </w:rPr>
            </w:pPr>
            <w:r w:rsidRPr="00E252FD">
              <w:rPr>
                <w:rFonts w:ascii="Arial" w:hAnsi="Arial" w:cs="Arial"/>
                <w:sz w:val="22"/>
                <w:szCs w:val="22"/>
                <w:lang w:val="en-GB" w:eastAsia="en-GB"/>
              </w:rPr>
              <w:t>Single story extension with door and roof</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3DB17DE6" w:rsidR="000E38BA" w:rsidRDefault="00AD29D0" w:rsidP="00AD29D0">
      <w:pPr>
        <w:tabs>
          <w:tab w:val="left" w:pos="2520"/>
        </w:tabs>
        <w:jc w:val="center"/>
        <w:rPr>
          <w:rFonts w:ascii="Arial" w:hAnsi="Arial" w:cs="Arial"/>
          <w:bCs/>
          <w:sz w:val="22"/>
          <w:szCs w:val="22"/>
        </w:rPr>
      </w:pPr>
      <w:r w:rsidRPr="00AD29D0">
        <w:rPr>
          <w:rFonts w:ascii="Arial" w:hAnsi="Arial" w:cs="Arial"/>
          <w:b/>
          <w:color w:val="FF0000"/>
          <w:sz w:val="22"/>
          <w:szCs w:val="22"/>
          <w:bdr w:val="single" w:sz="12" w:space="0" w:color="auto"/>
        </w:rPr>
        <w:drawing>
          <wp:inline distT="0" distB="0" distL="0" distR="0" wp14:anchorId="5D37A44A" wp14:editId="7FB0120A">
            <wp:extent cx="2735248" cy="2165667"/>
            <wp:effectExtent l="0" t="0" r="8255" b="6350"/>
            <wp:docPr id="464954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954353" name=""/>
                    <pic:cNvPicPr/>
                  </pic:nvPicPr>
                  <pic:blipFill>
                    <a:blip r:embed="rId5"/>
                    <a:stretch>
                      <a:fillRect/>
                    </a:stretch>
                  </pic:blipFill>
                  <pic:spPr>
                    <a:xfrm>
                      <a:off x="0" y="0"/>
                      <a:ext cx="2766453" cy="2190374"/>
                    </a:xfrm>
                    <a:prstGeom prst="rect">
                      <a:avLst/>
                    </a:prstGeom>
                  </pic:spPr>
                </pic:pic>
              </a:graphicData>
            </a:graphic>
          </wp:inline>
        </w:drawing>
      </w:r>
    </w:p>
    <w:p w14:paraId="2BAA6AB3" w14:textId="77777777" w:rsidR="00AD29D0" w:rsidRDefault="00AD29D0" w:rsidP="007336B3">
      <w:pPr>
        <w:tabs>
          <w:tab w:val="left" w:pos="2520"/>
        </w:tabs>
        <w:rPr>
          <w:rFonts w:ascii="Arial" w:hAnsi="Arial" w:cs="Arial"/>
          <w:bCs/>
          <w:sz w:val="22"/>
          <w:szCs w:val="22"/>
        </w:rPr>
      </w:pPr>
    </w:p>
    <w:p w14:paraId="07E8BC62" w14:textId="77777777" w:rsidR="006369BE" w:rsidRDefault="006369BE" w:rsidP="007336B3">
      <w:pPr>
        <w:tabs>
          <w:tab w:val="left" w:pos="2520"/>
        </w:tabs>
        <w:rPr>
          <w:rFonts w:ascii="Arial" w:hAnsi="Arial" w:cs="Arial"/>
          <w:bCs/>
          <w:sz w:val="22"/>
          <w:szCs w:val="22"/>
        </w:rPr>
      </w:pPr>
    </w:p>
    <w:p w14:paraId="50EEC76E" w14:textId="77777777" w:rsidR="006369BE" w:rsidRPr="004E7A6C" w:rsidRDefault="006369BE"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02C1D62A" w14:textId="77777777" w:rsidR="00492B63" w:rsidRPr="00492B63" w:rsidRDefault="00492B63" w:rsidP="00CC6665">
      <w:pPr>
        <w:pStyle w:val="NoSpacing"/>
        <w:spacing w:line="276" w:lineRule="auto"/>
      </w:pPr>
    </w:p>
    <w:p w14:paraId="28AE561C" w14:textId="3058E289" w:rsidR="008C2CBB" w:rsidRPr="00492B63" w:rsidRDefault="00492B63" w:rsidP="00CC6665">
      <w:pPr>
        <w:pStyle w:val="NoSpacing"/>
        <w:spacing w:line="276" w:lineRule="auto"/>
      </w:pPr>
      <w:r w:rsidRPr="00492B63">
        <w:t>The application seeks planning permission for a simple rear conservatory extensio</w:t>
      </w:r>
      <w:r>
        <w:t>n</w:t>
      </w:r>
      <w:r w:rsidRPr="00492B63">
        <w:t>. The proposed structure would feature a hipped roof with side-facing patio doors. The elevations would be constructed in red brick with predominantly glazed panels, while the roof would be formed largely of glazing.</w:t>
      </w:r>
    </w:p>
    <w:p w14:paraId="071671DC" w14:textId="77777777" w:rsidR="00492B63" w:rsidRPr="00075C07" w:rsidRDefault="00492B63"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6F213411" w14:textId="77777777" w:rsidR="006369BE" w:rsidRPr="006369BE" w:rsidRDefault="006369BE" w:rsidP="006369BE">
      <w:pPr>
        <w:spacing w:line="276" w:lineRule="auto"/>
        <w:rPr>
          <w:rFonts w:ascii="Arial" w:hAnsi="Arial" w:cs="Arial"/>
          <w:sz w:val="22"/>
          <w:szCs w:val="22"/>
        </w:rPr>
      </w:pPr>
      <w:r w:rsidRPr="006369BE">
        <w:rPr>
          <w:rFonts w:ascii="Arial" w:hAnsi="Arial" w:cs="Arial"/>
          <w:sz w:val="22"/>
          <w:szCs w:val="22"/>
        </w:rPr>
        <w:t xml:space="preserve">The site comprises a semi-detached, two-storey dwelling with long front and rear gardens, forming part of a short terrace of three linked houses within an established residential area along Marsh Road. The dwelling and neighbouring properties are of a consistent character, typically finished in red brick with white uPVC fenestration and rainwater goods, front-facing bay windows with white render detailing, and hipped roofs clad in dark red pantiles. The area is characterised by its edge-of-settlement location, with generous front garden </w:t>
      </w:r>
      <w:proofErr w:type="gramStart"/>
      <w:r w:rsidRPr="006369BE">
        <w:rPr>
          <w:rFonts w:ascii="Arial" w:hAnsi="Arial" w:cs="Arial"/>
          <w:sz w:val="22"/>
          <w:szCs w:val="22"/>
        </w:rPr>
        <w:t>set-backs</w:t>
      </w:r>
      <w:proofErr w:type="gramEnd"/>
      <w:r w:rsidRPr="006369BE">
        <w:rPr>
          <w:rFonts w:ascii="Arial" w:hAnsi="Arial" w:cs="Arial"/>
          <w:sz w:val="22"/>
          <w:szCs w:val="22"/>
        </w:rPr>
        <w:t xml:space="preserve"> and driveways providing separation from the highway. The site lies within the Hilperton Settlement Boundary and Flood Zone 1, with no identified surface or groundwater flood risk, and while a Grade II listed building is located opposite the site, the proposal relates solely to the rear of the property and its residential curtilage.</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6BCAF986" w14:textId="77777777" w:rsidR="00C848E4" w:rsidRPr="00075C07" w:rsidRDefault="00C848E4" w:rsidP="00CC6665">
      <w:pPr>
        <w:spacing w:line="276" w:lineRule="auto"/>
        <w:rPr>
          <w:rFonts w:ascii="Arial" w:hAnsi="Arial" w:cs="Arial"/>
          <w:sz w:val="22"/>
          <w:szCs w:val="22"/>
        </w:rPr>
      </w:pPr>
    </w:p>
    <w:p w14:paraId="09A6C555" w14:textId="718AB8A9" w:rsidR="00C25413" w:rsidRPr="00075C07" w:rsidRDefault="00BD3BD3" w:rsidP="00CC6665">
      <w:pPr>
        <w:spacing w:line="276" w:lineRule="auto"/>
        <w:rPr>
          <w:rFonts w:ascii="Arial" w:hAnsi="Arial" w:cs="Arial"/>
          <w:sz w:val="22"/>
          <w:szCs w:val="22"/>
        </w:rPr>
      </w:pPr>
      <w:r w:rsidRPr="000B337A">
        <w:rPr>
          <w:rFonts w:ascii="Arial" w:hAnsi="Arial" w:cs="Arial"/>
          <w:sz w:val="22"/>
          <w:szCs w:val="22"/>
        </w:rPr>
        <w:t>No relevant planning history has been identified for the site subject of this application.</w:t>
      </w:r>
    </w:p>
    <w:p w14:paraId="1C32D185" w14:textId="77777777" w:rsidR="006369BE" w:rsidRPr="00075C07" w:rsidRDefault="006369BE"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B721B6" w:rsidRDefault="00C53B6A"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Core Policy 1</w:t>
      </w:r>
      <w:r w:rsidR="00601AAD" w:rsidRPr="00B721B6">
        <w:rPr>
          <w:rFonts w:ascii="Arial" w:hAnsi="Arial" w:cs="Arial"/>
          <w:sz w:val="22"/>
          <w:szCs w:val="22"/>
        </w:rPr>
        <w:tab/>
      </w:r>
      <w:r w:rsidR="00601AAD" w:rsidRPr="00B721B6">
        <w:rPr>
          <w:rFonts w:ascii="Arial" w:hAnsi="Arial" w:cs="Arial"/>
          <w:sz w:val="22"/>
          <w:szCs w:val="22"/>
        </w:rPr>
        <w:tab/>
      </w:r>
      <w:r w:rsidRPr="00B721B6">
        <w:rPr>
          <w:rFonts w:ascii="Arial" w:hAnsi="Arial" w:cs="Arial"/>
          <w:sz w:val="22"/>
          <w:szCs w:val="22"/>
        </w:rPr>
        <w:t xml:space="preserve">Settlement </w:t>
      </w:r>
      <w:proofErr w:type="gramStart"/>
      <w:r w:rsidR="007A61A7" w:rsidRPr="00B721B6">
        <w:rPr>
          <w:rFonts w:ascii="Arial" w:hAnsi="Arial" w:cs="Arial"/>
          <w:sz w:val="22"/>
          <w:szCs w:val="22"/>
        </w:rPr>
        <w:t>S</w:t>
      </w:r>
      <w:r w:rsidRPr="00B721B6">
        <w:rPr>
          <w:rFonts w:ascii="Arial" w:hAnsi="Arial" w:cs="Arial"/>
          <w:sz w:val="22"/>
          <w:szCs w:val="22"/>
        </w:rPr>
        <w:t>trategy;</w:t>
      </w:r>
      <w:proofErr w:type="gramEnd"/>
      <w:r w:rsidRPr="00B721B6">
        <w:rPr>
          <w:rFonts w:ascii="Arial" w:hAnsi="Arial" w:cs="Arial"/>
          <w:sz w:val="22"/>
          <w:szCs w:val="22"/>
        </w:rPr>
        <w:t xml:space="preserve"> </w:t>
      </w:r>
    </w:p>
    <w:p w14:paraId="476E7C45" w14:textId="745033F9" w:rsidR="00DC64E7" w:rsidRPr="00B721B6" w:rsidRDefault="00C53B6A"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Core Policy 2</w:t>
      </w:r>
      <w:r w:rsidR="00601AAD" w:rsidRPr="00B721B6">
        <w:rPr>
          <w:rFonts w:ascii="Arial" w:hAnsi="Arial" w:cs="Arial"/>
          <w:sz w:val="22"/>
          <w:szCs w:val="22"/>
        </w:rPr>
        <w:t xml:space="preserve"> </w:t>
      </w:r>
      <w:r w:rsidR="00601AAD" w:rsidRPr="00B721B6">
        <w:rPr>
          <w:rFonts w:ascii="Arial" w:hAnsi="Arial" w:cs="Arial"/>
          <w:sz w:val="22"/>
          <w:szCs w:val="22"/>
        </w:rPr>
        <w:tab/>
      </w:r>
      <w:r w:rsidR="00601AAD" w:rsidRPr="00B721B6">
        <w:rPr>
          <w:rFonts w:ascii="Arial" w:hAnsi="Arial" w:cs="Arial"/>
          <w:sz w:val="22"/>
          <w:szCs w:val="22"/>
        </w:rPr>
        <w:tab/>
      </w:r>
      <w:r w:rsidRPr="00B721B6">
        <w:rPr>
          <w:rFonts w:ascii="Arial" w:hAnsi="Arial" w:cs="Arial"/>
          <w:sz w:val="22"/>
          <w:szCs w:val="22"/>
        </w:rPr>
        <w:t xml:space="preserve">Delivery </w:t>
      </w:r>
      <w:proofErr w:type="gramStart"/>
      <w:r w:rsidR="007A61A7" w:rsidRPr="00B721B6">
        <w:rPr>
          <w:rFonts w:ascii="Arial" w:hAnsi="Arial" w:cs="Arial"/>
          <w:sz w:val="22"/>
          <w:szCs w:val="22"/>
        </w:rPr>
        <w:t>S</w:t>
      </w:r>
      <w:r w:rsidRPr="00B721B6">
        <w:rPr>
          <w:rFonts w:ascii="Arial" w:hAnsi="Arial" w:cs="Arial"/>
          <w:sz w:val="22"/>
          <w:szCs w:val="22"/>
        </w:rPr>
        <w:t>trategy;</w:t>
      </w:r>
      <w:proofErr w:type="gramEnd"/>
    </w:p>
    <w:p w14:paraId="7D8BECCC" w14:textId="49DB452D" w:rsidR="0076074E" w:rsidRPr="00B721B6" w:rsidRDefault="0076074E"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 xml:space="preserve">Core Policy </w:t>
      </w:r>
      <w:r w:rsidR="00594C14" w:rsidRPr="00B721B6">
        <w:rPr>
          <w:rFonts w:ascii="Arial" w:hAnsi="Arial" w:cs="Arial"/>
          <w:sz w:val="22"/>
          <w:szCs w:val="22"/>
        </w:rPr>
        <w:t>29</w:t>
      </w:r>
      <w:r w:rsidRPr="00B721B6">
        <w:rPr>
          <w:rFonts w:ascii="Arial" w:hAnsi="Arial" w:cs="Arial"/>
          <w:sz w:val="22"/>
          <w:szCs w:val="22"/>
        </w:rPr>
        <w:t xml:space="preserve"> </w:t>
      </w:r>
      <w:r w:rsidRPr="00B721B6">
        <w:rPr>
          <w:rFonts w:ascii="Arial" w:hAnsi="Arial" w:cs="Arial"/>
          <w:sz w:val="22"/>
          <w:szCs w:val="22"/>
        </w:rPr>
        <w:tab/>
        <w:t>Spatial Strategy:</w:t>
      </w:r>
      <w:r w:rsidR="00594C14" w:rsidRPr="00B721B6">
        <w:rPr>
          <w:rFonts w:ascii="Arial" w:hAnsi="Arial" w:cs="Arial"/>
          <w:sz w:val="22"/>
          <w:szCs w:val="22"/>
        </w:rPr>
        <w:t xml:space="preserve"> Trowbridge Community </w:t>
      </w:r>
      <w:proofErr w:type="gramStart"/>
      <w:r w:rsidR="00594C14" w:rsidRPr="00B721B6">
        <w:rPr>
          <w:rFonts w:ascii="Arial" w:hAnsi="Arial" w:cs="Arial"/>
          <w:sz w:val="22"/>
          <w:szCs w:val="22"/>
        </w:rPr>
        <w:t>Area;</w:t>
      </w:r>
      <w:proofErr w:type="gramEnd"/>
    </w:p>
    <w:p w14:paraId="72359717" w14:textId="5D2923D3" w:rsidR="007336B3" w:rsidRPr="00B721B6" w:rsidRDefault="007336B3"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Core Policy 50</w:t>
      </w:r>
      <w:r w:rsidRPr="00B721B6">
        <w:rPr>
          <w:rFonts w:ascii="Arial" w:hAnsi="Arial" w:cs="Arial"/>
          <w:sz w:val="22"/>
          <w:szCs w:val="22"/>
        </w:rPr>
        <w:tab/>
      </w:r>
      <w:r w:rsidRPr="00B721B6">
        <w:rPr>
          <w:rFonts w:ascii="Arial" w:hAnsi="Arial" w:cs="Arial"/>
          <w:sz w:val="22"/>
          <w:szCs w:val="22"/>
        </w:rPr>
        <w:tab/>
        <w:t xml:space="preserve">Biodiversity and </w:t>
      </w:r>
      <w:proofErr w:type="gramStart"/>
      <w:r w:rsidRPr="00B721B6">
        <w:rPr>
          <w:rFonts w:ascii="Arial" w:hAnsi="Arial" w:cs="Arial"/>
          <w:sz w:val="22"/>
          <w:szCs w:val="22"/>
        </w:rPr>
        <w:t>Geodiversity;</w:t>
      </w:r>
      <w:proofErr w:type="gramEnd"/>
    </w:p>
    <w:p w14:paraId="2C9A8F56" w14:textId="6C82D516" w:rsidR="00C53B6A" w:rsidRPr="00B721B6" w:rsidRDefault="00C53B6A"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Core Policy 51</w:t>
      </w:r>
      <w:r w:rsidR="00601AAD" w:rsidRPr="00B721B6">
        <w:rPr>
          <w:rFonts w:ascii="Arial" w:hAnsi="Arial" w:cs="Arial"/>
          <w:sz w:val="22"/>
          <w:szCs w:val="22"/>
        </w:rPr>
        <w:t xml:space="preserve"> </w:t>
      </w:r>
      <w:r w:rsidR="00601AAD" w:rsidRPr="00B721B6">
        <w:rPr>
          <w:rFonts w:ascii="Arial" w:hAnsi="Arial" w:cs="Arial"/>
          <w:sz w:val="22"/>
          <w:szCs w:val="22"/>
        </w:rPr>
        <w:tab/>
      </w:r>
      <w:proofErr w:type="gramStart"/>
      <w:r w:rsidRPr="00B721B6">
        <w:rPr>
          <w:rFonts w:ascii="Arial" w:hAnsi="Arial" w:cs="Arial"/>
          <w:sz w:val="22"/>
          <w:szCs w:val="22"/>
        </w:rPr>
        <w:t>Landscape;</w:t>
      </w:r>
      <w:proofErr w:type="gramEnd"/>
      <w:r w:rsidRPr="00B721B6">
        <w:rPr>
          <w:rFonts w:ascii="Arial" w:hAnsi="Arial" w:cs="Arial"/>
          <w:sz w:val="22"/>
          <w:szCs w:val="22"/>
        </w:rPr>
        <w:t xml:space="preserve"> </w:t>
      </w:r>
    </w:p>
    <w:p w14:paraId="40D32787" w14:textId="78D7E7D9" w:rsidR="00A938B9" w:rsidRPr="00B721B6" w:rsidRDefault="00C53B6A"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Core Policy 57</w:t>
      </w:r>
      <w:r w:rsidR="00601AAD" w:rsidRPr="00B721B6">
        <w:rPr>
          <w:rFonts w:ascii="Arial" w:hAnsi="Arial" w:cs="Arial"/>
          <w:sz w:val="22"/>
          <w:szCs w:val="22"/>
        </w:rPr>
        <w:t xml:space="preserve"> </w:t>
      </w:r>
      <w:r w:rsidR="00601AAD" w:rsidRPr="00B721B6">
        <w:rPr>
          <w:rFonts w:ascii="Arial" w:hAnsi="Arial" w:cs="Arial"/>
          <w:sz w:val="22"/>
          <w:szCs w:val="22"/>
        </w:rPr>
        <w:tab/>
      </w:r>
      <w:r w:rsidRPr="00B721B6">
        <w:rPr>
          <w:rFonts w:ascii="Arial" w:hAnsi="Arial" w:cs="Arial"/>
          <w:sz w:val="22"/>
          <w:szCs w:val="22"/>
        </w:rPr>
        <w:t xml:space="preserve">Ensuring </w:t>
      </w:r>
      <w:r w:rsidR="007A61A7" w:rsidRPr="00B721B6">
        <w:rPr>
          <w:rFonts w:ascii="Arial" w:hAnsi="Arial" w:cs="Arial"/>
          <w:sz w:val="22"/>
          <w:szCs w:val="22"/>
        </w:rPr>
        <w:t>H</w:t>
      </w:r>
      <w:r w:rsidRPr="00B721B6">
        <w:rPr>
          <w:rFonts w:ascii="Arial" w:hAnsi="Arial" w:cs="Arial"/>
          <w:sz w:val="22"/>
          <w:szCs w:val="22"/>
        </w:rPr>
        <w:t>igh-</w:t>
      </w:r>
      <w:r w:rsidR="007A61A7" w:rsidRPr="00B721B6">
        <w:rPr>
          <w:rFonts w:ascii="Arial" w:hAnsi="Arial" w:cs="Arial"/>
          <w:sz w:val="22"/>
          <w:szCs w:val="22"/>
        </w:rPr>
        <w:t>Q</w:t>
      </w:r>
      <w:r w:rsidRPr="00B721B6">
        <w:rPr>
          <w:rFonts w:ascii="Arial" w:hAnsi="Arial" w:cs="Arial"/>
          <w:sz w:val="22"/>
          <w:szCs w:val="22"/>
        </w:rPr>
        <w:t xml:space="preserve">uality </w:t>
      </w:r>
      <w:r w:rsidR="007A61A7" w:rsidRPr="00B721B6">
        <w:rPr>
          <w:rFonts w:ascii="Arial" w:hAnsi="Arial" w:cs="Arial"/>
          <w:sz w:val="22"/>
          <w:szCs w:val="22"/>
        </w:rPr>
        <w:t>D</w:t>
      </w:r>
      <w:r w:rsidRPr="00B721B6">
        <w:rPr>
          <w:rFonts w:ascii="Arial" w:hAnsi="Arial" w:cs="Arial"/>
          <w:sz w:val="22"/>
          <w:szCs w:val="22"/>
        </w:rPr>
        <w:t xml:space="preserve">esign and </w:t>
      </w:r>
      <w:r w:rsidR="007A61A7" w:rsidRPr="00B721B6">
        <w:rPr>
          <w:rFonts w:ascii="Arial" w:hAnsi="Arial" w:cs="Arial"/>
          <w:sz w:val="22"/>
          <w:szCs w:val="22"/>
        </w:rPr>
        <w:t>P</w:t>
      </w:r>
      <w:r w:rsidRPr="00B721B6">
        <w:rPr>
          <w:rFonts w:ascii="Arial" w:hAnsi="Arial" w:cs="Arial"/>
          <w:sz w:val="22"/>
          <w:szCs w:val="22"/>
        </w:rPr>
        <w:t xml:space="preserve">lace </w:t>
      </w:r>
      <w:proofErr w:type="gramStart"/>
      <w:r w:rsidR="007A61A7" w:rsidRPr="00B721B6">
        <w:rPr>
          <w:rFonts w:ascii="Arial" w:hAnsi="Arial" w:cs="Arial"/>
          <w:sz w:val="22"/>
          <w:szCs w:val="22"/>
        </w:rPr>
        <w:t>S</w:t>
      </w:r>
      <w:r w:rsidRPr="00B721B6">
        <w:rPr>
          <w:rFonts w:ascii="Arial" w:hAnsi="Arial" w:cs="Arial"/>
          <w:sz w:val="22"/>
          <w:szCs w:val="22"/>
        </w:rPr>
        <w:t>haping;</w:t>
      </w:r>
      <w:proofErr w:type="gramEnd"/>
      <w:r w:rsidRPr="00B721B6">
        <w:rPr>
          <w:rFonts w:ascii="Arial" w:hAnsi="Arial" w:cs="Arial"/>
          <w:sz w:val="22"/>
          <w:szCs w:val="22"/>
        </w:rPr>
        <w:t xml:space="preserve"> </w:t>
      </w:r>
    </w:p>
    <w:p w14:paraId="11ED6A25" w14:textId="7AF5F23B" w:rsidR="00EB3DCC" w:rsidRPr="00B721B6" w:rsidRDefault="00EB3DCC"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Core Policy 60</w:t>
      </w:r>
      <w:r w:rsidRPr="00B721B6">
        <w:rPr>
          <w:rFonts w:ascii="Arial" w:hAnsi="Arial" w:cs="Arial"/>
          <w:sz w:val="22"/>
          <w:szCs w:val="22"/>
        </w:rPr>
        <w:tab/>
      </w:r>
      <w:r w:rsidRPr="00B721B6">
        <w:rPr>
          <w:rFonts w:ascii="Arial" w:hAnsi="Arial" w:cs="Arial"/>
          <w:sz w:val="22"/>
          <w:szCs w:val="22"/>
        </w:rPr>
        <w:tab/>
        <w:t xml:space="preserve">Sustainable </w:t>
      </w:r>
      <w:proofErr w:type="gramStart"/>
      <w:r w:rsidRPr="00B721B6">
        <w:rPr>
          <w:rFonts w:ascii="Arial" w:hAnsi="Arial" w:cs="Arial"/>
          <w:sz w:val="22"/>
          <w:szCs w:val="22"/>
        </w:rPr>
        <w:t>Transport;</w:t>
      </w:r>
      <w:proofErr w:type="gramEnd"/>
    </w:p>
    <w:p w14:paraId="77A925A7" w14:textId="333FBA5F" w:rsidR="00C53B6A" w:rsidRPr="00B721B6" w:rsidRDefault="00C53B6A"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Core Policy 61</w:t>
      </w:r>
      <w:r w:rsidR="00601AAD" w:rsidRPr="00B721B6">
        <w:rPr>
          <w:rFonts w:ascii="Arial" w:hAnsi="Arial" w:cs="Arial"/>
          <w:sz w:val="22"/>
          <w:szCs w:val="22"/>
        </w:rPr>
        <w:t xml:space="preserve"> </w:t>
      </w:r>
      <w:r w:rsidR="00601AAD" w:rsidRPr="00B721B6">
        <w:rPr>
          <w:rFonts w:ascii="Arial" w:hAnsi="Arial" w:cs="Arial"/>
          <w:sz w:val="22"/>
          <w:szCs w:val="22"/>
        </w:rPr>
        <w:tab/>
      </w:r>
      <w:r w:rsidRPr="00B721B6">
        <w:rPr>
          <w:rFonts w:ascii="Arial" w:hAnsi="Arial" w:cs="Arial"/>
          <w:sz w:val="22"/>
          <w:szCs w:val="22"/>
        </w:rPr>
        <w:t xml:space="preserve">Transport and </w:t>
      </w:r>
      <w:proofErr w:type="gramStart"/>
      <w:r w:rsidRPr="00B721B6">
        <w:rPr>
          <w:rFonts w:ascii="Arial" w:hAnsi="Arial" w:cs="Arial"/>
          <w:sz w:val="22"/>
          <w:szCs w:val="22"/>
        </w:rPr>
        <w:t>Development;</w:t>
      </w:r>
      <w:proofErr w:type="gramEnd"/>
      <w:r w:rsidRPr="00B721B6">
        <w:rPr>
          <w:rFonts w:ascii="Arial" w:hAnsi="Arial" w:cs="Arial"/>
          <w:sz w:val="22"/>
          <w:szCs w:val="22"/>
        </w:rPr>
        <w:t xml:space="preserve"> </w:t>
      </w:r>
    </w:p>
    <w:p w14:paraId="2F1672C7" w14:textId="2EDD9E9D" w:rsidR="00C53B6A" w:rsidRPr="00B721B6" w:rsidRDefault="00C53B6A"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Core Policy 64</w:t>
      </w:r>
      <w:r w:rsidR="00601AAD" w:rsidRPr="00B721B6">
        <w:rPr>
          <w:rFonts w:ascii="Arial" w:hAnsi="Arial" w:cs="Arial"/>
          <w:sz w:val="22"/>
          <w:szCs w:val="22"/>
        </w:rPr>
        <w:t xml:space="preserve"> </w:t>
      </w:r>
      <w:r w:rsidR="00601AAD" w:rsidRPr="00B721B6">
        <w:rPr>
          <w:rFonts w:ascii="Arial" w:hAnsi="Arial" w:cs="Arial"/>
          <w:sz w:val="22"/>
          <w:szCs w:val="22"/>
        </w:rPr>
        <w:tab/>
      </w:r>
      <w:r w:rsidRPr="00B721B6">
        <w:rPr>
          <w:rFonts w:ascii="Arial" w:hAnsi="Arial" w:cs="Arial"/>
          <w:sz w:val="22"/>
          <w:szCs w:val="22"/>
        </w:rPr>
        <w:t xml:space="preserve">Demand </w:t>
      </w:r>
      <w:proofErr w:type="gramStart"/>
      <w:r w:rsidRPr="00B721B6">
        <w:rPr>
          <w:rFonts w:ascii="Arial" w:hAnsi="Arial" w:cs="Arial"/>
          <w:sz w:val="22"/>
          <w:szCs w:val="22"/>
        </w:rPr>
        <w:t>Management;</w:t>
      </w:r>
      <w:proofErr w:type="gramEnd"/>
      <w:r w:rsidRPr="00B721B6">
        <w:rPr>
          <w:rFonts w:ascii="Arial" w:hAnsi="Arial" w:cs="Arial"/>
          <w:sz w:val="22"/>
          <w:szCs w:val="22"/>
        </w:rPr>
        <w:t xml:space="preserve"> </w:t>
      </w:r>
    </w:p>
    <w:p w14:paraId="2911E291" w14:textId="49AA6B9B" w:rsidR="0023524B" w:rsidRPr="00B721B6" w:rsidRDefault="0023524B" w:rsidP="00CC6665">
      <w:pPr>
        <w:autoSpaceDE w:val="0"/>
        <w:autoSpaceDN w:val="0"/>
        <w:adjustRightInd w:val="0"/>
        <w:spacing w:line="276" w:lineRule="auto"/>
        <w:rPr>
          <w:rFonts w:ascii="Arial" w:hAnsi="Arial" w:cs="Arial"/>
          <w:sz w:val="22"/>
          <w:szCs w:val="22"/>
        </w:rPr>
      </w:pPr>
      <w:r w:rsidRPr="00B721B6">
        <w:rPr>
          <w:rFonts w:ascii="Arial" w:hAnsi="Arial" w:cs="Arial"/>
          <w:sz w:val="22"/>
          <w:szCs w:val="22"/>
        </w:rPr>
        <w:t>Core Policy 67</w:t>
      </w:r>
      <w:r w:rsidRPr="00B721B6">
        <w:rPr>
          <w:rFonts w:ascii="Arial" w:hAnsi="Arial" w:cs="Arial"/>
          <w:sz w:val="22"/>
          <w:szCs w:val="22"/>
        </w:rPr>
        <w:tab/>
      </w:r>
      <w:r w:rsidRPr="00B721B6">
        <w:rPr>
          <w:rFonts w:ascii="Arial" w:hAnsi="Arial" w:cs="Arial"/>
          <w:sz w:val="22"/>
          <w:szCs w:val="22"/>
        </w:rPr>
        <w:tab/>
        <w:t xml:space="preserve">Flood </w:t>
      </w:r>
      <w:proofErr w:type="gramStart"/>
      <w:r w:rsidRPr="00B721B6">
        <w:rPr>
          <w:rFonts w:ascii="Arial" w:hAnsi="Arial" w:cs="Arial"/>
          <w:sz w:val="22"/>
          <w:szCs w:val="22"/>
        </w:rPr>
        <w:t>Risk;</w:t>
      </w:r>
      <w:proofErr w:type="gramEnd"/>
    </w:p>
    <w:p w14:paraId="2644B18E" w14:textId="77777777" w:rsidR="00C53B6A" w:rsidRPr="00075C07" w:rsidRDefault="00C53B6A" w:rsidP="00CC6665">
      <w:pPr>
        <w:spacing w:line="276" w:lineRule="auto"/>
        <w:rPr>
          <w:rFonts w:ascii="Arial" w:hAnsi="Arial" w:cs="Arial"/>
          <w:sz w:val="22"/>
          <w:szCs w:val="22"/>
        </w:rPr>
      </w:pPr>
    </w:p>
    <w:p w14:paraId="3D48D6A0" w14:textId="25209592" w:rsidR="00DC4F3E" w:rsidRPr="006424C0" w:rsidRDefault="006424C0" w:rsidP="00CC6665">
      <w:pPr>
        <w:spacing w:line="276" w:lineRule="auto"/>
        <w:rPr>
          <w:rFonts w:ascii="Arial" w:hAnsi="Arial" w:cs="Arial"/>
          <w:sz w:val="22"/>
          <w:szCs w:val="22"/>
          <w:u w:val="single"/>
        </w:rPr>
      </w:pPr>
      <w:r w:rsidRPr="006424C0">
        <w:rPr>
          <w:rFonts w:ascii="Arial" w:hAnsi="Arial" w:cs="Arial"/>
          <w:sz w:val="22"/>
          <w:szCs w:val="22"/>
          <w:u w:val="single"/>
        </w:rPr>
        <w:t xml:space="preserve">Hilperton </w:t>
      </w:r>
      <w:r w:rsidR="00DC4F3E" w:rsidRPr="006424C0">
        <w:rPr>
          <w:rFonts w:ascii="Arial" w:hAnsi="Arial" w:cs="Arial"/>
          <w:sz w:val="22"/>
          <w:szCs w:val="22"/>
          <w:u w:val="single"/>
        </w:rPr>
        <w:t xml:space="preserve">Neighbourhood </w:t>
      </w:r>
      <w:r w:rsidRPr="006424C0">
        <w:rPr>
          <w:rFonts w:ascii="Arial" w:hAnsi="Arial" w:cs="Arial"/>
          <w:sz w:val="22"/>
          <w:szCs w:val="22"/>
          <w:u w:val="single"/>
        </w:rPr>
        <w:t>Development Plan 2017-2026 (November 2018)</w:t>
      </w:r>
    </w:p>
    <w:p w14:paraId="64F53B99" w14:textId="77777777" w:rsidR="00DC4F3E" w:rsidRPr="006424C0" w:rsidRDefault="00DC4F3E" w:rsidP="00CC6665">
      <w:pPr>
        <w:spacing w:line="276" w:lineRule="auto"/>
        <w:rPr>
          <w:rFonts w:ascii="Arial" w:hAnsi="Arial" w:cs="Arial"/>
          <w:sz w:val="22"/>
          <w:szCs w:val="22"/>
          <w:u w:val="single"/>
        </w:rPr>
      </w:pPr>
    </w:p>
    <w:p w14:paraId="1C924897" w14:textId="59DE32C3" w:rsidR="00DC4F3E" w:rsidRPr="006424C0" w:rsidRDefault="00DC4F3E" w:rsidP="00CC6665">
      <w:pPr>
        <w:spacing w:line="276" w:lineRule="auto"/>
        <w:rPr>
          <w:rFonts w:ascii="Arial" w:hAnsi="Arial" w:cs="Arial"/>
          <w:sz w:val="22"/>
          <w:szCs w:val="22"/>
          <w:u w:val="single"/>
        </w:rPr>
      </w:pPr>
      <w:bookmarkStart w:id="0" w:name="_Hlk212452795"/>
      <w:bookmarkStart w:id="1" w:name="_Hlk212461860"/>
      <w:r w:rsidRPr="006424C0">
        <w:rPr>
          <w:rFonts w:ascii="Arial" w:hAnsi="Arial" w:cs="Arial"/>
          <w:sz w:val="22"/>
          <w:szCs w:val="22"/>
          <w:u w:val="single"/>
        </w:rPr>
        <w:t>The National Planning Policy Framework (NPPF)</w:t>
      </w:r>
      <w:r w:rsidR="006424C0" w:rsidRPr="006424C0">
        <w:rPr>
          <w:rFonts w:ascii="Arial" w:hAnsi="Arial" w:cs="Arial"/>
          <w:sz w:val="22"/>
          <w:szCs w:val="22"/>
          <w:u w:val="single"/>
        </w:rPr>
        <w:t xml:space="preserve"> and </w:t>
      </w:r>
      <w:r w:rsidRPr="006424C0">
        <w:rPr>
          <w:rFonts w:ascii="Arial" w:hAnsi="Arial" w:cs="Arial"/>
          <w:sz w:val="22"/>
          <w:szCs w:val="22"/>
          <w:u w:val="single"/>
        </w:rPr>
        <w:t>The Planning Practice Guidance (PPG)</w:t>
      </w:r>
    </w:p>
    <w:p w14:paraId="4930FB06" w14:textId="77777777" w:rsidR="008D6C52" w:rsidRPr="006424C0" w:rsidRDefault="008D6C52" w:rsidP="00CC6665">
      <w:pPr>
        <w:spacing w:line="276" w:lineRule="auto"/>
        <w:rPr>
          <w:rFonts w:ascii="Arial" w:hAnsi="Arial" w:cs="Arial"/>
          <w:sz w:val="22"/>
          <w:szCs w:val="22"/>
          <w:u w:val="single"/>
        </w:rPr>
      </w:pPr>
    </w:p>
    <w:p w14:paraId="08D91513" w14:textId="2BED8373" w:rsidR="00561AE7" w:rsidRPr="006424C0" w:rsidRDefault="008D6C52" w:rsidP="00CC6665">
      <w:pPr>
        <w:spacing w:before="20" w:line="276" w:lineRule="auto"/>
        <w:rPr>
          <w:rFonts w:ascii="Arial" w:hAnsi="Arial" w:cs="Arial"/>
          <w:sz w:val="22"/>
          <w:szCs w:val="22"/>
          <w:u w:val="single"/>
        </w:rPr>
      </w:pPr>
      <w:r w:rsidRPr="006424C0">
        <w:rPr>
          <w:rFonts w:ascii="Arial" w:hAnsi="Arial" w:cs="Arial"/>
          <w:sz w:val="22"/>
          <w:szCs w:val="22"/>
          <w:u w:val="single"/>
        </w:rPr>
        <w:t xml:space="preserve">Wiltshire Design Guide </w:t>
      </w:r>
      <w:r w:rsidR="00DC4F3E" w:rsidRPr="006424C0">
        <w:rPr>
          <w:rFonts w:ascii="Arial" w:hAnsi="Arial" w:cs="Arial"/>
          <w:sz w:val="22"/>
          <w:szCs w:val="22"/>
          <w:u w:val="single"/>
        </w:rPr>
        <w:t>- Appendix D – Design Guidance for Householder extensions</w:t>
      </w:r>
    </w:p>
    <w:bookmarkEnd w:id="0"/>
    <w:p w14:paraId="19CD89F3" w14:textId="77777777" w:rsidR="00DC4F3E" w:rsidRPr="006424C0" w:rsidRDefault="00DC4F3E" w:rsidP="00CC6665">
      <w:pPr>
        <w:spacing w:line="276" w:lineRule="auto"/>
        <w:rPr>
          <w:rFonts w:ascii="Arial" w:hAnsi="Arial" w:cs="Arial"/>
          <w:sz w:val="22"/>
          <w:szCs w:val="22"/>
          <w:u w:val="single"/>
        </w:rPr>
      </w:pPr>
    </w:p>
    <w:p w14:paraId="791E8FB4" w14:textId="79324D54" w:rsidR="00561AE7" w:rsidRPr="006424C0" w:rsidRDefault="008D6C52" w:rsidP="00CC6665">
      <w:pPr>
        <w:spacing w:line="276" w:lineRule="auto"/>
        <w:rPr>
          <w:rFonts w:ascii="Arial" w:hAnsi="Arial" w:cs="Arial"/>
          <w:sz w:val="22"/>
          <w:szCs w:val="22"/>
          <w:u w:val="single"/>
        </w:rPr>
      </w:pPr>
      <w:r w:rsidRPr="006424C0">
        <w:rPr>
          <w:rFonts w:ascii="Arial" w:hAnsi="Arial" w:cs="Arial"/>
          <w:sz w:val="22"/>
          <w:szCs w:val="22"/>
          <w:u w:val="single"/>
        </w:rPr>
        <w:t>The Wiltshire Local Transport Plan 201</w:t>
      </w:r>
      <w:r w:rsidR="008D5791" w:rsidRPr="006424C0">
        <w:rPr>
          <w:rFonts w:ascii="Arial" w:hAnsi="Arial" w:cs="Arial"/>
          <w:sz w:val="22"/>
          <w:szCs w:val="22"/>
          <w:u w:val="single"/>
        </w:rPr>
        <w:t>1</w:t>
      </w:r>
      <w:r w:rsidRPr="006424C0">
        <w:rPr>
          <w:rFonts w:ascii="Arial" w:hAnsi="Arial" w:cs="Arial"/>
          <w:sz w:val="22"/>
          <w:szCs w:val="22"/>
          <w:u w:val="single"/>
        </w:rPr>
        <w:t xml:space="preserve"> – 2026: Car Parking Strategy (March 2015).</w:t>
      </w:r>
    </w:p>
    <w:p w14:paraId="68198CF8" w14:textId="77777777" w:rsidR="00DC4F3E" w:rsidRPr="006424C0" w:rsidRDefault="00DC4F3E" w:rsidP="00CC6665">
      <w:pPr>
        <w:spacing w:line="276" w:lineRule="auto"/>
        <w:rPr>
          <w:rFonts w:ascii="Arial" w:hAnsi="Arial" w:cs="Arial"/>
          <w:sz w:val="22"/>
          <w:szCs w:val="22"/>
        </w:rPr>
      </w:pPr>
    </w:p>
    <w:p w14:paraId="7E5B5138" w14:textId="30DA2106" w:rsidR="00CD6B35" w:rsidRPr="006424C0" w:rsidRDefault="00CD6B35" w:rsidP="00CC6665">
      <w:pPr>
        <w:spacing w:line="276" w:lineRule="auto"/>
        <w:rPr>
          <w:rFonts w:ascii="Arial" w:hAnsi="Arial" w:cs="Arial"/>
          <w:sz w:val="22"/>
          <w:szCs w:val="22"/>
          <w:u w:val="single"/>
        </w:rPr>
      </w:pPr>
      <w:r w:rsidRPr="006424C0">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5A021678" w14:textId="31A36DDF" w:rsidR="00EF7DEB" w:rsidRPr="00714DA1" w:rsidRDefault="000B0456" w:rsidP="00714DA1">
      <w:pPr>
        <w:pStyle w:val="NormalWeb"/>
        <w:spacing w:before="0" w:beforeAutospacing="0" w:after="0" w:afterAutospacing="0" w:line="276" w:lineRule="auto"/>
        <w:jc w:val="both"/>
        <w:rPr>
          <w:rFonts w:ascii="Arial" w:hAnsi="Arial" w:cs="Arial"/>
          <w:sz w:val="22"/>
          <w:szCs w:val="22"/>
        </w:rPr>
      </w:pPr>
      <w:r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65C58BEA" w14:textId="77777777" w:rsidR="006369BE" w:rsidRPr="00075C07" w:rsidRDefault="006369BE"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7ED1B50D" w14:textId="4D4FF9EB" w:rsidR="0060536A" w:rsidRPr="00B721B6" w:rsidRDefault="00B721B6" w:rsidP="00B721B6">
      <w:pPr>
        <w:spacing w:line="276" w:lineRule="auto"/>
        <w:rPr>
          <w:rFonts w:ascii="Arial" w:hAnsi="Arial" w:cs="Arial"/>
          <w:bCs/>
          <w:sz w:val="22"/>
          <w:szCs w:val="22"/>
          <w:u w:val="single"/>
        </w:rPr>
      </w:pPr>
      <w:r w:rsidRPr="00B721B6">
        <w:rPr>
          <w:rFonts w:ascii="Arial" w:hAnsi="Arial" w:cs="Arial"/>
          <w:bCs/>
          <w:sz w:val="22"/>
          <w:szCs w:val="22"/>
          <w:u w:val="single"/>
        </w:rPr>
        <w:t xml:space="preserve">Hilperton </w:t>
      </w:r>
      <w:r w:rsidR="00DC4F3E" w:rsidRPr="00B721B6">
        <w:rPr>
          <w:rFonts w:ascii="Arial" w:hAnsi="Arial" w:cs="Arial"/>
          <w:bCs/>
          <w:sz w:val="22"/>
          <w:szCs w:val="22"/>
          <w:u w:val="single"/>
        </w:rPr>
        <w:t>Parish</w:t>
      </w:r>
      <w:r w:rsidR="005D2581" w:rsidRPr="00B721B6">
        <w:rPr>
          <w:rFonts w:ascii="Arial" w:hAnsi="Arial" w:cs="Arial"/>
          <w:bCs/>
          <w:sz w:val="22"/>
          <w:szCs w:val="22"/>
          <w:u w:val="single"/>
        </w:rPr>
        <w:t xml:space="preserve"> Council</w:t>
      </w:r>
      <w:r w:rsidR="0060536A" w:rsidRPr="00B721B6">
        <w:rPr>
          <w:rFonts w:ascii="Arial" w:hAnsi="Arial" w:cs="Arial"/>
          <w:bCs/>
          <w:sz w:val="22"/>
          <w:szCs w:val="22"/>
          <w:u w:val="single"/>
        </w:rPr>
        <w:t xml:space="preserve"> – </w:t>
      </w:r>
      <w:r w:rsidRPr="00B721B6">
        <w:rPr>
          <w:rFonts w:ascii="Arial" w:hAnsi="Arial" w:cs="Arial"/>
          <w:bCs/>
          <w:sz w:val="22"/>
          <w:szCs w:val="22"/>
          <w:u w:val="single"/>
        </w:rPr>
        <w:t>No Objection</w:t>
      </w:r>
    </w:p>
    <w:p w14:paraId="7B4E6382" w14:textId="77777777" w:rsidR="006369BE" w:rsidRPr="00075C07" w:rsidRDefault="006369B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6369BE" w:rsidRDefault="005D2581" w:rsidP="00CC6665">
      <w:pPr>
        <w:spacing w:line="276" w:lineRule="auto"/>
        <w:rPr>
          <w:rFonts w:ascii="Arial" w:hAnsi="Arial" w:cs="Arial"/>
          <w:bCs/>
          <w:sz w:val="22"/>
          <w:szCs w:val="22"/>
        </w:rPr>
      </w:pPr>
    </w:p>
    <w:p w14:paraId="1C30F395" w14:textId="76247FD6" w:rsidR="00B15AD7" w:rsidRPr="006369BE" w:rsidRDefault="003A1308" w:rsidP="00CC6665">
      <w:pPr>
        <w:spacing w:line="276" w:lineRule="auto"/>
        <w:rPr>
          <w:rFonts w:ascii="Arial" w:hAnsi="Arial" w:cs="Arial"/>
          <w:bCs/>
          <w:sz w:val="22"/>
          <w:szCs w:val="22"/>
        </w:rPr>
      </w:pPr>
      <w:r w:rsidRPr="006369BE">
        <w:rPr>
          <w:rFonts w:ascii="Arial" w:hAnsi="Arial" w:cs="Arial"/>
          <w:bCs/>
          <w:sz w:val="22"/>
          <w:szCs w:val="22"/>
        </w:rPr>
        <w:t>No</w:t>
      </w:r>
      <w:r w:rsidR="003E43F6" w:rsidRPr="006369BE">
        <w:rPr>
          <w:rFonts w:ascii="Arial" w:hAnsi="Arial" w:cs="Arial"/>
          <w:bCs/>
          <w:sz w:val="22"/>
          <w:szCs w:val="22"/>
        </w:rPr>
        <w:t xml:space="preserve"> comments received.</w:t>
      </w:r>
    </w:p>
    <w:p w14:paraId="1165C954" w14:textId="77777777" w:rsidR="006369BE" w:rsidRPr="00075C07" w:rsidRDefault="006369BE"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55D1EB6" w14:textId="77777777" w:rsidR="00AC6F8D" w:rsidRPr="006369BE" w:rsidRDefault="00AC6F8D" w:rsidP="00AC6F8D">
      <w:pPr>
        <w:spacing w:line="276" w:lineRule="auto"/>
        <w:jc w:val="both"/>
        <w:rPr>
          <w:rFonts w:ascii="Arial" w:hAnsi="Arial" w:cs="Arial"/>
          <w:sz w:val="22"/>
          <w:szCs w:val="22"/>
        </w:rPr>
      </w:pPr>
      <w:r w:rsidRPr="006369BE">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Default="0062080E" w:rsidP="00CC6665">
      <w:pPr>
        <w:spacing w:line="276" w:lineRule="auto"/>
        <w:jc w:val="both"/>
        <w:rPr>
          <w:rFonts w:ascii="Arial" w:hAnsi="Arial" w:cs="Arial"/>
          <w:sz w:val="22"/>
          <w:szCs w:val="22"/>
        </w:rPr>
      </w:pPr>
    </w:p>
    <w:p w14:paraId="221E0C50" w14:textId="77777777" w:rsidR="00F50DFD" w:rsidRDefault="00F50DFD" w:rsidP="00F50DFD">
      <w:pPr>
        <w:spacing w:line="276" w:lineRule="auto"/>
        <w:jc w:val="both"/>
        <w:rPr>
          <w:rFonts w:ascii="Arial" w:hAnsi="Arial" w:cs="Arial"/>
          <w:sz w:val="22"/>
          <w:szCs w:val="22"/>
        </w:rPr>
      </w:pPr>
      <w:r w:rsidRPr="00F50DFD">
        <w:rPr>
          <w:rFonts w:ascii="Arial" w:hAnsi="Arial" w:cs="Arial"/>
          <w:sz w:val="22"/>
          <w:szCs w:val="22"/>
        </w:rPr>
        <w:t>The proposed conservatory reflects a common and well-established form of householder development within the immediate area, with a neighbouring property already benefiting from a rear conservatory of comparable scale and design, providing clear contextual precedent. The use of red brick and extensive glazing closely matches the materials and appearance of the host dwelling, ensuring visual continuity, while the reduced height relative to the existing rear extension ensures the proposal remains clearly subservient, low</w:t>
      </w:r>
      <w:r w:rsidRPr="00F50DFD">
        <w:rPr>
          <w:rFonts w:ascii="Arial" w:hAnsi="Arial" w:cs="Arial"/>
          <w:sz w:val="22"/>
          <w:szCs w:val="22"/>
        </w:rPr>
        <w:noBreakHyphen/>
        <w:t>scale, and lightweight in its appearance. Although a Grade II listed building is located opposite the site, the proposal relates solely to the rear of the property and there is no public right of way from which both the listed building and the development can be viewed together, resulting in no intervisibility. Given the modern character of the existing dwelling and surrounding properties, which already define the prevailing streetscape, the proposed conservatory would not alter this character and would have a neutral impact on the setting of nearby heritage assets.</w:t>
      </w:r>
    </w:p>
    <w:p w14:paraId="4038467E" w14:textId="77777777" w:rsidR="00F50DFD" w:rsidRPr="00F50DFD" w:rsidRDefault="00F50DFD" w:rsidP="00F50DFD">
      <w:pPr>
        <w:spacing w:line="276" w:lineRule="auto"/>
        <w:jc w:val="both"/>
        <w:rPr>
          <w:rFonts w:ascii="Arial" w:hAnsi="Arial" w:cs="Arial"/>
          <w:sz w:val="22"/>
          <w:szCs w:val="22"/>
        </w:rPr>
      </w:pPr>
    </w:p>
    <w:p w14:paraId="451C8770" w14:textId="77777777" w:rsidR="00F50DFD" w:rsidRDefault="00F50DFD" w:rsidP="00F50DFD">
      <w:pPr>
        <w:spacing w:line="276" w:lineRule="auto"/>
        <w:jc w:val="both"/>
        <w:rPr>
          <w:rFonts w:ascii="Arial" w:hAnsi="Arial" w:cs="Arial"/>
          <w:color w:val="000000" w:themeColor="text1"/>
          <w:sz w:val="22"/>
          <w:szCs w:val="22"/>
        </w:rPr>
      </w:pPr>
      <w:r w:rsidRPr="005C6F24">
        <w:rPr>
          <w:rFonts w:ascii="Arial" w:hAnsi="Arial" w:cs="Arial"/>
          <w:color w:val="000000" w:themeColor="text1"/>
          <w:sz w:val="22"/>
          <w:szCs w:val="22"/>
        </w:rPr>
        <w:drawing>
          <wp:inline distT="0" distB="0" distL="0" distR="0" wp14:anchorId="41BC75A6" wp14:editId="1C5E6296">
            <wp:extent cx="6629400" cy="1701800"/>
            <wp:effectExtent l="0" t="0" r="0" b="0"/>
            <wp:docPr id="731129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57262" name=""/>
                    <pic:cNvPicPr/>
                  </pic:nvPicPr>
                  <pic:blipFill>
                    <a:blip r:embed="rId6"/>
                    <a:stretch>
                      <a:fillRect/>
                    </a:stretch>
                  </pic:blipFill>
                  <pic:spPr>
                    <a:xfrm>
                      <a:off x="0" y="0"/>
                      <a:ext cx="6629400" cy="1701800"/>
                    </a:xfrm>
                    <a:prstGeom prst="rect">
                      <a:avLst/>
                    </a:prstGeom>
                  </pic:spPr>
                </pic:pic>
              </a:graphicData>
            </a:graphic>
          </wp:inline>
        </w:drawing>
      </w:r>
    </w:p>
    <w:p w14:paraId="7284A5A8" w14:textId="77777777" w:rsidR="00F50DFD" w:rsidRPr="005C6F24" w:rsidRDefault="00F50DFD" w:rsidP="00F50DFD">
      <w:pPr>
        <w:spacing w:line="276" w:lineRule="auto"/>
        <w:jc w:val="center"/>
        <w:rPr>
          <w:rFonts w:ascii="Arial" w:hAnsi="Arial" w:cs="Arial"/>
          <w:i/>
          <w:iCs/>
          <w:color w:val="000000" w:themeColor="text1"/>
          <w:sz w:val="22"/>
          <w:szCs w:val="22"/>
        </w:rPr>
      </w:pPr>
      <w:r w:rsidRPr="005C6F24">
        <w:rPr>
          <w:rFonts w:ascii="Arial" w:hAnsi="Arial" w:cs="Arial"/>
          <w:i/>
          <w:iCs/>
          <w:color w:val="000000" w:themeColor="text1"/>
          <w:sz w:val="22"/>
          <w:szCs w:val="22"/>
        </w:rPr>
        <w:t>Proposed Elevations</w:t>
      </w:r>
    </w:p>
    <w:p w14:paraId="6BEA7035" w14:textId="77777777" w:rsidR="00F50DFD" w:rsidRPr="0021580E" w:rsidRDefault="00F50DFD" w:rsidP="00CC6665">
      <w:pPr>
        <w:spacing w:line="276" w:lineRule="auto"/>
        <w:jc w:val="both"/>
        <w:rPr>
          <w:rFonts w:ascii="Arial" w:hAnsi="Arial" w:cs="Arial"/>
          <w:sz w:val="22"/>
          <w:szCs w:val="22"/>
        </w:rPr>
      </w:pPr>
    </w:p>
    <w:p w14:paraId="5AC86C09" w14:textId="77777777" w:rsidR="00DB07CC" w:rsidRDefault="00DB07CC" w:rsidP="00CC6665">
      <w:pPr>
        <w:spacing w:line="276" w:lineRule="auto"/>
        <w:jc w:val="both"/>
        <w:rPr>
          <w:rFonts w:ascii="Arial" w:hAnsi="Arial" w:cs="Arial"/>
          <w:color w:val="000000" w:themeColor="text1"/>
          <w:sz w:val="22"/>
          <w:szCs w:val="22"/>
        </w:rPr>
      </w:pPr>
      <w:r w:rsidRPr="00DB07CC">
        <w:rPr>
          <w:rFonts w:ascii="Arial" w:hAnsi="Arial" w:cs="Arial"/>
          <w:i/>
          <w:iCs/>
          <w:color w:val="ED0000"/>
          <w:sz w:val="22"/>
          <w:szCs w:val="22"/>
        </w:rPr>
        <w:lastRenderedPageBreak/>
        <w:drawing>
          <wp:inline distT="0" distB="0" distL="0" distR="0" wp14:anchorId="3B0F3B1F" wp14:editId="0C04B8B8">
            <wp:extent cx="6629249" cy="3657959"/>
            <wp:effectExtent l="0" t="0" r="635" b="0"/>
            <wp:docPr id="1567579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579813" name=""/>
                    <pic:cNvPicPr/>
                  </pic:nvPicPr>
                  <pic:blipFill rotWithShape="1">
                    <a:blip r:embed="rId7"/>
                    <a:srcRect t="2954"/>
                    <a:stretch>
                      <a:fillRect/>
                    </a:stretch>
                  </pic:blipFill>
                  <pic:spPr bwMode="auto">
                    <a:xfrm>
                      <a:off x="0" y="0"/>
                      <a:ext cx="6629400" cy="3658043"/>
                    </a:xfrm>
                    <a:prstGeom prst="rect">
                      <a:avLst/>
                    </a:prstGeom>
                    <a:ln>
                      <a:noFill/>
                    </a:ln>
                    <a:extLst>
                      <a:ext uri="{53640926-AAD7-44D8-BBD7-CCE9431645EC}">
                        <a14:shadowObscured xmlns:a14="http://schemas.microsoft.com/office/drawing/2010/main"/>
                      </a:ext>
                    </a:extLst>
                  </pic:spPr>
                </pic:pic>
              </a:graphicData>
            </a:graphic>
          </wp:inline>
        </w:drawing>
      </w:r>
    </w:p>
    <w:p w14:paraId="5F54464A" w14:textId="5ADE97CD" w:rsidR="00DB07CC" w:rsidRPr="00DB07CC" w:rsidRDefault="00DB07CC" w:rsidP="00DB07CC">
      <w:pPr>
        <w:spacing w:line="276" w:lineRule="auto"/>
        <w:jc w:val="center"/>
        <w:rPr>
          <w:rFonts w:ascii="Arial" w:hAnsi="Arial" w:cs="Arial"/>
          <w:i/>
          <w:iCs/>
          <w:color w:val="000000" w:themeColor="text1"/>
          <w:sz w:val="22"/>
          <w:szCs w:val="22"/>
        </w:rPr>
      </w:pPr>
      <w:r w:rsidRPr="00DB07CC">
        <w:rPr>
          <w:rFonts w:ascii="Arial" w:hAnsi="Arial" w:cs="Arial"/>
          <w:i/>
          <w:iCs/>
          <w:color w:val="000000" w:themeColor="text1"/>
          <w:sz w:val="22"/>
          <w:szCs w:val="22"/>
        </w:rPr>
        <w:t>Site Visit Rear Elevation</w:t>
      </w:r>
    </w:p>
    <w:p w14:paraId="4A4E16EC" w14:textId="77777777" w:rsidR="00DB07CC" w:rsidRDefault="00DB07CC" w:rsidP="00CC6665">
      <w:pPr>
        <w:spacing w:line="276" w:lineRule="auto"/>
        <w:jc w:val="both"/>
        <w:rPr>
          <w:rFonts w:ascii="Arial" w:hAnsi="Arial" w:cs="Arial"/>
          <w:color w:val="000000" w:themeColor="text1"/>
          <w:sz w:val="22"/>
          <w:szCs w:val="22"/>
        </w:rPr>
      </w:pPr>
    </w:p>
    <w:p w14:paraId="7642EB8A" w14:textId="77777777" w:rsidR="005C6F24" w:rsidRPr="00075C07" w:rsidRDefault="005C6F24"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646D70" w:rsidRDefault="00BA0474" w:rsidP="00CC6665">
      <w:pPr>
        <w:spacing w:line="276" w:lineRule="auto"/>
        <w:jc w:val="both"/>
        <w:rPr>
          <w:rFonts w:ascii="Arial" w:hAnsi="Arial" w:cs="Arial"/>
          <w:sz w:val="22"/>
          <w:szCs w:val="22"/>
        </w:rPr>
      </w:pPr>
    </w:p>
    <w:p w14:paraId="0E6052D3" w14:textId="77777777" w:rsidR="009455C8" w:rsidRPr="009455C8" w:rsidRDefault="009455C8" w:rsidP="009455C8">
      <w:pPr>
        <w:spacing w:line="276" w:lineRule="auto"/>
        <w:jc w:val="both"/>
        <w:rPr>
          <w:rFonts w:ascii="Arial" w:hAnsi="Arial" w:cs="Arial"/>
          <w:sz w:val="22"/>
          <w:szCs w:val="22"/>
        </w:rPr>
      </w:pPr>
      <w:r w:rsidRPr="009455C8">
        <w:rPr>
          <w:rFonts w:ascii="Arial" w:hAnsi="Arial" w:cs="Arial"/>
          <w:sz w:val="22"/>
          <w:szCs w:val="22"/>
        </w:rPr>
        <w:t>The proposed conservatory would be lower than the existing rear extension and would only project minimally above the boundary fencing, resulting in no perceivable overbearing or enclosing impact on neighbouring properties. Due to its modest scale, hipped roof form, and rearward siting, the development would not give rise to any material loss of daylight or sunlight to adjacent occupiers. All glazing is located at ground</w:t>
      </w:r>
      <w:r w:rsidRPr="009455C8">
        <w:rPr>
          <w:rFonts w:ascii="Arial" w:hAnsi="Arial" w:cs="Arial"/>
          <w:sz w:val="22"/>
          <w:szCs w:val="22"/>
        </w:rPr>
        <w:noBreakHyphen/>
        <w:t>floor level and faces solely into the site’s own residential curtilage, ensuring there is no overlooking or loss of privacy. Overall, no adverse residential amenity impacts have been identified.</w:t>
      </w:r>
    </w:p>
    <w:p w14:paraId="4B1279BD" w14:textId="77777777" w:rsidR="00BA0474" w:rsidRPr="00075C07" w:rsidRDefault="00BA0474"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impact </w:t>
      </w:r>
      <w:r w:rsidRPr="009455C8">
        <w:rPr>
          <w:rFonts w:ascii="Arial" w:hAnsi="Arial" w:cs="Arial"/>
          <w:sz w:val="22"/>
          <w:szCs w:val="22"/>
        </w:rPr>
        <w:t xml:space="preserve">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CC6665">
      <w:pPr>
        <w:spacing w:line="276" w:lineRule="auto"/>
        <w:rPr>
          <w:rFonts w:ascii="Arial" w:hAnsi="Arial" w:cs="Arial"/>
          <w:sz w:val="22"/>
          <w:szCs w:val="22"/>
          <w:u w:val="single"/>
        </w:rPr>
      </w:pPr>
    </w:p>
    <w:p w14:paraId="4780906E" w14:textId="77777777" w:rsidR="00B812E0" w:rsidRPr="00075C07"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7FFD7458" w14:textId="77777777" w:rsidR="006C3E6E" w:rsidRPr="00EC61CC" w:rsidRDefault="006C3E6E" w:rsidP="00CC6665">
      <w:pPr>
        <w:spacing w:line="276" w:lineRule="auto"/>
        <w:jc w:val="both"/>
        <w:rPr>
          <w:rFonts w:ascii="Arial" w:hAnsi="Arial" w:cs="Arial"/>
          <w:color w:val="FF0000"/>
          <w:sz w:val="22"/>
          <w:szCs w:val="22"/>
        </w:rPr>
      </w:pPr>
    </w:p>
    <w:p w14:paraId="07F1BFAC" w14:textId="77777777" w:rsidR="001C0C35" w:rsidRPr="001C0C35" w:rsidRDefault="001C0C35" w:rsidP="001C0C35">
      <w:pPr>
        <w:spacing w:line="276" w:lineRule="auto"/>
        <w:jc w:val="both"/>
        <w:rPr>
          <w:rFonts w:ascii="Arial" w:hAnsi="Arial" w:cs="Arial"/>
          <w:sz w:val="22"/>
          <w:szCs w:val="22"/>
        </w:rPr>
      </w:pPr>
      <w:bookmarkStart w:id="2" w:name="_Hlk212454166"/>
      <w:r w:rsidRPr="001C0C35">
        <w:rPr>
          <w:rFonts w:ascii="Arial" w:hAnsi="Arial" w:cs="Arial"/>
          <w:sz w:val="22"/>
          <w:szCs w:val="22"/>
        </w:rPr>
        <w:t>Core Policy 50 of the Wiltshire Core Strategy seeks to ensure that development avoids harm to wildlife and habitats. While Biodiversity Net Gain (BNG) is now a mandatory consideration under Schedule 7A of the Town and Country Planning Act 1990 (as amended by the Environment Act 2021), householder applications are exempt from this requirement. The proposal involves a very modest increase in floorspace within an existing residential garden that is largely hard</w:t>
      </w:r>
      <w:r w:rsidRPr="001C0C35">
        <w:rPr>
          <w:rFonts w:ascii="Arial" w:hAnsi="Arial" w:cs="Arial"/>
          <w:sz w:val="22"/>
          <w:szCs w:val="22"/>
        </w:rPr>
        <w:noBreakHyphen/>
        <w:t>surfaced, and as such gives rise to no identifiable harm to habitats or protected species. The site’s location within the TWBMS Grey Zone raises no additional concerns, and given the limited scale, reduced height relative to the existing dwelling, and absence of any interference with the existing roof structure, the development is considered benign in ecological, drainage, and wider environmental terms.</w:t>
      </w:r>
    </w:p>
    <w:p w14:paraId="624AB0EE" w14:textId="77777777" w:rsidR="00751CD6" w:rsidRDefault="00751CD6" w:rsidP="00CC6665">
      <w:pPr>
        <w:spacing w:line="276" w:lineRule="auto"/>
        <w:jc w:val="both"/>
        <w:rPr>
          <w:rFonts w:ascii="Arial" w:hAnsi="Arial" w:cs="Arial"/>
          <w:i/>
          <w:iCs/>
          <w:color w:val="FF0000"/>
          <w:sz w:val="22"/>
          <w:szCs w:val="22"/>
        </w:rPr>
      </w:pPr>
    </w:p>
    <w:p w14:paraId="0AFF3021" w14:textId="77777777" w:rsidR="00062A40" w:rsidRPr="009455C8" w:rsidRDefault="00062A40" w:rsidP="004329CC">
      <w:pPr>
        <w:spacing w:line="276" w:lineRule="auto"/>
        <w:jc w:val="both"/>
        <w:rPr>
          <w:rFonts w:ascii="Arial" w:hAnsi="Arial" w:cs="Arial"/>
          <w:sz w:val="22"/>
          <w:szCs w:val="22"/>
        </w:rPr>
      </w:pPr>
      <w:r w:rsidRPr="009455C8">
        <w:rPr>
          <w:rFonts w:ascii="Arial" w:hAnsi="Arial" w:cs="Arial"/>
          <w:sz w:val="22"/>
          <w:szCs w:val="22"/>
        </w:rPr>
        <w:t>The application does not propose the introduction of any additional bedrooms to the property, nor does it include any alteration to the existing parking and access arrangements. It is therefore considered that there is no highway or transportation concerns present with the proposal, and it is otherwise considered acceptable.</w:t>
      </w:r>
    </w:p>
    <w:bookmarkEnd w:id="2"/>
    <w:p w14:paraId="1EBD200B" w14:textId="77777777" w:rsidR="004329CC" w:rsidRDefault="004329CC" w:rsidP="004329CC">
      <w:pPr>
        <w:pStyle w:val="NormalWeb"/>
        <w:spacing w:before="0" w:beforeAutospacing="0" w:after="0" w:afterAutospacing="0" w:line="276" w:lineRule="auto"/>
        <w:jc w:val="both"/>
        <w:rPr>
          <w:rFonts w:ascii="Arial" w:hAnsi="Arial" w:cs="Arial"/>
          <w:sz w:val="22"/>
          <w:szCs w:val="22"/>
        </w:rPr>
      </w:pPr>
    </w:p>
    <w:p w14:paraId="576CD22D" w14:textId="77777777" w:rsidR="004329CC" w:rsidRPr="004329CC" w:rsidRDefault="004329CC" w:rsidP="004329CC">
      <w:pPr>
        <w:pStyle w:val="NormalWeb"/>
        <w:spacing w:before="0" w:beforeAutospacing="0" w:after="0" w:afterAutospacing="0" w:line="276" w:lineRule="auto"/>
        <w:jc w:val="both"/>
        <w:rPr>
          <w:rFonts w:ascii="Arial" w:hAnsi="Arial" w:cs="Arial"/>
          <w:sz w:val="22"/>
          <w:szCs w:val="22"/>
        </w:rPr>
      </w:pPr>
      <w:r w:rsidRPr="004329CC">
        <w:rPr>
          <w:rFonts w:ascii="Arial" w:hAnsi="Arial" w:cs="Arial"/>
          <w:sz w:val="22"/>
          <w:szCs w:val="22"/>
        </w:rPr>
        <w:t xml:space="preserve">Core Policy 67 of the Wiltshire Core Strategy seeks to ensure development does not increase flood risk. The proposal constitutes exempt householder development of well below 250m² and is therefore not subject to the sequential or exception test as set out in the NPPF. The site lies within Flood Zone 1 and the Council’s Strategic Flood Risk Assessment identifies no risk of ground or surface water flooding. The proposal would result in only a negligible increase in impermeable area within an existing garden that already contains areas of </w:t>
      </w:r>
      <w:proofErr w:type="gramStart"/>
      <w:r w:rsidRPr="004329CC">
        <w:rPr>
          <w:rFonts w:ascii="Arial" w:hAnsi="Arial" w:cs="Arial"/>
          <w:sz w:val="22"/>
          <w:szCs w:val="22"/>
        </w:rPr>
        <w:t>hardstanding, and</w:t>
      </w:r>
      <w:proofErr w:type="gramEnd"/>
      <w:r w:rsidRPr="004329CC">
        <w:rPr>
          <w:rFonts w:ascii="Arial" w:hAnsi="Arial" w:cs="Arial"/>
          <w:sz w:val="22"/>
          <w:szCs w:val="22"/>
        </w:rPr>
        <w:t xml:space="preserve"> therefore would be unlikely to have any adverse impacts on surface water drainage or flood risk elsewhere.</w:t>
      </w:r>
    </w:p>
    <w:p w14:paraId="366C88D1" w14:textId="77777777" w:rsidR="004329CC" w:rsidRPr="00EC61CC" w:rsidRDefault="004329CC"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CB1600" w:rsidRDefault="00075C07" w:rsidP="00CC6665">
      <w:pPr>
        <w:pStyle w:val="ListParagraph"/>
        <w:tabs>
          <w:tab w:val="num" w:pos="567"/>
        </w:tabs>
        <w:spacing w:line="276" w:lineRule="auto"/>
        <w:ind w:left="567" w:hanging="567"/>
        <w:jc w:val="both"/>
        <w:rPr>
          <w:rFonts w:ascii="Arial" w:hAnsi="Arial" w:cs="Arial"/>
          <w:sz w:val="22"/>
          <w:szCs w:val="22"/>
        </w:rPr>
      </w:pPr>
    </w:p>
    <w:p w14:paraId="6203C839" w14:textId="5C39FB51" w:rsidR="00075C07" w:rsidRPr="00CB1600" w:rsidRDefault="00B71434" w:rsidP="00CC6665">
      <w:pPr>
        <w:pStyle w:val="ListParagraph"/>
        <w:tabs>
          <w:tab w:val="num" w:pos="567"/>
        </w:tabs>
        <w:spacing w:line="276" w:lineRule="auto"/>
        <w:ind w:left="567" w:hanging="567"/>
        <w:jc w:val="both"/>
        <w:rPr>
          <w:rFonts w:ascii="Arial" w:hAnsi="Arial" w:cs="Arial"/>
          <w:sz w:val="22"/>
          <w:szCs w:val="22"/>
        </w:rPr>
      </w:pPr>
      <w:r w:rsidRPr="00CB1600">
        <w:rPr>
          <w:rFonts w:ascii="Arial" w:hAnsi="Arial" w:cs="Arial"/>
          <w:sz w:val="22"/>
          <w:szCs w:val="22"/>
        </w:rPr>
        <w:t xml:space="preserve">Plans and Elevations 373/101 </w:t>
      </w:r>
      <w:r w:rsidR="00CB1600" w:rsidRPr="00CB1600">
        <w:rPr>
          <w:rFonts w:ascii="Arial" w:hAnsi="Arial" w:cs="Arial"/>
          <w:sz w:val="22"/>
          <w:szCs w:val="22"/>
        </w:rPr>
        <w:t>(9 March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0A064A34" w14:textId="32ED6980" w:rsidR="006B4ED4" w:rsidRPr="00CB1600" w:rsidRDefault="00075C07" w:rsidP="00CB1600">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sectPr w:rsidR="006B4ED4" w:rsidRPr="00CB1600"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446C"/>
    <w:rsid w:val="00005FDC"/>
    <w:rsid w:val="00011F00"/>
    <w:rsid w:val="00015622"/>
    <w:rsid w:val="00015C0D"/>
    <w:rsid w:val="00031287"/>
    <w:rsid w:val="00044328"/>
    <w:rsid w:val="000456D0"/>
    <w:rsid w:val="0006177E"/>
    <w:rsid w:val="00062A40"/>
    <w:rsid w:val="0007364A"/>
    <w:rsid w:val="00075C07"/>
    <w:rsid w:val="00081734"/>
    <w:rsid w:val="0008663E"/>
    <w:rsid w:val="00087823"/>
    <w:rsid w:val="000B0456"/>
    <w:rsid w:val="000B337A"/>
    <w:rsid w:val="000B3CAF"/>
    <w:rsid w:val="000B4D97"/>
    <w:rsid w:val="000C6EF7"/>
    <w:rsid w:val="000D01DA"/>
    <w:rsid w:val="000D0E39"/>
    <w:rsid w:val="000E3596"/>
    <w:rsid w:val="000E38BA"/>
    <w:rsid w:val="000F1D22"/>
    <w:rsid w:val="000F3B58"/>
    <w:rsid w:val="001003C2"/>
    <w:rsid w:val="00110FD1"/>
    <w:rsid w:val="00113A8D"/>
    <w:rsid w:val="0012283E"/>
    <w:rsid w:val="0012332F"/>
    <w:rsid w:val="001251AE"/>
    <w:rsid w:val="00131B65"/>
    <w:rsid w:val="001424D4"/>
    <w:rsid w:val="0015620C"/>
    <w:rsid w:val="00157E20"/>
    <w:rsid w:val="001602BB"/>
    <w:rsid w:val="0016397C"/>
    <w:rsid w:val="00164DC7"/>
    <w:rsid w:val="0017440C"/>
    <w:rsid w:val="0018465E"/>
    <w:rsid w:val="001929B3"/>
    <w:rsid w:val="00193EC7"/>
    <w:rsid w:val="001A0A2E"/>
    <w:rsid w:val="001A0F50"/>
    <w:rsid w:val="001A14B2"/>
    <w:rsid w:val="001B17F8"/>
    <w:rsid w:val="001B2AF4"/>
    <w:rsid w:val="001C0C35"/>
    <w:rsid w:val="001C4291"/>
    <w:rsid w:val="001C770A"/>
    <w:rsid w:val="001D3680"/>
    <w:rsid w:val="001E210B"/>
    <w:rsid w:val="001F52AF"/>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3982"/>
    <w:rsid w:val="003240DB"/>
    <w:rsid w:val="00327F1B"/>
    <w:rsid w:val="0033669A"/>
    <w:rsid w:val="00341989"/>
    <w:rsid w:val="0035771C"/>
    <w:rsid w:val="00363BD7"/>
    <w:rsid w:val="00371825"/>
    <w:rsid w:val="00371AA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3FEB"/>
    <w:rsid w:val="00406E82"/>
    <w:rsid w:val="0041549C"/>
    <w:rsid w:val="00417846"/>
    <w:rsid w:val="00421DC5"/>
    <w:rsid w:val="004226F2"/>
    <w:rsid w:val="004228A8"/>
    <w:rsid w:val="004329CC"/>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B63"/>
    <w:rsid w:val="00492EB4"/>
    <w:rsid w:val="00495945"/>
    <w:rsid w:val="004A0B45"/>
    <w:rsid w:val="004A59AA"/>
    <w:rsid w:val="004B0D89"/>
    <w:rsid w:val="004C6A60"/>
    <w:rsid w:val="004D1B58"/>
    <w:rsid w:val="004D20B5"/>
    <w:rsid w:val="004D29B9"/>
    <w:rsid w:val="004D5C12"/>
    <w:rsid w:val="004E5366"/>
    <w:rsid w:val="004E5947"/>
    <w:rsid w:val="004E7A6C"/>
    <w:rsid w:val="004F26D5"/>
    <w:rsid w:val="004F57B4"/>
    <w:rsid w:val="0050043D"/>
    <w:rsid w:val="0051231F"/>
    <w:rsid w:val="0051622F"/>
    <w:rsid w:val="005214B8"/>
    <w:rsid w:val="00522A6A"/>
    <w:rsid w:val="0053334B"/>
    <w:rsid w:val="00540D8E"/>
    <w:rsid w:val="005435B4"/>
    <w:rsid w:val="00552306"/>
    <w:rsid w:val="00554E40"/>
    <w:rsid w:val="00556B5B"/>
    <w:rsid w:val="00557B1E"/>
    <w:rsid w:val="00561AE7"/>
    <w:rsid w:val="0056508E"/>
    <w:rsid w:val="00571E3F"/>
    <w:rsid w:val="00580DA8"/>
    <w:rsid w:val="00594C14"/>
    <w:rsid w:val="005A3D8E"/>
    <w:rsid w:val="005A7264"/>
    <w:rsid w:val="005B1CA8"/>
    <w:rsid w:val="005B7582"/>
    <w:rsid w:val="005C0C82"/>
    <w:rsid w:val="005C30A6"/>
    <w:rsid w:val="005C5A46"/>
    <w:rsid w:val="005C6F24"/>
    <w:rsid w:val="005D2581"/>
    <w:rsid w:val="005D7F1D"/>
    <w:rsid w:val="005F0C1A"/>
    <w:rsid w:val="005F0F03"/>
    <w:rsid w:val="005F4AFC"/>
    <w:rsid w:val="00601AAD"/>
    <w:rsid w:val="0060536A"/>
    <w:rsid w:val="00606E13"/>
    <w:rsid w:val="00611D0C"/>
    <w:rsid w:val="00614357"/>
    <w:rsid w:val="0062080E"/>
    <w:rsid w:val="00621166"/>
    <w:rsid w:val="006325D0"/>
    <w:rsid w:val="006361C6"/>
    <w:rsid w:val="006369BE"/>
    <w:rsid w:val="00636C45"/>
    <w:rsid w:val="00640499"/>
    <w:rsid w:val="0064099D"/>
    <w:rsid w:val="006424C0"/>
    <w:rsid w:val="0064468A"/>
    <w:rsid w:val="00646D70"/>
    <w:rsid w:val="006475CE"/>
    <w:rsid w:val="00650186"/>
    <w:rsid w:val="00652B96"/>
    <w:rsid w:val="00653201"/>
    <w:rsid w:val="006646C2"/>
    <w:rsid w:val="0067097F"/>
    <w:rsid w:val="006765B6"/>
    <w:rsid w:val="00685272"/>
    <w:rsid w:val="00687041"/>
    <w:rsid w:val="00694DDA"/>
    <w:rsid w:val="006968E4"/>
    <w:rsid w:val="00696DB1"/>
    <w:rsid w:val="006A046D"/>
    <w:rsid w:val="006A676B"/>
    <w:rsid w:val="006B4ED4"/>
    <w:rsid w:val="006C0878"/>
    <w:rsid w:val="006C1101"/>
    <w:rsid w:val="006C3E6E"/>
    <w:rsid w:val="006C68D8"/>
    <w:rsid w:val="006D2DAA"/>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51CD6"/>
    <w:rsid w:val="0076074E"/>
    <w:rsid w:val="00765813"/>
    <w:rsid w:val="00773C1F"/>
    <w:rsid w:val="00774BF0"/>
    <w:rsid w:val="00777F61"/>
    <w:rsid w:val="0078630E"/>
    <w:rsid w:val="007864A4"/>
    <w:rsid w:val="00794688"/>
    <w:rsid w:val="007A3D0E"/>
    <w:rsid w:val="007A5705"/>
    <w:rsid w:val="007A61A7"/>
    <w:rsid w:val="007B2237"/>
    <w:rsid w:val="007B2589"/>
    <w:rsid w:val="007B3765"/>
    <w:rsid w:val="007C4434"/>
    <w:rsid w:val="007C5693"/>
    <w:rsid w:val="007D167B"/>
    <w:rsid w:val="007D69FB"/>
    <w:rsid w:val="007E0B02"/>
    <w:rsid w:val="007E19A1"/>
    <w:rsid w:val="007F204C"/>
    <w:rsid w:val="00812AF8"/>
    <w:rsid w:val="0081484B"/>
    <w:rsid w:val="00820464"/>
    <w:rsid w:val="00827534"/>
    <w:rsid w:val="00827906"/>
    <w:rsid w:val="00831793"/>
    <w:rsid w:val="00841628"/>
    <w:rsid w:val="00856BF8"/>
    <w:rsid w:val="008610E2"/>
    <w:rsid w:val="0086349B"/>
    <w:rsid w:val="0086459F"/>
    <w:rsid w:val="00871565"/>
    <w:rsid w:val="00874E1A"/>
    <w:rsid w:val="0088368E"/>
    <w:rsid w:val="00890257"/>
    <w:rsid w:val="0089746E"/>
    <w:rsid w:val="0089794B"/>
    <w:rsid w:val="008A6179"/>
    <w:rsid w:val="008B1BB2"/>
    <w:rsid w:val="008B6D55"/>
    <w:rsid w:val="008B781F"/>
    <w:rsid w:val="008C2CBB"/>
    <w:rsid w:val="008C6E4B"/>
    <w:rsid w:val="008D5791"/>
    <w:rsid w:val="008D6C52"/>
    <w:rsid w:val="008E5C53"/>
    <w:rsid w:val="008F1CFF"/>
    <w:rsid w:val="00905C36"/>
    <w:rsid w:val="00911C57"/>
    <w:rsid w:val="00914E93"/>
    <w:rsid w:val="00921213"/>
    <w:rsid w:val="00921461"/>
    <w:rsid w:val="00937BE7"/>
    <w:rsid w:val="009403D1"/>
    <w:rsid w:val="00944708"/>
    <w:rsid w:val="009455C8"/>
    <w:rsid w:val="00946DDB"/>
    <w:rsid w:val="00960475"/>
    <w:rsid w:val="009753A2"/>
    <w:rsid w:val="0098148F"/>
    <w:rsid w:val="00982397"/>
    <w:rsid w:val="00982730"/>
    <w:rsid w:val="00982EB1"/>
    <w:rsid w:val="00990E62"/>
    <w:rsid w:val="00995309"/>
    <w:rsid w:val="009969D7"/>
    <w:rsid w:val="00997306"/>
    <w:rsid w:val="009A5A55"/>
    <w:rsid w:val="009C0B7F"/>
    <w:rsid w:val="009C68FD"/>
    <w:rsid w:val="009D2F03"/>
    <w:rsid w:val="009D621E"/>
    <w:rsid w:val="009E223C"/>
    <w:rsid w:val="009E23EC"/>
    <w:rsid w:val="009E6324"/>
    <w:rsid w:val="00A30B7E"/>
    <w:rsid w:val="00A349B0"/>
    <w:rsid w:val="00A37686"/>
    <w:rsid w:val="00A42C19"/>
    <w:rsid w:val="00A4573C"/>
    <w:rsid w:val="00A65218"/>
    <w:rsid w:val="00A71CD4"/>
    <w:rsid w:val="00A84775"/>
    <w:rsid w:val="00A860E2"/>
    <w:rsid w:val="00A9321F"/>
    <w:rsid w:val="00A938B9"/>
    <w:rsid w:val="00AA3D23"/>
    <w:rsid w:val="00AB1E61"/>
    <w:rsid w:val="00AB2910"/>
    <w:rsid w:val="00AC22E2"/>
    <w:rsid w:val="00AC499A"/>
    <w:rsid w:val="00AC6F8D"/>
    <w:rsid w:val="00AD0940"/>
    <w:rsid w:val="00AD1819"/>
    <w:rsid w:val="00AD29D0"/>
    <w:rsid w:val="00AD3402"/>
    <w:rsid w:val="00AD4290"/>
    <w:rsid w:val="00AE3D1A"/>
    <w:rsid w:val="00AE53C4"/>
    <w:rsid w:val="00B125B4"/>
    <w:rsid w:val="00B149EB"/>
    <w:rsid w:val="00B15AD7"/>
    <w:rsid w:val="00B169D2"/>
    <w:rsid w:val="00B16AEF"/>
    <w:rsid w:val="00B20C1F"/>
    <w:rsid w:val="00B21D27"/>
    <w:rsid w:val="00B27418"/>
    <w:rsid w:val="00B31880"/>
    <w:rsid w:val="00B40BA3"/>
    <w:rsid w:val="00B41FA9"/>
    <w:rsid w:val="00B42171"/>
    <w:rsid w:val="00B47DE8"/>
    <w:rsid w:val="00B53A9C"/>
    <w:rsid w:val="00B5556F"/>
    <w:rsid w:val="00B62AC6"/>
    <w:rsid w:val="00B71434"/>
    <w:rsid w:val="00B721B6"/>
    <w:rsid w:val="00B73AA1"/>
    <w:rsid w:val="00B812E0"/>
    <w:rsid w:val="00B86414"/>
    <w:rsid w:val="00B86CE9"/>
    <w:rsid w:val="00BA0474"/>
    <w:rsid w:val="00BB0CA0"/>
    <w:rsid w:val="00BB2CE7"/>
    <w:rsid w:val="00BB5ED0"/>
    <w:rsid w:val="00BC39D3"/>
    <w:rsid w:val="00BC78BB"/>
    <w:rsid w:val="00BD07DC"/>
    <w:rsid w:val="00BD3BD3"/>
    <w:rsid w:val="00BD44C1"/>
    <w:rsid w:val="00BD5CE2"/>
    <w:rsid w:val="00BE04AB"/>
    <w:rsid w:val="00BE644A"/>
    <w:rsid w:val="00BF0BA3"/>
    <w:rsid w:val="00BF4374"/>
    <w:rsid w:val="00BF52C1"/>
    <w:rsid w:val="00C0213E"/>
    <w:rsid w:val="00C02D65"/>
    <w:rsid w:val="00C25413"/>
    <w:rsid w:val="00C328B6"/>
    <w:rsid w:val="00C44B5F"/>
    <w:rsid w:val="00C53B6A"/>
    <w:rsid w:val="00C563CE"/>
    <w:rsid w:val="00C56682"/>
    <w:rsid w:val="00C568B6"/>
    <w:rsid w:val="00C618AF"/>
    <w:rsid w:val="00C63478"/>
    <w:rsid w:val="00C64924"/>
    <w:rsid w:val="00C664A5"/>
    <w:rsid w:val="00C71367"/>
    <w:rsid w:val="00C72D5A"/>
    <w:rsid w:val="00C77C50"/>
    <w:rsid w:val="00C848E4"/>
    <w:rsid w:val="00C94CB8"/>
    <w:rsid w:val="00CB1600"/>
    <w:rsid w:val="00CB502A"/>
    <w:rsid w:val="00CC03E4"/>
    <w:rsid w:val="00CC144B"/>
    <w:rsid w:val="00CC6665"/>
    <w:rsid w:val="00CD6B35"/>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71DC6"/>
    <w:rsid w:val="00D8452E"/>
    <w:rsid w:val="00DA037B"/>
    <w:rsid w:val="00DA5825"/>
    <w:rsid w:val="00DB07CC"/>
    <w:rsid w:val="00DC4C05"/>
    <w:rsid w:val="00DC4F3E"/>
    <w:rsid w:val="00DC64E7"/>
    <w:rsid w:val="00DD29A1"/>
    <w:rsid w:val="00DE34F6"/>
    <w:rsid w:val="00DE745B"/>
    <w:rsid w:val="00DE7788"/>
    <w:rsid w:val="00E011E0"/>
    <w:rsid w:val="00E179DC"/>
    <w:rsid w:val="00E252FD"/>
    <w:rsid w:val="00E362CA"/>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30719"/>
    <w:rsid w:val="00F35E07"/>
    <w:rsid w:val="00F40F94"/>
    <w:rsid w:val="00F45C7C"/>
    <w:rsid w:val="00F5017A"/>
    <w:rsid w:val="00F50DFD"/>
    <w:rsid w:val="00F55567"/>
    <w:rsid w:val="00F5798B"/>
    <w:rsid w:val="00F60F64"/>
    <w:rsid w:val="00F61A37"/>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89</TotalTime>
  <Pages>5</Pages>
  <Words>1471</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128</cp:revision>
  <cp:lastPrinted>2007-12-19T10:51:00Z</cp:lastPrinted>
  <dcterms:created xsi:type="dcterms:W3CDTF">2025-06-02T09:27:00Z</dcterms:created>
  <dcterms:modified xsi:type="dcterms:W3CDTF">2026-04-23T14:49:00Z</dcterms:modified>
</cp:coreProperties>
</file>