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4608" w14:textId="77777777" w:rsidR="00A47C6C" w:rsidRDefault="00A47C6C" w:rsidP="00A47C6C">
      <w:pPr>
        <w:jc w:val="center"/>
        <w:rPr>
          <w:b/>
          <w:bCs/>
          <w:u w:val="single"/>
        </w:rPr>
      </w:pPr>
      <w:r>
        <w:rPr>
          <w:b/>
          <w:bCs/>
          <w:u w:val="single"/>
        </w:rPr>
        <w:t>Maplecroft House</w:t>
      </w:r>
    </w:p>
    <w:p w14:paraId="64DE81DD" w14:textId="77777777" w:rsidR="00A47C6C" w:rsidRDefault="00A47C6C" w:rsidP="00A47C6C">
      <w:pPr>
        <w:jc w:val="center"/>
        <w:rPr>
          <w:b/>
          <w:bCs/>
          <w:u w:val="single"/>
        </w:rPr>
      </w:pPr>
    </w:p>
    <w:p w14:paraId="4728D6C6" w14:textId="73CADC33" w:rsidR="00A47C6C" w:rsidRPr="0015793A" w:rsidRDefault="00A47C6C" w:rsidP="00A47C6C">
      <w:pPr>
        <w:jc w:val="center"/>
        <w:rPr>
          <w:b/>
          <w:bCs/>
          <w:u w:val="single"/>
        </w:rPr>
      </w:pPr>
      <w:r>
        <w:rPr>
          <w:b/>
          <w:bCs/>
          <w:u w:val="single"/>
        </w:rPr>
        <w:t>Design and Access Statement</w:t>
      </w:r>
    </w:p>
    <w:p w14:paraId="04C43B75" w14:textId="77777777" w:rsidR="00A47C6C" w:rsidRDefault="00A47C6C" w:rsidP="00A47C6C"/>
    <w:p w14:paraId="77299C97" w14:textId="77777777" w:rsidR="00A47C6C" w:rsidRDefault="00A47C6C" w:rsidP="00A47C6C">
      <w:r w:rsidRPr="003D2DCD">
        <w:rPr>
          <w:b/>
          <w:bCs/>
        </w:rPr>
        <w:t>Location:</w:t>
      </w:r>
      <w:r>
        <w:t xml:space="preserve"> Maplecroft House, 109 Bath Road, Bradford-on-Avon BA15 2PE</w:t>
      </w:r>
    </w:p>
    <w:p w14:paraId="126949B0" w14:textId="77777777" w:rsidR="00A47C6C" w:rsidRDefault="00A47C6C" w:rsidP="00A47C6C"/>
    <w:p w14:paraId="6C3CB017" w14:textId="77777777" w:rsidR="00A47C6C" w:rsidRDefault="00A47C6C" w:rsidP="00A47C6C">
      <w:r w:rsidRPr="003D2DCD">
        <w:rPr>
          <w:b/>
          <w:bCs/>
        </w:rPr>
        <w:t xml:space="preserve">National Grid Reference: </w:t>
      </w:r>
      <w:r w:rsidRPr="00913E0E">
        <w:t>ST8232362342</w:t>
      </w:r>
    </w:p>
    <w:p w14:paraId="6F3C434F" w14:textId="77777777" w:rsidR="00A47C6C" w:rsidRDefault="00A47C6C" w:rsidP="00A47C6C"/>
    <w:p w14:paraId="75EF2FB2" w14:textId="77777777" w:rsidR="00A47C6C" w:rsidRPr="003D2DCD" w:rsidRDefault="00A47C6C" w:rsidP="00A47C6C">
      <w:pPr>
        <w:rPr>
          <w:b/>
          <w:bCs/>
        </w:rPr>
      </w:pPr>
      <w:r w:rsidRPr="003D2DCD">
        <w:rPr>
          <w:b/>
          <w:bCs/>
        </w:rPr>
        <w:t>Proposal:</w:t>
      </w:r>
      <w:r>
        <w:rPr>
          <w:b/>
          <w:bCs/>
        </w:rPr>
        <w:t xml:space="preserve"> </w:t>
      </w:r>
      <w:r>
        <w:t xml:space="preserve">Replacement of decorative shutters and fire surround on </w:t>
      </w:r>
      <w:r w:rsidRPr="003D2DCD">
        <w:t>Grade II listed building</w:t>
      </w:r>
    </w:p>
    <w:p w14:paraId="7405C58F" w14:textId="77777777" w:rsidR="00A47C6C" w:rsidRDefault="00A47C6C" w:rsidP="00A47C6C"/>
    <w:p w14:paraId="1C78EF92" w14:textId="77777777" w:rsidR="00A47C6C" w:rsidRDefault="00A47C6C" w:rsidP="00A47C6C">
      <w:r w:rsidRPr="003D2DCD">
        <w:rPr>
          <w:b/>
          <w:bCs/>
        </w:rPr>
        <w:t>Planning authority:</w:t>
      </w:r>
      <w:r>
        <w:rPr>
          <w:b/>
          <w:bCs/>
        </w:rPr>
        <w:t xml:space="preserve"> </w:t>
      </w:r>
      <w:r w:rsidRPr="003D2DCD">
        <w:t>Wiltshire County Council</w:t>
      </w:r>
    </w:p>
    <w:p w14:paraId="51C7C94E" w14:textId="77777777" w:rsidR="00A47C6C" w:rsidRDefault="00A47C6C" w:rsidP="00A47C6C"/>
    <w:p w14:paraId="03A548B5" w14:textId="77777777" w:rsidR="00A47C6C" w:rsidRDefault="00A47C6C" w:rsidP="00A47C6C">
      <w:pPr>
        <w:jc w:val="both"/>
        <w:rPr>
          <w:b/>
          <w:bCs/>
          <w:u w:val="single"/>
        </w:rPr>
      </w:pPr>
    </w:p>
    <w:p w14:paraId="76E309B0" w14:textId="77777777" w:rsidR="00A47C6C" w:rsidRPr="00913E0E" w:rsidRDefault="00A47C6C" w:rsidP="00A47C6C">
      <w:pPr>
        <w:jc w:val="both"/>
        <w:rPr>
          <w:b/>
          <w:bCs/>
          <w:u w:val="single"/>
        </w:rPr>
      </w:pPr>
      <w:r w:rsidRPr="00913E0E">
        <w:rPr>
          <w:b/>
          <w:bCs/>
          <w:u w:val="single"/>
        </w:rPr>
        <w:t>Location</w:t>
      </w:r>
    </w:p>
    <w:p w14:paraId="7EF79F24" w14:textId="77777777" w:rsidR="00A47C6C" w:rsidRDefault="00A47C6C" w:rsidP="00A47C6C">
      <w:pPr>
        <w:jc w:val="both"/>
      </w:pPr>
    </w:p>
    <w:p w14:paraId="7CA1322B" w14:textId="77777777" w:rsidR="00A47C6C" w:rsidRDefault="00A47C6C" w:rsidP="00A47C6C">
      <w:pPr>
        <w:jc w:val="both"/>
      </w:pPr>
      <w:r>
        <w:t xml:space="preserve">Maplecroft House is located within the boundaries of Bradford-on-Avon but is not part of the main townsite. It forms part of the former Maplecroft Farm, described above. The site is immediately bordered by the A363 and B3105. </w:t>
      </w:r>
    </w:p>
    <w:p w14:paraId="4F0E92D5" w14:textId="77777777" w:rsidR="00A47C6C" w:rsidRDefault="00A47C6C" w:rsidP="00A47C6C">
      <w:pPr>
        <w:jc w:val="both"/>
      </w:pPr>
    </w:p>
    <w:p w14:paraId="7D23CEEA" w14:textId="77777777" w:rsidR="00A47C6C" w:rsidRDefault="00A47C6C" w:rsidP="00A47C6C">
      <w:pPr>
        <w:jc w:val="both"/>
      </w:pPr>
      <w:r>
        <w:t xml:space="preserve">The site is located outside the Bradford-on-Avon conservation area and is not subject to any Article 4 direction. </w:t>
      </w:r>
    </w:p>
    <w:p w14:paraId="61C5E988" w14:textId="77777777" w:rsidR="00A47C6C" w:rsidRDefault="00A47C6C" w:rsidP="00A47C6C">
      <w:pPr>
        <w:jc w:val="both"/>
      </w:pPr>
    </w:p>
    <w:p w14:paraId="009CF06F" w14:textId="77777777" w:rsidR="00A47C6C" w:rsidRDefault="00A47C6C" w:rsidP="00A47C6C">
      <w:pPr>
        <w:jc w:val="both"/>
      </w:pPr>
      <w:r>
        <w:t xml:space="preserve">Maplecroft House is approached by a private driveway through Grade II listed gateposts on the A363 Bath Road to the south. The driveway leads to a large parking area and garage/home office to the East. The grounds include a large lawned garden immediately to the front of the property, a tennis court, and a wooded area adjacent to the A363 which includes a large pond. </w:t>
      </w:r>
    </w:p>
    <w:p w14:paraId="1FC086A0" w14:textId="77777777" w:rsidR="00A47C6C" w:rsidRDefault="00A47C6C" w:rsidP="00A47C6C">
      <w:pPr>
        <w:jc w:val="both"/>
      </w:pPr>
    </w:p>
    <w:p w14:paraId="37F979B9" w14:textId="77777777" w:rsidR="00A47C6C" w:rsidRDefault="00A47C6C" w:rsidP="00A47C6C">
      <w:pPr>
        <w:jc w:val="both"/>
      </w:pPr>
      <w:r>
        <w:t xml:space="preserve">Maplecroft House is one of </w:t>
      </w:r>
      <w:proofErr w:type="gramStart"/>
      <w:r>
        <w:t>a number of</w:t>
      </w:r>
      <w:proofErr w:type="gramEnd"/>
      <w:r>
        <w:t xml:space="preserve"> Grade II listed buildings in the immediate vicinity:</w:t>
      </w:r>
    </w:p>
    <w:p w14:paraId="78BF8C20" w14:textId="77777777" w:rsidR="00A47C6C" w:rsidRDefault="00A47C6C" w:rsidP="00A47C6C">
      <w:pPr>
        <w:pStyle w:val="ListParagraph"/>
        <w:numPr>
          <w:ilvl w:val="0"/>
          <w:numId w:val="1"/>
        </w:numPr>
        <w:jc w:val="both"/>
      </w:pPr>
      <w:r>
        <w:t>Maplecroft Farmhouse (immediately to the North).</w:t>
      </w:r>
    </w:p>
    <w:p w14:paraId="676FAEF2" w14:textId="77777777" w:rsidR="00A47C6C" w:rsidRDefault="00A47C6C" w:rsidP="00A47C6C">
      <w:pPr>
        <w:pStyle w:val="ListParagraph"/>
        <w:numPr>
          <w:ilvl w:val="0"/>
          <w:numId w:val="1"/>
        </w:numPr>
        <w:jc w:val="both"/>
      </w:pPr>
      <w:r>
        <w:t>The Dovecote (approx. 30 metres to the Southeast)</w:t>
      </w:r>
    </w:p>
    <w:p w14:paraId="4297558D" w14:textId="77777777" w:rsidR="00A47C6C" w:rsidRDefault="00A47C6C" w:rsidP="00A47C6C">
      <w:pPr>
        <w:pStyle w:val="ListParagraph"/>
        <w:numPr>
          <w:ilvl w:val="0"/>
          <w:numId w:val="1"/>
        </w:numPr>
        <w:jc w:val="both"/>
      </w:pPr>
      <w:r>
        <w:t>The Great Barn (approx. 50 metres to the East)</w:t>
      </w:r>
    </w:p>
    <w:p w14:paraId="42B9E1AE" w14:textId="77777777" w:rsidR="00A47C6C" w:rsidRDefault="00A47C6C" w:rsidP="00A47C6C">
      <w:pPr>
        <w:pStyle w:val="ListParagraph"/>
        <w:numPr>
          <w:ilvl w:val="0"/>
          <w:numId w:val="1"/>
        </w:numPr>
        <w:jc w:val="both"/>
      </w:pPr>
      <w:r>
        <w:t>Gardener’s cottage (approx. 150 metres to the Southwest, on the other side of A363)</w:t>
      </w:r>
    </w:p>
    <w:p w14:paraId="7013B9C8" w14:textId="77777777" w:rsidR="00A47C6C" w:rsidRDefault="00A47C6C" w:rsidP="00A47C6C">
      <w:pPr>
        <w:pStyle w:val="ListParagraph"/>
        <w:numPr>
          <w:ilvl w:val="0"/>
          <w:numId w:val="1"/>
        </w:numPr>
        <w:jc w:val="both"/>
      </w:pPr>
      <w:proofErr w:type="spellStart"/>
      <w:r>
        <w:t>Frankleigh</w:t>
      </w:r>
      <w:proofErr w:type="spellEnd"/>
      <w:r>
        <w:t xml:space="preserve"> Lodge (approx. 150 metres to the Southeast, on the other side of the A363)</w:t>
      </w:r>
    </w:p>
    <w:p w14:paraId="3FCB2B3D" w14:textId="77777777" w:rsidR="00A47C6C" w:rsidRDefault="00A47C6C" w:rsidP="00A47C6C">
      <w:pPr>
        <w:pStyle w:val="ListParagraph"/>
        <w:numPr>
          <w:ilvl w:val="0"/>
          <w:numId w:val="1"/>
        </w:numPr>
        <w:jc w:val="both"/>
      </w:pPr>
      <w:proofErr w:type="spellStart"/>
      <w:r>
        <w:t>Frankleigh</w:t>
      </w:r>
      <w:proofErr w:type="spellEnd"/>
      <w:r>
        <w:t xml:space="preserve"> House (approx. 250 metres to the Southeast, on the other side of the A363)</w:t>
      </w:r>
    </w:p>
    <w:p w14:paraId="7046871E" w14:textId="77777777" w:rsidR="00A47C6C" w:rsidRDefault="00A47C6C" w:rsidP="00A47C6C">
      <w:pPr>
        <w:jc w:val="both"/>
      </w:pPr>
    </w:p>
    <w:p w14:paraId="5CBA806F" w14:textId="77777777" w:rsidR="00A47C6C" w:rsidRDefault="00A47C6C" w:rsidP="00A47C6C">
      <w:pPr>
        <w:jc w:val="both"/>
      </w:pPr>
      <w:r>
        <w:t>In addition, the gateposts on the A363 leading to Maplecroft House are themselves Grade II listed.</w:t>
      </w:r>
    </w:p>
    <w:p w14:paraId="79DE09F2" w14:textId="77777777" w:rsidR="00A47C6C" w:rsidRDefault="00A47C6C" w:rsidP="00A47C6C">
      <w:pPr>
        <w:jc w:val="both"/>
      </w:pPr>
    </w:p>
    <w:p w14:paraId="63F1BE62" w14:textId="77777777" w:rsidR="00CE72CC" w:rsidRDefault="00CE72CC" w:rsidP="00A47C6C">
      <w:pPr>
        <w:jc w:val="both"/>
        <w:rPr>
          <w:b/>
          <w:bCs/>
          <w:u w:val="single"/>
        </w:rPr>
      </w:pPr>
    </w:p>
    <w:p w14:paraId="5F100D88" w14:textId="77777777" w:rsidR="00CE72CC" w:rsidRDefault="00CE72CC" w:rsidP="00A47C6C">
      <w:pPr>
        <w:jc w:val="both"/>
        <w:rPr>
          <w:b/>
          <w:bCs/>
          <w:u w:val="single"/>
        </w:rPr>
      </w:pPr>
    </w:p>
    <w:p w14:paraId="15F29CFE" w14:textId="77777777" w:rsidR="00CE72CC" w:rsidRDefault="00CE72CC" w:rsidP="00A47C6C">
      <w:pPr>
        <w:jc w:val="both"/>
        <w:rPr>
          <w:b/>
          <w:bCs/>
          <w:u w:val="single"/>
        </w:rPr>
      </w:pPr>
    </w:p>
    <w:p w14:paraId="426E67D6" w14:textId="77777777" w:rsidR="00CE72CC" w:rsidRDefault="00CE72CC" w:rsidP="00A47C6C">
      <w:pPr>
        <w:jc w:val="both"/>
        <w:rPr>
          <w:b/>
          <w:bCs/>
          <w:u w:val="single"/>
        </w:rPr>
      </w:pPr>
    </w:p>
    <w:p w14:paraId="56309122" w14:textId="177D7140" w:rsidR="00A47C6C" w:rsidRDefault="00A47C6C" w:rsidP="00A47C6C">
      <w:pPr>
        <w:jc w:val="both"/>
      </w:pPr>
      <w:r w:rsidRPr="00913E0E">
        <w:rPr>
          <w:b/>
          <w:bCs/>
          <w:u w:val="single"/>
        </w:rPr>
        <w:lastRenderedPageBreak/>
        <w:t>Access</w:t>
      </w:r>
    </w:p>
    <w:p w14:paraId="203CA7E2" w14:textId="77777777" w:rsidR="00A47C6C" w:rsidRDefault="00A47C6C" w:rsidP="00A47C6C">
      <w:pPr>
        <w:jc w:val="both"/>
      </w:pPr>
    </w:p>
    <w:p w14:paraId="52015D78" w14:textId="77777777" w:rsidR="00A47C6C" w:rsidRDefault="00A47C6C" w:rsidP="00A47C6C">
      <w:pPr>
        <w:jc w:val="both"/>
      </w:pPr>
      <w:r>
        <w:t xml:space="preserve">Access is provided through listed gateposts on the A363 Bath Road and then on a long sweeping driveway. Parking areas are located to the south and west of the buildings on gravel.  </w:t>
      </w:r>
    </w:p>
    <w:p w14:paraId="196BB2AB" w14:textId="77777777" w:rsidR="00A47C6C" w:rsidRDefault="00A47C6C" w:rsidP="00A47C6C">
      <w:pPr>
        <w:jc w:val="both"/>
      </w:pPr>
    </w:p>
    <w:p w14:paraId="53B1F714" w14:textId="77777777" w:rsidR="00A47C6C" w:rsidRPr="00913E0E" w:rsidRDefault="00A47C6C" w:rsidP="00A47C6C">
      <w:pPr>
        <w:jc w:val="both"/>
        <w:rPr>
          <w:b/>
          <w:bCs/>
          <w:u w:val="single"/>
        </w:rPr>
      </w:pPr>
      <w:r w:rsidRPr="00913E0E">
        <w:rPr>
          <w:b/>
          <w:bCs/>
          <w:u w:val="single"/>
        </w:rPr>
        <w:t>Floor area</w:t>
      </w:r>
    </w:p>
    <w:p w14:paraId="6D609381" w14:textId="77777777" w:rsidR="00A47C6C" w:rsidRDefault="00A47C6C" w:rsidP="00A47C6C">
      <w:pPr>
        <w:jc w:val="both"/>
      </w:pPr>
    </w:p>
    <w:p w14:paraId="2D07A284" w14:textId="77777777" w:rsidR="00A47C6C" w:rsidRDefault="00A47C6C" w:rsidP="00A47C6C">
      <w:pPr>
        <w:jc w:val="both"/>
      </w:pPr>
      <w:r>
        <w:t>The works proposed will not affect the usable floor area of the Property.</w:t>
      </w:r>
    </w:p>
    <w:p w14:paraId="18F2761A" w14:textId="77777777" w:rsidR="00A47C6C" w:rsidRDefault="00A47C6C" w:rsidP="00A47C6C">
      <w:pPr>
        <w:jc w:val="both"/>
      </w:pPr>
    </w:p>
    <w:p w14:paraId="28A97640" w14:textId="77777777" w:rsidR="00A47C6C" w:rsidRPr="00913E0E" w:rsidRDefault="00A47C6C" w:rsidP="00A47C6C">
      <w:pPr>
        <w:jc w:val="both"/>
        <w:rPr>
          <w:b/>
          <w:bCs/>
          <w:u w:val="single"/>
        </w:rPr>
      </w:pPr>
      <w:r w:rsidRPr="00913E0E">
        <w:rPr>
          <w:b/>
          <w:bCs/>
          <w:u w:val="single"/>
        </w:rPr>
        <w:t>Site layout</w:t>
      </w:r>
    </w:p>
    <w:p w14:paraId="082A2E93" w14:textId="77777777" w:rsidR="00A47C6C" w:rsidRDefault="00A47C6C" w:rsidP="00A47C6C">
      <w:pPr>
        <w:jc w:val="both"/>
      </w:pPr>
    </w:p>
    <w:p w14:paraId="55496F27" w14:textId="77777777" w:rsidR="00A47C6C" w:rsidRDefault="00A47C6C" w:rsidP="00A47C6C">
      <w:pPr>
        <w:jc w:val="both"/>
      </w:pPr>
      <w:r>
        <w:t>The proposed will not affect the external site layout.</w:t>
      </w:r>
    </w:p>
    <w:p w14:paraId="7D3A1C62" w14:textId="77777777" w:rsidR="00A47C6C" w:rsidRDefault="00A47C6C" w:rsidP="00A47C6C">
      <w:pPr>
        <w:jc w:val="both"/>
      </w:pPr>
    </w:p>
    <w:p w14:paraId="395FC70D" w14:textId="77777777" w:rsidR="00A47C6C" w:rsidRPr="00913E0E" w:rsidRDefault="00A47C6C" w:rsidP="00A47C6C">
      <w:pPr>
        <w:jc w:val="both"/>
        <w:rPr>
          <w:b/>
          <w:bCs/>
          <w:u w:val="single"/>
        </w:rPr>
      </w:pPr>
      <w:r w:rsidRPr="00913E0E">
        <w:rPr>
          <w:b/>
          <w:bCs/>
          <w:u w:val="single"/>
        </w:rPr>
        <w:t>Roof form</w:t>
      </w:r>
    </w:p>
    <w:p w14:paraId="2A64037C" w14:textId="77777777" w:rsidR="00A47C6C" w:rsidRDefault="00A47C6C" w:rsidP="00A47C6C">
      <w:pPr>
        <w:jc w:val="both"/>
      </w:pPr>
    </w:p>
    <w:p w14:paraId="59E663A4" w14:textId="77777777" w:rsidR="00A47C6C" w:rsidRDefault="00A47C6C" w:rsidP="00A47C6C">
      <w:pPr>
        <w:jc w:val="both"/>
      </w:pPr>
      <w:r>
        <w:t xml:space="preserve">The roof form </w:t>
      </w:r>
      <w:proofErr w:type="gramStart"/>
      <w:r>
        <w:t>will be not be</w:t>
      </w:r>
      <w:proofErr w:type="gramEnd"/>
      <w:r>
        <w:t xml:space="preserve"> altered </w:t>
      </w:r>
    </w:p>
    <w:p w14:paraId="7689823C" w14:textId="77777777" w:rsidR="00A47C6C" w:rsidRDefault="00A47C6C" w:rsidP="00A47C6C">
      <w:pPr>
        <w:jc w:val="both"/>
      </w:pPr>
    </w:p>
    <w:p w14:paraId="20ED8B82" w14:textId="77777777" w:rsidR="00A47C6C" w:rsidRPr="00B3520B" w:rsidRDefault="00A47C6C" w:rsidP="00A47C6C">
      <w:pPr>
        <w:jc w:val="both"/>
        <w:rPr>
          <w:b/>
          <w:bCs/>
          <w:u w:val="single"/>
        </w:rPr>
      </w:pPr>
      <w:r w:rsidRPr="00B3520B">
        <w:rPr>
          <w:b/>
          <w:bCs/>
          <w:u w:val="single"/>
        </w:rPr>
        <w:t>Summary of proposed works</w:t>
      </w:r>
    </w:p>
    <w:p w14:paraId="540DCF92" w14:textId="77777777" w:rsidR="00A47C6C" w:rsidRDefault="00A47C6C" w:rsidP="00A47C6C">
      <w:pPr>
        <w:jc w:val="both"/>
      </w:pPr>
      <w:r>
        <w:t xml:space="preserve"> </w:t>
      </w:r>
    </w:p>
    <w:p w14:paraId="30E0E99C" w14:textId="77777777" w:rsidR="00A47C6C" w:rsidRDefault="00A47C6C" w:rsidP="00A47C6C">
      <w:pPr>
        <w:jc w:val="both"/>
      </w:pPr>
      <w:r>
        <w:t>The works for which consent is sought are as follows:</w:t>
      </w:r>
    </w:p>
    <w:p w14:paraId="3F6EC9C8" w14:textId="77777777" w:rsidR="00A47C6C" w:rsidRDefault="00A47C6C" w:rsidP="00A47C6C">
      <w:pPr>
        <w:pStyle w:val="ListParagraph"/>
        <w:numPr>
          <w:ilvl w:val="0"/>
          <w:numId w:val="2"/>
        </w:numPr>
        <w:jc w:val="both"/>
      </w:pPr>
      <w:r>
        <w:t xml:space="preserve">Replacement of the decorative shutters on the second and third floors of the front elevation and the first floor of the western elevation of the attached cottage with shutters of similar (but more structurally robust) design. </w:t>
      </w:r>
    </w:p>
    <w:p w14:paraId="183FDBC5" w14:textId="77777777" w:rsidR="00A47C6C" w:rsidRDefault="00A47C6C" w:rsidP="00A47C6C">
      <w:pPr>
        <w:pStyle w:val="ListParagraph"/>
        <w:numPr>
          <w:ilvl w:val="0"/>
          <w:numId w:val="2"/>
        </w:numPr>
        <w:jc w:val="both"/>
      </w:pPr>
      <w:r>
        <w:t>Colour change for all shutters and front door.</w:t>
      </w:r>
    </w:p>
    <w:p w14:paraId="64DECD6F" w14:textId="24E72344" w:rsidR="00A47C6C" w:rsidRDefault="00A47C6C" w:rsidP="00A47C6C">
      <w:pPr>
        <w:pStyle w:val="ListParagraph"/>
        <w:numPr>
          <w:ilvl w:val="0"/>
          <w:numId w:val="2"/>
        </w:numPr>
        <w:jc w:val="both"/>
      </w:pPr>
      <w:r>
        <w:t>Replacement of modern MDF, porcelain tile and manufactured quartz fire surround</w:t>
      </w:r>
      <w:r>
        <w:t>/hearth</w:t>
      </w:r>
      <w:r>
        <w:t xml:space="preserve"> with bath stone fire surround.</w:t>
      </w:r>
    </w:p>
    <w:p w14:paraId="444E1C6D" w14:textId="77777777" w:rsidR="00A47C6C" w:rsidRPr="003D2DCD" w:rsidRDefault="00A47C6C" w:rsidP="00A47C6C">
      <w:pPr>
        <w:rPr>
          <w:b/>
          <w:bCs/>
        </w:rPr>
      </w:pPr>
    </w:p>
    <w:p w14:paraId="7DE6B9E6" w14:textId="77777777" w:rsidR="00A47C6C" w:rsidRDefault="00A47C6C" w:rsidP="00A47C6C">
      <w:pPr>
        <w:jc w:val="both"/>
      </w:pPr>
      <w:r w:rsidRPr="00913E0E">
        <w:rPr>
          <w:b/>
          <w:bCs/>
          <w:u w:val="single"/>
        </w:rPr>
        <w:t>Conclusions</w:t>
      </w:r>
    </w:p>
    <w:p w14:paraId="17769C6D" w14:textId="77777777" w:rsidR="00A47C6C" w:rsidRDefault="00A47C6C" w:rsidP="00A47C6C">
      <w:pPr>
        <w:jc w:val="both"/>
      </w:pPr>
    </w:p>
    <w:p w14:paraId="3C5BBC6B" w14:textId="3B49EF58" w:rsidR="00A47C6C" w:rsidRDefault="00A47C6C" w:rsidP="00A47C6C">
      <w:pPr>
        <w:jc w:val="both"/>
      </w:pPr>
      <w:r>
        <w:t xml:space="preserve">The proposed works </w:t>
      </w:r>
      <w:r>
        <w:t xml:space="preserve">described in the Heritage Statement and Schedule of Works </w:t>
      </w:r>
      <w:r>
        <w:t xml:space="preserve">will protect and preserve the condition of the </w:t>
      </w:r>
      <w:proofErr w:type="gramStart"/>
      <w:r>
        <w:t>building, and</w:t>
      </w:r>
      <w:proofErr w:type="gramEnd"/>
      <w:r>
        <w:t xml:space="preserve"> enhance its use as a residential property without affecting the historic fabric of the building.   </w:t>
      </w:r>
    </w:p>
    <w:p w14:paraId="1F49A7A6" w14:textId="77777777" w:rsidR="00396110" w:rsidRDefault="00396110"/>
    <w:sectPr w:rsidR="0039611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AF1C6" w14:textId="77777777" w:rsidR="00E60302" w:rsidRDefault="00E60302" w:rsidP="00CE72CC">
      <w:r>
        <w:separator/>
      </w:r>
    </w:p>
  </w:endnote>
  <w:endnote w:type="continuationSeparator" w:id="0">
    <w:p w14:paraId="4FD03557" w14:textId="77777777" w:rsidR="00E60302" w:rsidRDefault="00E60302" w:rsidP="00CE7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039377"/>
      <w:docPartObj>
        <w:docPartGallery w:val="Page Numbers (Bottom of Page)"/>
        <w:docPartUnique/>
      </w:docPartObj>
    </w:sdtPr>
    <w:sdtEndPr>
      <w:rPr>
        <w:noProof/>
      </w:rPr>
    </w:sdtEndPr>
    <w:sdtContent>
      <w:p w14:paraId="2EDCE0FE" w14:textId="1BE67901" w:rsidR="00CE72CC" w:rsidRDefault="00CE72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7E5674" w14:textId="77777777" w:rsidR="00CE72CC" w:rsidRDefault="00CE7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D1390" w14:textId="77777777" w:rsidR="00E60302" w:rsidRDefault="00E60302" w:rsidP="00CE72CC">
      <w:r>
        <w:separator/>
      </w:r>
    </w:p>
  </w:footnote>
  <w:footnote w:type="continuationSeparator" w:id="0">
    <w:p w14:paraId="26ED2569" w14:textId="77777777" w:rsidR="00E60302" w:rsidRDefault="00E60302" w:rsidP="00CE7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C6A17"/>
    <w:multiLevelType w:val="hybridMultilevel"/>
    <w:tmpl w:val="E5C09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6DF48D2"/>
    <w:multiLevelType w:val="hybridMultilevel"/>
    <w:tmpl w:val="B2829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7459">
    <w:abstractNumId w:val="1"/>
  </w:num>
  <w:num w:numId="2" w16cid:durableId="126106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C6C"/>
    <w:rsid w:val="00012BD1"/>
    <w:rsid w:val="00396110"/>
    <w:rsid w:val="004125F2"/>
    <w:rsid w:val="005676C4"/>
    <w:rsid w:val="0064527D"/>
    <w:rsid w:val="00692B18"/>
    <w:rsid w:val="006B2626"/>
    <w:rsid w:val="007859AB"/>
    <w:rsid w:val="00A47C6C"/>
    <w:rsid w:val="00BC7E84"/>
    <w:rsid w:val="00C162B7"/>
    <w:rsid w:val="00C60D3A"/>
    <w:rsid w:val="00CE72CC"/>
    <w:rsid w:val="00D23810"/>
    <w:rsid w:val="00E07DDE"/>
    <w:rsid w:val="00E60302"/>
    <w:rsid w:val="00F33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D11EE"/>
  <w15:chartTrackingRefBased/>
  <w15:docId w15:val="{AB09F0E9-74D4-4E1C-BCFF-A0B65833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C6C"/>
    <w:pPr>
      <w:spacing w:after="0" w:line="240" w:lineRule="auto"/>
    </w:pPr>
  </w:style>
  <w:style w:type="paragraph" w:styleId="Heading1">
    <w:name w:val="heading 1"/>
    <w:basedOn w:val="Normal"/>
    <w:next w:val="Normal"/>
    <w:link w:val="Heading1Char"/>
    <w:uiPriority w:val="9"/>
    <w:qFormat/>
    <w:rsid w:val="00A47C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C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C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C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C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C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C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C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C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C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7C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7C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C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C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C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C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C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C6C"/>
    <w:rPr>
      <w:rFonts w:eastAsiaTheme="majorEastAsia" w:cstheme="majorBidi"/>
      <w:color w:val="272727" w:themeColor="text1" w:themeTint="D8"/>
    </w:rPr>
  </w:style>
  <w:style w:type="paragraph" w:styleId="Title">
    <w:name w:val="Title"/>
    <w:basedOn w:val="Normal"/>
    <w:next w:val="Normal"/>
    <w:link w:val="TitleChar"/>
    <w:uiPriority w:val="10"/>
    <w:qFormat/>
    <w:rsid w:val="00A47C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C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C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C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C6C"/>
    <w:pPr>
      <w:spacing w:before="160"/>
      <w:jc w:val="center"/>
    </w:pPr>
    <w:rPr>
      <w:i/>
      <w:iCs/>
      <w:color w:val="404040" w:themeColor="text1" w:themeTint="BF"/>
    </w:rPr>
  </w:style>
  <w:style w:type="character" w:customStyle="1" w:styleId="QuoteChar">
    <w:name w:val="Quote Char"/>
    <w:basedOn w:val="DefaultParagraphFont"/>
    <w:link w:val="Quote"/>
    <w:uiPriority w:val="29"/>
    <w:rsid w:val="00A47C6C"/>
    <w:rPr>
      <w:i/>
      <w:iCs/>
      <w:color w:val="404040" w:themeColor="text1" w:themeTint="BF"/>
    </w:rPr>
  </w:style>
  <w:style w:type="paragraph" w:styleId="ListParagraph">
    <w:name w:val="List Paragraph"/>
    <w:basedOn w:val="Normal"/>
    <w:uiPriority w:val="34"/>
    <w:qFormat/>
    <w:rsid w:val="00A47C6C"/>
    <w:pPr>
      <w:ind w:left="720"/>
      <w:contextualSpacing/>
    </w:pPr>
  </w:style>
  <w:style w:type="character" w:styleId="IntenseEmphasis">
    <w:name w:val="Intense Emphasis"/>
    <w:basedOn w:val="DefaultParagraphFont"/>
    <w:uiPriority w:val="21"/>
    <w:qFormat/>
    <w:rsid w:val="00A47C6C"/>
    <w:rPr>
      <w:i/>
      <w:iCs/>
      <w:color w:val="0F4761" w:themeColor="accent1" w:themeShade="BF"/>
    </w:rPr>
  </w:style>
  <w:style w:type="paragraph" w:styleId="IntenseQuote">
    <w:name w:val="Intense Quote"/>
    <w:basedOn w:val="Normal"/>
    <w:next w:val="Normal"/>
    <w:link w:val="IntenseQuoteChar"/>
    <w:uiPriority w:val="30"/>
    <w:qFormat/>
    <w:rsid w:val="00A47C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C6C"/>
    <w:rPr>
      <w:i/>
      <w:iCs/>
      <w:color w:val="0F4761" w:themeColor="accent1" w:themeShade="BF"/>
    </w:rPr>
  </w:style>
  <w:style w:type="character" w:styleId="IntenseReference">
    <w:name w:val="Intense Reference"/>
    <w:basedOn w:val="DefaultParagraphFont"/>
    <w:uiPriority w:val="32"/>
    <w:qFormat/>
    <w:rsid w:val="00A47C6C"/>
    <w:rPr>
      <w:b/>
      <w:bCs/>
      <w:smallCaps/>
      <w:color w:val="0F4761" w:themeColor="accent1" w:themeShade="BF"/>
      <w:spacing w:val="5"/>
    </w:rPr>
  </w:style>
  <w:style w:type="paragraph" w:styleId="Header">
    <w:name w:val="header"/>
    <w:basedOn w:val="Normal"/>
    <w:link w:val="HeaderChar"/>
    <w:uiPriority w:val="99"/>
    <w:unhideWhenUsed/>
    <w:rsid w:val="00CE72CC"/>
    <w:pPr>
      <w:tabs>
        <w:tab w:val="center" w:pos="4513"/>
        <w:tab w:val="right" w:pos="9026"/>
      </w:tabs>
    </w:pPr>
  </w:style>
  <w:style w:type="character" w:customStyle="1" w:styleId="HeaderChar">
    <w:name w:val="Header Char"/>
    <w:basedOn w:val="DefaultParagraphFont"/>
    <w:link w:val="Header"/>
    <w:uiPriority w:val="99"/>
    <w:rsid w:val="00CE72CC"/>
  </w:style>
  <w:style w:type="paragraph" w:styleId="Footer">
    <w:name w:val="footer"/>
    <w:basedOn w:val="Normal"/>
    <w:link w:val="FooterChar"/>
    <w:uiPriority w:val="99"/>
    <w:unhideWhenUsed/>
    <w:rsid w:val="00CE72CC"/>
    <w:pPr>
      <w:tabs>
        <w:tab w:val="center" w:pos="4513"/>
        <w:tab w:val="right" w:pos="9026"/>
      </w:tabs>
    </w:pPr>
  </w:style>
  <w:style w:type="character" w:customStyle="1" w:styleId="FooterChar">
    <w:name w:val="Footer Char"/>
    <w:basedOn w:val="DefaultParagraphFont"/>
    <w:link w:val="Footer"/>
    <w:uiPriority w:val="99"/>
    <w:rsid w:val="00CE7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352</Words>
  <Characters>2392</Characters>
  <Application>Microsoft Office Word</Application>
  <DocSecurity>0</DocSecurity>
  <Lines>125</Lines>
  <Paragraphs>70</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Myhill</dc:creator>
  <cp:keywords/>
  <dc:description/>
  <cp:lastModifiedBy>David Myhill</cp:lastModifiedBy>
  <cp:revision>4</cp:revision>
  <dcterms:created xsi:type="dcterms:W3CDTF">2026-04-14T15:54:00Z</dcterms:created>
  <dcterms:modified xsi:type="dcterms:W3CDTF">2026-04-14T17:01:00Z</dcterms:modified>
</cp:coreProperties>
</file>