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DC298BE"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2B344C">
        <w:rPr>
          <w:rFonts w:ascii="Arial" w:hAnsi="Arial" w:cs="Arial"/>
          <w:b/>
          <w:bCs/>
          <w:sz w:val="28"/>
          <w:szCs w:val="28"/>
        </w:rPr>
        <w:t xml:space="preserve">FOR </w:t>
      </w:r>
      <w:r w:rsidR="002B344C" w:rsidRPr="002B344C">
        <w:rPr>
          <w:rFonts w:ascii="Arial" w:hAnsi="Arial" w:cs="Arial"/>
          <w:b/>
          <w:bCs/>
          <w:sz w:val="28"/>
          <w:szCs w:val="28"/>
        </w:rPr>
        <w:t>FULL</w:t>
      </w:r>
      <w:r w:rsidRPr="002B344C">
        <w:rPr>
          <w:rFonts w:ascii="Arial" w:hAnsi="Arial" w:cs="Arial"/>
          <w:b/>
          <w:bCs/>
          <w:sz w:val="28"/>
          <w:szCs w:val="28"/>
        </w:rPr>
        <w:t xml:space="preserve">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1710B7CC" w:rsidR="000E38BA" w:rsidRPr="004908AE" w:rsidRDefault="002B344C"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PL/2026/00705</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7A745E0" w:rsidR="000E38BA" w:rsidRPr="002B344C" w:rsidRDefault="002B344C" w:rsidP="00AE4D3F">
            <w:pPr>
              <w:spacing w:before="100" w:beforeAutospacing="1" w:after="100" w:afterAutospacing="1" w:line="276" w:lineRule="auto"/>
              <w:rPr>
                <w:rFonts w:ascii="Arial" w:hAnsi="Arial" w:cs="Arial"/>
                <w:sz w:val="22"/>
                <w:szCs w:val="22"/>
                <w:lang w:eastAsia="en-GB"/>
              </w:rPr>
            </w:pPr>
            <w:r w:rsidRPr="002B344C">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57CCE73" w:rsidR="000E38BA" w:rsidRPr="000F25DC" w:rsidRDefault="000F25DC" w:rsidP="00AE4D3F">
            <w:pPr>
              <w:spacing w:before="100" w:beforeAutospacing="1" w:after="100" w:afterAutospacing="1" w:line="276" w:lineRule="auto"/>
              <w:rPr>
                <w:rFonts w:ascii="Arial" w:hAnsi="Arial" w:cs="Arial"/>
                <w:sz w:val="22"/>
                <w:szCs w:val="22"/>
                <w:lang w:eastAsia="en-GB"/>
              </w:rPr>
            </w:pPr>
            <w:r w:rsidRPr="000F25DC">
              <w:rPr>
                <w:rFonts w:ascii="Arial" w:hAnsi="Arial" w:cs="Arial"/>
                <w:sz w:val="22"/>
                <w:szCs w:val="22"/>
                <w:lang w:val="en-GB" w:eastAsia="en-GB"/>
              </w:rPr>
              <w:t>Holt Farm, Ground Corner, Holt, Trowbridge, BA14 6RT</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5C4F6B8" w:rsidR="000E38BA" w:rsidRPr="000F25DC" w:rsidRDefault="000F25DC" w:rsidP="00AE4D3F">
            <w:pPr>
              <w:spacing w:before="100" w:beforeAutospacing="1" w:after="100" w:afterAutospacing="1" w:line="276" w:lineRule="auto"/>
              <w:rPr>
                <w:rFonts w:ascii="Arial" w:hAnsi="Arial" w:cs="Arial"/>
                <w:sz w:val="22"/>
                <w:szCs w:val="22"/>
                <w:lang w:eastAsia="en-GB"/>
              </w:rPr>
            </w:pPr>
            <w:r w:rsidRPr="000F25DC">
              <w:rPr>
                <w:rFonts w:ascii="Arial" w:hAnsi="Arial" w:cs="Arial"/>
                <w:sz w:val="22"/>
                <w:szCs w:val="22"/>
                <w:lang w:eastAsia="en-GB"/>
              </w:rPr>
              <w:t xml:space="preserve">Proposed installation of 95 panels mounted via a </w:t>
            </w:r>
            <w:proofErr w:type="gramStart"/>
            <w:r w:rsidRPr="000F25DC">
              <w:rPr>
                <w:rFonts w:ascii="Arial" w:hAnsi="Arial" w:cs="Arial"/>
                <w:sz w:val="22"/>
                <w:szCs w:val="22"/>
                <w:lang w:eastAsia="en-GB"/>
              </w:rPr>
              <w:t>low profile</w:t>
            </w:r>
            <w:proofErr w:type="gramEnd"/>
            <w:r w:rsidRPr="000F25DC">
              <w:rPr>
                <w:rFonts w:ascii="Arial" w:hAnsi="Arial" w:cs="Arial"/>
                <w:sz w:val="22"/>
                <w:szCs w:val="22"/>
                <w:lang w:eastAsia="en-GB"/>
              </w:rPr>
              <w:t xml:space="preserve"> ground mounted racking system.</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7362887A" w:rsidR="000E38BA" w:rsidRDefault="00F3464F" w:rsidP="00F3464F">
      <w:pPr>
        <w:tabs>
          <w:tab w:val="left" w:pos="2520"/>
        </w:tabs>
        <w:jc w:val="center"/>
        <w:rPr>
          <w:rFonts w:ascii="Arial" w:hAnsi="Arial" w:cs="Arial"/>
          <w:b/>
          <w:color w:val="FF0000"/>
          <w:sz w:val="22"/>
          <w:szCs w:val="22"/>
        </w:rPr>
      </w:pPr>
      <w:r w:rsidRPr="00F3464F">
        <w:rPr>
          <w:rFonts w:ascii="Arial" w:hAnsi="Arial" w:cs="Arial"/>
          <w:b/>
          <w:noProof/>
          <w:color w:val="FF0000"/>
          <w:sz w:val="22"/>
          <w:szCs w:val="22"/>
          <w:bdr w:val="single" w:sz="12" w:space="0" w:color="auto"/>
        </w:rPr>
        <w:drawing>
          <wp:inline distT="0" distB="0" distL="0" distR="0" wp14:anchorId="261A9B78" wp14:editId="14F1CB50">
            <wp:extent cx="2755118" cy="2765146"/>
            <wp:effectExtent l="0" t="0" r="7620" b="0"/>
            <wp:docPr id="163803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34542" name=""/>
                    <pic:cNvPicPr/>
                  </pic:nvPicPr>
                  <pic:blipFill>
                    <a:blip r:embed="rId5"/>
                    <a:stretch>
                      <a:fillRect/>
                    </a:stretch>
                  </pic:blipFill>
                  <pic:spPr>
                    <a:xfrm>
                      <a:off x="0" y="0"/>
                      <a:ext cx="2792950" cy="2803115"/>
                    </a:xfrm>
                    <a:prstGeom prst="rect">
                      <a:avLst/>
                    </a:prstGeom>
                  </pic:spPr>
                </pic:pic>
              </a:graphicData>
            </a:graphic>
          </wp:inline>
        </w:drawing>
      </w:r>
    </w:p>
    <w:p w14:paraId="0D3AA7AE" w14:textId="77777777" w:rsidR="00F3464F" w:rsidRPr="004E7A6C" w:rsidRDefault="00F3464F"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19F02A86" w:rsidR="008C2CBB" w:rsidRDefault="000A1FBF" w:rsidP="00CC6665">
      <w:pPr>
        <w:pStyle w:val="NoSpacing"/>
        <w:spacing w:line="276" w:lineRule="auto"/>
      </w:pPr>
      <w:r w:rsidRPr="000A1FBF">
        <w:t>The proposal seeks planning permission for the installation of 95 ground</w:t>
      </w:r>
      <w:r w:rsidRPr="000A1FBF">
        <w:rPr>
          <w:rFonts w:ascii="Cambria Math" w:hAnsi="Cambria Math" w:cs="Cambria Math"/>
        </w:rPr>
        <w:t>‑</w:t>
      </w:r>
      <w:r w:rsidRPr="000A1FBF">
        <w:t>mounted monocrystalline 475W solar photovoltaic panels within an agricultural field associated with Holt Farm. The array would be positioned on a low</w:t>
      </w:r>
      <w:r w:rsidRPr="000A1FBF">
        <w:rPr>
          <w:rFonts w:ascii="Cambria Math" w:hAnsi="Cambria Math" w:cs="Cambria Math"/>
        </w:rPr>
        <w:t>‑</w:t>
      </w:r>
      <w:r w:rsidRPr="000A1FBF">
        <w:t>profile, ballasted racking system with no ground penetration, with the highest point of the panels sitting approximately 0.4m above ground level.</w:t>
      </w:r>
    </w:p>
    <w:p w14:paraId="0092236C" w14:textId="77777777" w:rsidR="000A1FBF" w:rsidRPr="00075C07" w:rsidRDefault="000A1FBF"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620522E2" w14:textId="77777777" w:rsidR="009830C6" w:rsidRDefault="009830C6" w:rsidP="00E8642F">
      <w:pPr>
        <w:spacing w:line="276" w:lineRule="auto"/>
        <w:jc w:val="both"/>
        <w:rPr>
          <w:rFonts w:ascii="Arial" w:hAnsi="Arial" w:cs="Arial"/>
          <w:color w:val="FF0000"/>
          <w:sz w:val="22"/>
          <w:szCs w:val="22"/>
        </w:rPr>
      </w:pPr>
    </w:p>
    <w:p w14:paraId="78A5B4A9" w14:textId="799A14EC" w:rsidR="00E8642F" w:rsidRPr="00E8642F" w:rsidRDefault="00E8642F" w:rsidP="00E8642F">
      <w:pPr>
        <w:spacing w:line="276" w:lineRule="auto"/>
        <w:jc w:val="both"/>
        <w:rPr>
          <w:rFonts w:ascii="Arial" w:hAnsi="Arial" w:cs="Arial"/>
          <w:sz w:val="22"/>
          <w:szCs w:val="22"/>
        </w:rPr>
      </w:pPr>
      <w:r w:rsidRPr="00E8642F">
        <w:rPr>
          <w:rFonts w:ascii="Arial" w:hAnsi="Arial" w:cs="Arial"/>
          <w:sz w:val="22"/>
          <w:szCs w:val="22"/>
        </w:rPr>
        <w:t xml:space="preserve">The application site comprises an agricultural field forming part of the landholding associated with Holt Farmhouse, located to the south of Holt village. The field is enclosed by established hedgerow and tree cover and lies just south of a small watercourse. Holt Farmhouse, a Grade II listed building, lies approximately 80m to the southeast, marking the start of the Holt Conservation Area, although the proposed development falls just outside its boundary (the wider landholding extends into it). Public Rights of Way HOLT16 runs directly adjacent to the western boundary, with HOLT25 and HOLT18 connecting nearby. The site lies within Flood Zone 1, is not identified as being at risk of surface or groundwater flooding in the Strategic Flood Risk </w:t>
      </w:r>
      <w:proofErr w:type="gramStart"/>
      <w:r w:rsidRPr="00E8642F">
        <w:rPr>
          <w:rFonts w:ascii="Arial" w:hAnsi="Arial" w:cs="Arial"/>
          <w:sz w:val="22"/>
          <w:szCs w:val="22"/>
        </w:rPr>
        <w:t>Assessment, and</w:t>
      </w:r>
      <w:proofErr w:type="gramEnd"/>
      <w:r w:rsidRPr="00E8642F">
        <w:rPr>
          <w:rFonts w:ascii="Arial" w:hAnsi="Arial" w:cs="Arial"/>
          <w:sz w:val="22"/>
          <w:szCs w:val="22"/>
        </w:rPr>
        <w:t xml:space="preserve"> sits outside the Holt Settlement Boundary by approximately 110m. The land also falls within the 4km Core Roost Buffer for the Bath and Bradford on Avon Bats SAC.</w:t>
      </w:r>
    </w:p>
    <w:p w14:paraId="0BFC7D5B" w14:textId="77777777" w:rsidR="00E8642F" w:rsidRPr="00075C07" w:rsidRDefault="00E8642F"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71DB1F15" w14:textId="77777777" w:rsidR="00303570" w:rsidRDefault="00303570" w:rsidP="00CC6665">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92"/>
        <w:gridCol w:w="5913"/>
        <w:gridCol w:w="2625"/>
      </w:tblGrid>
      <w:tr w:rsidR="00516CAC" w14:paraId="341B4A17" w14:textId="77777777" w:rsidTr="00516CAC">
        <w:tc>
          <w:tcPr>
            <w:tcW w:w="1838" w:type="dxa"/>
            <w:shd w:val="clear" w:color="auto" w:fill="F2F2F2" w:themeFill="background1" w:themeFillShade="F2"/>
          </w:tcPr>
          <w:p w14:paraId="78BC7CE8" w14:textId="369B5B3B" w:rsidR="00516CAC" w:rsidRPr="00516CAC" w:rsidRDefault="00516CAC" w:rsidP="00CC6665">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7210C41E" w14:textId="2D941D52" w:rsidR="00516CAC" w:rsidRPr="00516CAC" w:rsidRDefault="00516CAC" w:rsidP="00CC6665">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0840AC36" w14:textId="29D57707" w:rsidR="00516CAC" w:rsidRPr="00516CAC" w:rsidRDefault="00516CAC" w:rsidP="00CC6665">
            <w:pPr>
              <w:spacing w:line="276" w:lineRule="auto"/>
              <w:rPr>
                <w:rFonts w:ascii="Arial" w:hAnsi="Arial" w:cs="Arial"/>
                <w:b/>
                <w:bCs/>
                <w:sz w:val="22"/>
                <w:szCs w:val="22"/>
              </w:rPr>
            </w:pPr>
            <w:r w:rsidRPr="00516CAC">
              <w:rPr>
                <w:rFonts w:ascii="Arial" w:hAnsi="Arial" w:cs="Arial"/>
                <w:b/>
                <w:bCs/>
                <w:sz w:val="22"/>
                <w:szCs w:val="22"/>
              </w:rPr>
              <w:t>Decision</w:t>
            </w:r>
          </w:p>
        </w:tc>
      </w:tr>
      <w:tr w:rsidR="00516CAC" w14:paraId="171B6F49" w14:textId="77777777" w:rsidTr="00516CAC">
        <w:tc>
          <w:tcPr>
            <w:tcW w:w="1838" w:type="dxa"/>
          </w:tcPr>
          <w:p w14:paraId="5E68C8A7" w14:textId="3864C3A8" w:rsidR="00516CAC" w:rsidRDefault="00AD1099" w:rsidP="00CC6665">
            <w:pPr>
              <w:spacing w:line="276" w:lineRule="auto"/>
              <w:rPr>
                <w:rFonts w:ascii="Arial" w:hAnsi="Arial" w:cs="Arial"/>
                <w:sz w:val="22"/>
                <w:szCs w:val="22"/>
              </w:rPr>
            </w:pPr>
            <w:r>
              <w:rPr>
                <w:rFonts w:ascii="Arial" w:hAnsi="Arial" w:cs="Arial"/>
                <w:sz w:val="22"/>
                <w:szCs w:val="22"/>
              </w:rPr>
              <w:t>21/</w:t>
            </w:r>
            <w:r w:rsidR="00224234">
              <w:rPr>
                <w:rFonts w:ascii="Arial" w:hAnsi="Arial" w:cs="Arial"/>
                <w:sz w:val="22"/>
                <w:szCs w:val="22"/>
              </w:rPr>
              <w:t>01854/FUL</w:t>
            </w:r>
          </w:p>
        </w:tc>
        <w:tc>
          <w:tcPr>
            <w:tcW w:w="5954" w:type="dxa"/>
          </w:tcPr>
          <w:p w14:paraId="74E68701" w14:textId="16817BB3" w:rsidR="00516CAC" w:rsidRDefault="00224234" w:rsidP="00CC6665">
            <w:pPr>
              <w:spacing w:line="276" w:lineRule="auto"/>
              <w:rPr>
                <w:rFonts w:ascii="Arial" w:hAnsi="Arial" w:cs="Arial"/>
                <w:sz w:val="22"/>
                <w:szCs w:val="22"/>
              </w:rPr>
            </w:pPr>
            <w:r w:rsidRPr="00224234">
              <w:rPr>
                <w:rFonts w:ascii="Arial" w:hAnsi="Arial" w:cs="Arial"/>
                <w:sz w:val="22"/>
                <w:szCs w:val="22"/>
              </w:rPr>
              <w:t>Installation of ground-mounted Solar PV panels for residential power generation</w:t>
            </w:r>
          </w:p>
        </w:tc>
        <w:tc>
          <w:tcPr>
            <w:tcW w:w="2638" w:type="dxa"/>
          </w:tcPr>
          <w:p w14:paraId="4AD6377C" w14:textId="3C652A91" w:rsidR="00516CAC" w:rsidRDefault="00224234" w:rsidP="00CC6665">
            <w:pPr>
              <w:spacing w:line="276" w:lineRule="auto"/>
              <w:rPr>
                <w:rFonts w:ascii="Arial" w:hAnsi="Arial" w:cs="Arial"/>
                <w:sz w:val="22"/>
                <w:szCs w:val="22"/>
              </w:rPr>
            </w:pPr>
            <w:r>
              <w:rPr>
                <w:rFonts w:ascii="Arial" w:hAnsi="Arial" w:cs="Arial"/>
                <w:sz w:val="22"/>
                <w:szCs w:val="22"/>
              </w:rPr>
              <w:t>Approved</w:t>
            </w:r>
          </w:p>
        </w:tc>
      </w:tr>
      <w:tr w:rsidR="00224234" w14:paraId="4310A752" w14:textId="77777777" w:rsidTr="00516CAC">
        <w:tc>
          <w:tcPr>
            <w:tcW w:w="1838" w:type="dxa"/>
          </w:tcPr>
          <w:p w14:paraId="46440C37" w14:textId="6AA59E19" w:rsidR="00224234" w:rsidRDefault="00D425A3" w:rsidP="00CC6665">
            <w:pPr>
              <w:spacing w:line="276" w:lineRule="auto"/>
              <w:rPr>
                <w:rFonts w:ascii="Arial" w:hAnsi="Arial" w:cs="Arial"/>
                <w:sz w:val="22"/>
                <w:szCs w:val="22"/>
              </w:rPr>
            </w:pPr>
            <w:r w:rsidRPr="00D425A3">
              <w:rPr>
                <w:rFonts w:ascii="Arial" w:hAnsi="Arial" w:cs="Arial"/>
                <w:sz w:val="22"/>
                <w:szCs w:val="22"/>
                <w:lang w:val="en-GB"/>
              </w:rPr>
              <w:t>13/01777/FUL</w:t>
            </w:r>
          </w:p>
        </w:tc>
        <w:tc>
          <w:tcPr>
            <w:tcW w:w="5954" w:type="dxa"/>
          </w:tcPr>
          <w:p w14:paraId="3B9578EA" w14:textId="6B460AFC" w:rsidR="00224234" w:rsidRPr="00224234" w:rsidRDefault="00D425A3" w:rsidP="00CC6665">
            <w:pPr>
              <w:spacing w:line="276" w:lineRule="auto"/>
              <w:rPr>
                <w:rFonts w:ascii="Arial" w:hAnsi="Arial" w:cs="Arial"/>
                <w:sz w:val="22"/>
                <w:szCs w:val="22"/>
              </w:rPr>
            </w:pPr>
            <w:r w:rsidRPr="00D425A3">
              <w:rPr>
                <w:rFonts w:ascii="Arial" w:hAnsi="Arial" w:cs="Arial"/>
                <w:sz w:val="22"/>
                <w:szCs w:val="22"/>
              </w:rPr>
              <w:t>Conversion of cow byre into an artist's studio and storage</w:t>
            </w:r>
          </w:p>
        </w:tc>
        <w:tc>
          <w:tcPr>
            <w:tcW w:w="2638" w:type="dxa"/>
          </w:tcPr>
          <w:p w14:paraId="704C882A" w14:textId="3D34742C" w:rsidR="00224234" w:rsidRDefault="00D425A3" w:rsidP="00CC6665">
            <w:pPr>
              <w:spacing w:line="276" w:lineRule="auto"/>
              <w:rPr>
                <w:rFonts w:ascii="Arial" w:hAnsi="Arial" w:cs="Arial"/>
                <w:sz w:val="22"/>
                <w:szCs w:val="22"/>
              </w:rPr>
            </w:pPr>
            <w:r>
              <w:rPr>
                <w:rFonts w:ascii="Arial" w:hAnsi="Arial" w:cs="Arial"/>
                <w:sz w:val="22"/>
                <w:szCs w:val="22"/>
              </w:rPr>
              <w:t>Approved</w:t>
            </w:r>
          </w:p>
        </w:tc>
      </w:tr>
      <w:tr w:rsidR="00D425A3" w14:paraId="57E7B3B3" w14:textId="77777777" w:rsidTr="00516CAC">
        <w:tc>
          <w:tcPr>
            <w:tcW w:w="1838" w:type="dxa"/>
          </w:tcPr>
          <w:p w14:paraId="27419EA4" w14:textId="526C2446" w:rsidR="00D425A3" w:rsidRPr="00D425A3" w:rsidRDefault="003206DE" w:rsidP="00CC6665">
            <w:pPr>
              <w:spacing w:line="276" w:lineRule="auto"/>
              <w:rPr>
                <w:rFonts w:ascii="Arial" w:hAnsi="Arial" w:cs="Arial"/>
                <w:sz w:val="22"/>
                <w:szCs w:val="22"/>
              </w:rPr>
            </w:pPr>
            <w:r w:rsidRPr="003206DE">
              <w:rPr>
                <w:rFonts w:ascii="Arial" w:hAnsi="Arial" w:cs="Arial"/>
                <w:sz w:val="22"/>
                <w:szCs w:val="22"/>
                <w:lang w:val="en-GB"/>
              </w:rPr>
              <w:t>13/01797/LBC</w:t>
            </w:r>
          </w:p>
        </w:tc>
        <w:tc>
          <w:tcPr>
            <w:tcW w:w="5954" w:type="dxa"/>
          </w:tcPr>
          <w:p w14:paraId="1B6FB8D2" w14:textId="262D22CB" w:rsidR="00D425A3" w:rsidRPr="00D425A3" w:rsidRDefault="003206DE" w:rsidP="00CC6665">
            <w:pPr>
              <w:spacing w:line="276" w:lineRule="auto"/>
              <w:rPr>
                <w:rFonts w:ascii="Arial" w:hAnsi="Arial" w:cs="Arial"/>
                <w:sz w:val="22"/>
                <w:szCs w:val="22"/>
              </w:rPr>
            </w:pPr>
            <w:r w:rsidRPr="003206DE">
              <w:rPr>
                <w:rFonts w:ascii="Arial" w:hAnsi="Arial" w:cs="Arial"/>
                <w:sz w:val="22"/>
                <w:szCs w:val="22"/>
                <w:lang w:val="en-GB"/>
              </w:rPr>
              <w:t>Conversion of cow byre into an artist's studio and storage</w:t>
            </w:r>
          </w:p>
        </w:tc>
        <w:tc>
          <w:tcPr>
            <w:tcW w:w="2638" w:type="dxa"/>
          </w:tcPr>
          <w:p w14:paraId="28120F75" w14:textId="2DFF3933" w:rsidR="00D425A3" w:rsidRDefault="003206DE" w:rsidP="00CC6665">
            <w:pPr>
              <w:spacing w:line="276" w:lineRule="auto"/>
              <w:rPr>
                <w:rFonts w:ascii="Arial" w:hAnsi="Arial" w:cs="Arial"/>
                <w:sz w:val="22"/>
                <w:szCs w:val="22"/>
              </w:rPr>
            </w:pPr>
            <w:r>
              <w:rPr>
                <w:rFonts w:ascii="Arial" w:hAnsi="Arial" w:cs="Arial"/>
                <w:sz w:val="22"/>
                <w:szCs w:val="22"/>
              </w:rPr>
              <w:t>Approved</w:t>
            </w:r>
          </w:p>
        </w:tc>
      </w:tr>
      <w:tr w:rsidR="00FA797E" w14:paraId="635EB8DE" w14:textId="77777777" w:rsidTr="00516CAC">
        <w:tc>
          <w:tcPr>
            <w:tcW w:w="1838" w:type="dxa"/>
          </w:tcPr>
          <w:p w14:paraId="6F95603E" w14:textId="663CB5E0" w:rsidR="00FA797E" w:rsidRPr="003206DE" w:rsidRDefault="00FA797E" w:rsidP="00CC6665">
            <w:pPr>
              <w:spacing w:line="276" w:lineRule="auto"/>
              <w:rPr>
                <w:rFonts w:ascii="Arial" w:hAnsi="Arial" w:cs="Arial"/>
                <w:sz w:val="22"/>
                <w:szCs w:val="22"/>
              </w:rPr>
            </w:pPr>
            <w:r w:rsidRPr="00FA797E">
              <w:rPr>
                <w:rFonts w:ascii="Arial" w:hAnsi="Arial" w:cs="Arial"/>
                <w:sz w:val="22"/>
                <w:szCs w:val="22"/>
              </w:rPr>
              <w:t>W/05/02736/LBC</w:t>
            </w:r>
          </w:p>
        </w:tc>
        <w:tc>
          <w:tcPr>
            <w:tcW w:w="5954" w:type="dxa"/>
          </w:tcPr>
          <w:p w14:paraId="509A2D7F" w14:textId="75F666F2" w:rsidR="00FA797E" w:rsidRPr="003206DE" w:rsidRDefault="009830C6" w:rsidP="00CC6665">
            <w:pPr>
              <w:spacing w:line="276" w:lineRule="auto"/>
              <w:rPr>
                <w:rFonts w:ascii="Arial" w:hAnsi="Arial" w:cs="Arial"/>
                <w:sz w:val="22"/>
                <w:szCs w:val="22"/>
              </w:rPr>
            </w:pPr>
            <w:r w:rsidRPr="009830C6">
              <w:rPr>
                <w:rFonts w:ascii="Arial" w:hAnsi="Arial" w:cs="Arial"/>
                <w:sz w:val="22"/>
                <w:szCs w:val="22"/>
              </w:rPr>
              <w:t xml:space="preserve">Replace current white </w:t>
            </w:r>
            <w:proofErr w:type="spellStart"/>
            <w:r w:rsidRPr="009830C6">
              <w:rPr>
                <w:rFonts w:ascii="Arial" w:hAnsi="Arial" w:cs="Arial"/>
                <w:sz w:val="22"/>
                <w:szCs w:val="22"/>
              </w:rPr>
              <w:t>aluminium</w:t>
            </w:r>
            <w:proofErr w:type="spellEnd"/>
            <w:r w:rsidRPr="009830C6">
              <w:rPr>
                <w:rFonts w:ascii="Arial" w:hAnsi="Arial" w:cs="Arial"/>
                <w:sz w:val="22"/>
                <w:szCs w:val="22"/>
              </w:rPr>
              <w:t xml:space="preserve"> double glazed units within the stone mullion surrounds with black metal windows</w:t>
            </w:r>
          </w:p>
        </w:tc>
        <w:tc>
          <w:tcPr>
            <w:tcW w:w="2638" w:type="dxa"/>
          </w:tcPr>
          <w:p w14:paraId="45D04E75" w14:textId="6E19FC71" w:rsidR="00FA797E" w:rsidRDefault="009830C6" w:rsidP="00CC6665">
            <w:pPr>
              <w:spacing w:line="276" w:lineRule="auto"/>
              <w:rPr>
                <w:rFonts w:ascii="Arial" w:hAnsi="Arial" w:cs="Arial"/>
                <w:sz w:val="22"/>
                <w:szCs w:val="22"/>
              </w:rPr>
            </w:pPr>
            <w:r>
              <w:rPr>
                <w:rFonts w:ascii="Arial" w:hAnsi="Arial" w:cs="Arial"/>
                <w:sz w:val="22"/>
                <w:szCs w:val="22"/>
              </w:rPr>
              <w:t>Approved</w:t>
            </w:r>
          </w:p>
        </w:tc>
      </w:tr>
    </w:tbl>
    <w:p w14:paraId="44FA15AD" w14:textId="77777777" w:rsidR="00E8642F" w:rsidRPr="00075C07" w:rsidRDefault="00E8642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F41A16" w:rsidRDefault="00C53B6A" w:rsidP="00CC6665">
      <w:pPr>
        <w:spacing w:line="276" w:lineRule="auto"/>
        <w:rPr>
          <w:rFonts w:ascii="Arial" w:hAnsi="Arial" w:cs="Arial"/>
          <w:sz w:val="22"/>
          <w:szCs w:val="22"/>
        </w:rPr>
      </w:pPr>
    </w:p>
    <w:p w14:paraId="10B576DA" w14:textId="1112F6FD" w:rsidR="00C53B6A" w:rsidRPr="00F41A16" w:rsidRDefault="00C53B6A"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1</w:t>
      </w:r>
      <w:r w:rsidR="00601AAD" w:rsidRPr="00F41A16">
        <w:rPr>
          <w:rFonts w:ascii="Arial" w:hAnsi="Arial" w:cs="Arial"/>
          <w:sz w:val="22"/>
          <w:szCs w:val="22"/>
        </w:rPr>
        <w:tab/>
      </w:r>
      <w:r w:rsidR="00601AAD" w:rsidRPr="00F41A16">
        <w:rPr>
          <w:rFonts w:ascii="Arial" w:hAnsi="Arial" w:cs="Arial"/>
          <w:sz w:val="22"/>
          <w:szCs w:val="22"/>
        </w:rPr>
        <w:tab/>
      </w:r>
      <w:r w:rsidRPr="00F41A16">
        <w:rPr>
          <w:rFonts w:ascii="Arial" w:hAnsi="Arial" w:cs="Arial"/>
          <w:sz w:val="22"/>
          <w:szCs w:val="22"/>
        </w:rPr>
        <w:t xml:space="preserve">Settlement </w:t>
      </w:r>
      <w:proofErr w:type="gramStart"/>
      <w:r w:rsidR="007A61A7" w:rsidRPr="00F41A16">
        <w:rPr>
          <w:rFonts w:ascii="Arial" w:hAnsi="Arial" w:cs="Arial"/>
          <w:sz w:val="22"/>
          <w:szCs w:val="22"/>
        </w:rPr>
        <w:t>S</w:t>
      </w:r>
      <w:r w:rsidRPr="00F41A16">
        <w:rPr>
          <w:rFonts w:ascii="Arial" w:hAnsi="Arial" w:cs="Arial"/>
          <w:sz w:val="22"/>
          <w:szCs w:val="22"/>
        </w:rPr>
        <w:t>trategy;</w:t>
      </w:r>
      <w:proofErr w:type="gramEnd"/>
      <w:r w:rsidRPr="00F41A16">
        <w:rPr>
          <w:rFonts w:ascii="Arial" w:hAnsi="Arial" w:cs="Arial"/>
          <w:sz w:val="22"/>
          <w:szCs w:val="22"/>
        </w:rPr>
        <w:t xml:space="preserve"> </w:t>
      </w:r>
    </w:p>
    <w:p w14:paraId="476E7C45" w14:textId="745033F9" w:rsidR="00DC64E7" w:rsidRPr="00F41A16" w:rsidRDefault="00C53B6A"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2</w:t>
      </w:r>
      <w:r w:rsidR="00601AAD" w:rsidRPr="00F41A16">
        <w:rPr>
          <w:rFonts w:ascii="Arial" w:hAnsi="Arial" w:cs="Arial"/>
          <w:sz w:val="22"/>
          <w:szCs w:val="22"/>
        </w:rPr>
        <w:t xml:space="preserve"> </w:t>
      </w:r>
      <w:r w:rsidR="00601AAD" w:rsidRPr="00F41A16">
        <w:rPr>
          <w:rFonts w:ascii="Arial" w:hAnsi="Arial" w:cs="Arial"/>
          <w:sz w:val="22"/>
          <w:szCs w:val="22"/>
        </w:rPr>
        <w:tab/>
      </w:r>
      <w:r w:rsidR="00601AAD" w:rsidRPr="00F41A16">
        <w:rPr>
          <w:rFonts w:ascii="Arial" w:hAnsi="Arial" w:cs="Arial"/>
          <w:sz w:val="22"/>
          <w:szCs w:val="22"/>
        </w:rPr>
        <w:tab/>
      </w:r>
      <w:r w:rsidRPr="00F41A16">
        <w:rPr>
          <w:rFonts w:ascii="Arial" w:hAnsi="Arial" w:cs="Arial"/>
          <w:sz w:val="22"/>
          <w:szCs w:val="22"/>
        </w:rPr>
        <w:t xml:space="preserve">Delivery </w:t>
      </w:r>
      <w:proofErr w:type="gramStart"/>
      <w:r w:rsidR="007A61A7" w:rsidRPr="00F41A16">
        <w:rPr>
          <w:rFonts w:ascii="Arial" w:hAnsi="Arial" w:cs="Arial"/>
          <w:sz w:val="22"/>
          <w:szCs w:val="22"/>
        </w:rPr>
        <w:t>S</w:t>
      </w:r>
      <w:r w:rsidRPr="00F41A16">
        <w:rPr>
          <w:rFonts w:ascii="Arial" w:hAnsi="Arial" w:cs="Arial"/>
          <w:sz w:val="22"/>
          <w:szCs w:val="22"/>
        </w:rPr>
        <w:t>trategy;</w:t>
      </w:r>
      <w:proofErr w:type="gramEnd"/>
    </w:p>
    <w:p w14:paraId="1C9D5639" w14:textId="373A7C64" w:rsidR="00C53B6A" w:rsidRDefault="00DC64E7"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 xml:space="preserve">Core Policy </w:t>
      </w:r>
      <w:r w:rsidR="00FD72F3" w:rsidRPr="00F41A16">
        <w:rPr>
          <w:rFonts w:ascii="Arial" w:hAnsi="Arial" w:cs="Arial"/>
          <w:sz w:val="22"/>
          <w:szCs w:val="22"/>
        </w:rPr>
        <w:t>7</w:t>
      </w:r>
      <w:r w:rsidR="00FD72F3" w:rsidRPr="00F41A16">
        <w:rPr>
          <w:rFonts w:ascii="Arial" w:hAnsi="Arial" w:cs="Arial"/>
          <w:sz w:val="22"/>
          <w:szCs w:val="22"/>
        </w:rPr>
        <w:tab/>
      </w:r>
      <w:r w:rsidRPr="00F41A16">
        <w:rPr>
          <w:rFonts w:ascii="Arial" w:hAnsi="Arial" w:cs="Arial"/>
          <w:sz w:val="22"/>
          <w:szCs w:val="22"/>
        </w:rPr>
        <w:t xml:space="preserve"> </w:t>
      </w:r>
      <w:r w:rsidRPr="00F41A16">
        <w:rPr>
          <w:rFonts w:ascii="Arial" w:hAnsi="Arial" w:cs="Arial"/>
          <w:sz w:val="22"/>
          <w:szCs w:val="22"/>
        </w:rPr>
        <w:tab/>
        <w:t xml:space="preserve">Spatial </w:t>
      </w:r>
      <w:r w:rsidR="007A61A7" w:rsidRPr="00F41A16">
        <w:rPr>
          <w:rFonts w:ascii="Arial" w:hAnsi="Arial" w:cs="Arial"/>
          <w:sz w:val="22"/>
          <w:szCs w:val="22"/>
        </w:rPr>
        <w:t>S</w:t>
      </w:r>
      <w:r w:rsidRPr="00F41A16">
        <w:rPr>
          <w:rFonts w:ascii="Arial" w:hAnsi="Arial" w:cs="Arial"/>
          <w:sz w:val="22"/>
          <w:szCs w:val="22"/>
        </w:rPr>
        <w:t>trate</w:t>
      </w:r>
      <w:r w:rsidR="007336B3" w:rsidRPr="00F41A16">
        <w:rPr>
          <w:rFonts w:ascii="Arial" w:hAnsi="Arial" w:cs="Arial"/>
          <w:sz w:val="22"/>
          <w:szCs w:val="22"/>
        </w:rPr>
        <w:t>g</w:t>
      </w:r>
      <w:r w:rsidR="008E5C53" w:rsidRPr="00F41A16">
        <w:rPr>
          <w:rFonts w:ascii="Arial" w:hAnsi="Arial" w:cs="Arial"/>
          <w:sz w:val="22"/>
          <w:szCs w:val="22"/>
        </w:rPr>
        <w:t>y:</w:t>
      </w:r>
      <w:r w:rsidR="00FD72F3" w:rsidRPr="00F41A16">
        <w:rPr>
          <w:rFonts w:ascii="Arial" w:hAnsi="Arial" w:cs="Arial"/>
          <w:sz w:val="22"/>
          <w:szCs w:val="22"/>
        </w:rPr>
        <w:t xml:space="preserve"> Bradford on Avon Community </w:t>
      </w:r>
      <w:proofErr w:type="gramStart"/>
      <w:r w:rsidR="00FD72F3" w:rsidRPr="00F41A16">
        <w:rPr>
          <w:rFonts w:ascii="Arial" w:hAnsi="Arial" w:cs="Arial"/>
          <w:sz w:val="22"/>
          <w:szCs w:val="22"/>
        </w:rPr>
        <w:t>Area;</w:t>
      </w:r>
      <w:proofErr w:type="gramEnd"/>
    </w:p>
    <w:p w14:paraId="1430059D" w14:textId="787EF51A" w:rsidR="00F766E6" w:rsidRPr="00F41A16" w:rsidRDefault="00F766E6"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41</w:t>
      </w:r>
      <w:r>
        <w:rPr>
          <w:rFonts w:ascii="Arial" w:hAnsi="Arial" w:cs="Arial"/>
          <w:sz w:val="22"/>
          <w:szCs w:val="22"/>
        </w:rPr>
        <w:tab/>
      </w:r>
      <w:r>
        <w:rPr>
          <w:rFonts w:ascii="Arial" w:hAnsi="Arial" w:cs="Arial"/>
          <w:sz w:val="22"/>
          <w:szCs w:val="22"/>
        </w:rPr>
        <w:tab/>
        <w:t xml:space="preserve">Sustainable Construction and Low-Carbon </w:t>
      </w:r>
      <w:proofErr w:type="gramStart"/>
      <w:r>
        <w:rPr>
          <w:rFonts w:ascii="Arial" w:hAnsi="Arial" w:cs="Arial"/>
          <w:sz w:val="22"/>
          <w:szCs w:val="22"/>
        </w:rPr>
        <w:t>Energy;</w:t>
      </w:r>
      <w:proofErr w:type="gramEnd"/>
    </w:p>
    <w:p w14:paraId="0BA8CD32" w14:textId="7B02DCA5" w:rsidR="000401C9" w:rsidRPr="00F41A16" w:rsidRDefault="000401C9"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42</w:t>
      </w:r>
      <w:r w:rsidRPr="00F41A16">
        <w:rPr>
          <w:rFonts w:ascii="Arial" w:hAnsi="Arial" w:cs="Arial"/>
          <w:sz w:val="22"/>
          <w:szCs w:val="22"/>
        </w:rPr>
        <w:tab/>
      </w:r>
      <w:r w:rsidRPr="00F41A16">
        <w:rPr>
          <w:rFonts w:ascii="Arial" w:hAnsi="Arial" w:cs="Arial"/>
          <w:sz w:val="22"/>
          <w:szCs w:val="22"/>
        </w:rPr>
        <w:tab/>
        <w:t xml:space="preserve">Standalone Renewable Energy </w:t>
      </w:r>
      <w:proofErr w:type="gramStart"/>
      <w:r w:rsidRPr="00F41A16">
        <w:rPr>
          <w:rFonts w:ascii="Arial" w:hAnsi="Arial" w:cs="Arial"/>
          <w:sz w:val="22"/>
          <w:szCs w:val="22"/>
        </w:rPr>
        <w:t>Installations;</w:t>
      </w:r>
      <w:proofErr w:type="gramEnd"/>
    </w:p>
    <w:p w14:paraId="72359717" w14:textId="5D2923D3" w:rsidR="007336B3" w:rsidRPr="00F41A16" w:rsidRDefault="007336B3"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50</w:t>
      </w:r>
      <w:r w:rsidRPr="00F41A16">
        <w:rPr>
          <w:rFonts w:ascii="Arial" w:hAnsi="Arial" w:cs="Arial"/>
          <w:sz w:val="22"/>
          <w:szCs w:val="22"/>
        </w:rPr>
        <w:tab/>
      </w:r>
      <w:r w:rsidRPr="00F41A16">
        <w:rPr>
          <w:rFonts w:ascii="Arial" w:hAnsi="Arial" w:cs="Arial"/>
          <w:sz w:val="22"/>
          <w:szCs w:val="22"/>
        </w:rPr>
        <w:tab/>
        <w:t xml:space="preserve">Biodiversity and </w:t>
      </w:r>
      <w:proofErr w:type="gramStart"/>
      <w:r w:rsidRPr="00F41A16">
        <w:rPr>
          <w:rFonts w:ascii="Arial" w:hAnsi="Arial" w:cs="Arial"/>
          <w:sz w:val="22"/>
          <w:szCs w:val="22"/>
        </w:rPr>
        <w:t>Geodiversity;</w:t>
      </w:r>
      <w:proofErr w:type="gramEnd"/>
    </w:p>
    <w:p w14:paraId="2C9A8F56" w14:textId="6C82D516" w:rsidR="00C53B6A" w:rsidRPr="00F41A16" w:rsidRDefault="00C53B6A"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51</w:t>
      </w:r>
      <w:r w:rsidR="00601AAD" w:rsidRPr="00F41A16">
        <w:rPr>
          <w:rFonts w:ascii="Arial" w:hAnsi="Arial" w:cs="Arial"/>
          <w:sz w:val="22"/>
          <w:szCs w:val="22"/>
        </w:rPr>
        <w:t xml:space="preserve"> </w:t>
      </w:r>
      <w:r w:rsidR="00601AAD" w:rsidRPr="00F41A16">
        <w:rPr>
          <w:rFonts w:ascii="Arial" w:hAnsi="Arial" w:cs="Arial"/>
          <w:sz w:val="22"/>
          <w:szCs w:val="22"/>
        </w:rPr>
        <w:tab/>
      </w:r>
      <w:proofErr w:type="gramStart"/>
      <w:r w:rsidRPr="00F41A16">
        <w:rPr>
          <w:rFonts w:ascii="Arial" w:hAnsi="Arial" w:cs="Arial"/>
          <w:sz w:val="22"/>
          <w:szCs w:val="22"/>
        </w:rPr>
        <w:t>Landscape;</w:t>
      </w:r>
      <w:proofErr w:type="gramEnd"/>
      <w:r w:rsidRPr="00F41A16">
        <w:rPr>
          <w:rFonts w:ascii="Arial" w:hAnsi="Arial" w:cs="Arial"/>
          <w:sz w:val="22"/>
          <w:szCs w:val="22"/>
        </w:rPr>
        <w:t xml:space="preserve"> </w:t>
      </w:r>
    </w:p>
    <w:p w14:paraId="40D32787" w14:textId="78D7E7D9" w:rsidR="00A938B9" w:rsidRPr="00F41A16" w:rsidRDefault="00C53B6A"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57</w:t>
      </w:r>
      <w:r w:rsidR="00601AAD" w:rsidRPr="00F41A16">
        <w:rPr>
          <w:rFonts w:ascii="Arial" w:hAnsi="Arial" w:cs="Arial"/>
          <w:sz w:val="22"/>
          <w:szCs w:val="22"/>
        </w:rPr>
        <w:t xml:space="preserve"> </w:t>
      </w:r>
      <w:r w:rsidR="00601AAD" w:rsidRPr="00F41A16">
        <w:rPr>
          <w:rFonts w:ascii="Arial" w:hAnsi="Arial" w:cs="Arial"/>
          <w:sz w:val="22"/>
          <w:szCs w:val="22"/>
        </w:rPr>
        <w:tab/>
      </w:r>
      <w:r w:rsidRPr="00F41A16">
        <w:rPr>
          <w:rFonts w:ascii="Arial" w:hAnsi="Arial" w:cs="Arial"/>
          <w:sz w:val="22"/>
          <w:szCs w:val="22"/>
        </w:rPr>
        <w:t xml:space="preserve">Ensuring </w:t>
      </w:r>
      <w:r w:rsidR="007A61A7" w:rsidRPr="00F41A16">
        <w:rPr>
          <w:rFonts w:ascii="Arial" w:hAnsi="Arial" w:cs="Arial"/>
          <w:sz w:val="22"/>
          <w:szCs w:val="22"/>
        </w:rPr>
        <w:t>H</w:t>
      </w:r>
      <w:r w:rsidRPr="00F41A16">
        <w:rPr>
          <w:rFonts w:ascii="Arial" w:hAnsi="Arial" w:cs="Arial"/>
          <w:sz w:val="22"/>
          <w:szCs w:val="22"/>
        </w:rPr>
        <w:t>igh-</w:t>
      </w:r>
      <w:r w:rsidR="007A61A7" w:rsidRPr="00F41A16">
        <w:rPr>
          <w:rFonts w:ascii="Arial" w:hAnsi="Arial" w:cs="Arial"/>
          <w:sz w:val="22"/>
          <w:szCs w:val="22"/>
        </w:rPr>
        <w:t>Q</w:t>
      </w:r>
      <w:r w:rsidRPr="00F41A16">
        <w:rPr>
          <w:rFonts w:ascii="Arial" w:hAnsi="Arial" w:cs="Arial"/>
          <w:sz w:val="22"/>
          <w:szCs w:val="22"/>
        </w:rPr>
        <w:t xml:space="preserve">uality </w:t>
      </w:r>
      <w:r w:rsidR="007A61A7" w:rsidRPr="00F41A16">
        <w:rPr>
          <w:rFonts w:ascii="Arial" w:hAnsi="Arial" w:cs="Arial"/>
          <w:sz w:val="22"/>
          <w:szCs w:val="22"/>
        </w:rPr>
        <w:t>D</w:t>
      </w:r>
      <w:r w:rsidRPr="00F41A16">
        <w:rPr>
          <w:rFonts w:ascii="Arial" w:hAnsi="Arial" w:cs="Arial"/>
          <w:sz w:val="22"/>
          <w:szCs w:val="22"/>
        </w:rPr>
        <w:t xml:space="preserve">esign and </w:t>
      </w:r>
      <w:r w:rsidR="007A61A7" w:rsidRPr="00F41A16">
        <w:rPr>
          <w:rFonts w:ascii="Arial" w:hAnsi="Arial" w:cs="Arial"/>
          <w:sz w:val="22"/>
          <w:szCs w:val="22"/>
        </w:rPr>
        <w:t>P</w:t>
      </w:r>
      <w:r w:rsidRPr="00F41A16">
        <w:rPr>
          <w:rFonts w:ascii="Arial" w:hAnsi="Arial" w:cs="Arial"/>
          <w:sz w:val="22"/>
          <w:szCs w:val="22"/>
        </w:rPr>
        <w:t xml:space="preserve">lace </w:t>
      </w:r>
      <w:proofErr w:type="gramStart"/>
      <w:r w:rsidR="007A61A7" w:rsidRPr="00F41A16">
        <w:rPr>
          <w:rFonts w:ascii="Arial" w:hAnsi="Arial" w:cs="Arial"/>
          <w:sz w:val="22"/>
          <w:szCs w:val="22"/>
        </w:rPr>
        <w:t>S</w:t>
      </w:r>
      <w:r w:rsidRPr="00F41A16">
        <w:rPr>
          <w:rFonts w:ascii="Arial" w:hAnsi="Arial" w:cs="Arial"/>
          <w:sz w:val="22"/>
          <w:szCs w:val="22"/>
        </w:rPr>
        <w:t>haping;</w:t>
      </w:r>
      <w:proofErr w:type="gramEnd"/>
      <w:r w:rsidRPr="00F41A16">
        <w:rPr>
          <w:rFonts w:ascii="Arial" w:hAnsi="Arial" w:cs="Arial"/>
          <w:sz w:val="22"/>
          <w:szCs w:val="22"/>
        </w:rPr>
        <w:t xml:space="preserve"> </w:t>
      </w:r>
    </w:p>
    <w:p w14:paraId="5D5EEFD7" w14:textId="6F800EB9" w:rsidR="00A938B9" w:rsidRPr="00F41A16" w:rsidRDefault="00A938B9"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58</w:t>
      </w:r>
      <w:r w:rsidRPr="00F41A16">
        <w:rPr>
          <w:rFonts w:ascii="Arial" w:hAnsi="Arial" w:cs="Arial"/>
          <w:sz w:val="22"/>
          <w:szCs w:val="22"/>
        </w:rPr>
        <w:tab/>
      </w:r>
      <w:r w:rsidRPr="00F41A16">
        <w:rPr>
          <w:rFonts w:ascii="Arial" w:hAnsi="Arial" w:cs="Arial"/>
          <w:sz w:val="22"/>
          <w:szCs w:val="22"/>
        </w:rPr>
        <w:tab/>
        <w:t xml:space="preserve">Ensuring Conservation of the Historic </w:t>
      </w:r>
      <w:proofErr w:type="gramStart"/>
      <w:r w:rsidRPr="00F41A16">
        <w:rPr>
          <w:rFonts w:ascii="Arial" w:hAnsi="Arial" w:cs="Arial"/>
          <w:sz w:val="22"/>
          <w:szCs w:val="22"/>
        </w:rPr>
        <w:t>Environment;</w:t>
      </w:r>
      <w:proofErr w:type="gramEnd"/>
    </w:p>
    <w:p w14:paraId="11ED6A25" w14:textId="7AF5F23B" w:rsidR="00EB3DCC" w:rsidRPr="00F41A16" w:rsidRDefault="00EB3DCC"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60</w:t>
      </w:r>
      <w:r w:rsidRPr="00F41A16">
        <w:rPr>
          <w:rFonts w:ascii="Arial" w:hAnsi="Arial" w:cs="Arial"/>
          <w:sz w:val="22"/>
          <w:szCs w:val="22"/>
        </w:rPr>
        <w:tab/>
      </w:r>
      <w:r w:rsidRPr="00F41A16">
        <w:rPr>
          <w:rFonts w:ascii="Arial" w:hAnsi="Arial" w:cs="Arial"/>
          <w:sz w:val="22"/>
          <w:szCs w:val="22"/>
        </w:rPr>
        <w:tab/>
        <w:t xml:space="preserve">Sustainable </w:t>
      </w:r>
      <w:proofErr w:type="gramStart"/>
      <w:r w:rsidRPr="00F41A16">
        <w:rPr>
          <w:rFonts w:ascii="Arial" w:hAnsi="Arial" w:cs="Arial"/>
          <w:sz w:val="22"/>
          <w:szCs w:val="22"/>
        </w:rPr>
        <w:t>Transport;</w:t>
      </w:r>
      <w:proofErr w:type="gramEnd"/>
    </w:p>
    <w:p w14:paraId="77A925A7" w14:textId="333FBA5F" w:rsidR="00C53B6A" w:rsidRPr="00F41A16" w:rsidRDefault="00C53B6A"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61</w:t>
      </w:r>
      <w:r w:rsidR="00601AAD" w:rsidRPr="00F41A16">
        <w:rPr>
          <w:rFonts w:ascii="Arial" w:hAnsi="Arial" w:cs="Arial"/>
          <w:sz w:val="22"/>
          <w:szCs w:val="22"/>
        </w:rPr>
        <w:t xml:space="preserve"> </w:t>
      </w:r>
      <w:r w:rsidR="00601AAD" w:rsidRPr="00F41A16">
        <w:rPr>
          <w:rFonts w:ascii="Arial" w:hAnsi="Arial" w:cs="Arial"/>
          <w:sz w:val="22"/>
          <w:szCs w:val="22"/>
        </w:rPr>
        <w:tab/>
      </w:r>
      <w:r w:rsidRPr="00F41A16">
        <w:rPr>
          <w:rFonts w:ascii="Arial" w:hAnsi="Arial" w:cs="Arial"/>
          <w:sz w:val="22"/>
          <w:szCs w:val="22"/>
        </w:rPr>
        <w:t xml:space="preserve">Transport and </w:t>
      </w:r>
      <w:proofErr w:type="gramStart"/>
      <w:r w:rsidRPr="00F41A16">
        <w:rPr>
          <w:rFonts w:ascii="Arial" w:hAnsi="Arial" w:cs="Arial"/>
          <w:sz w:val="22"/>
          <w:szCs w:val="22"/>
        </w:rPr>
        <w:t>Development;</w:t>
      </w:r>
      <w:proofErr w:type="gramEnd"/>
      <w:r w:rsidRPr="00F41A16">
        <w:rPr>
          <w:rFonts w:ascii="Arial" w:hAnsi="Arial" w:cs="Arial"/>
          <w:sz w:val="22"/>
          <w:szCs w:val="22"/>
        </w:rPr>
        <w:t xml:space="preserve"> </w:t>
      </w:r>
    </w:p>
    <w:p w14:paraId="2F1672C7" w14:textId="2EDD9E9D" w:rsidR="00C53B6A" w:rsidRPr="00F41A16" w:rsidRDefault="00C53B6A"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64</w:t>
      </w:r>
      <w:r w:rsidR="00601AAD" w:rsidRPr="00F41A16">
        <w:rPr>
          <w:rFonts w:ascii="Arial" w:hAnsi="Arial" w:cs="Arial"/>
          <w:sz w:val="22"/>
          <w:szCs w:val="22"/>
        </w:rPr>
        <w:t xml:space="preserve"> </w:t>
      </w:r>
      <w:r w:rsidR="00601AAD" w:rsidRPr="00F41A16">
        <w:rPr>
          <w:rFonts w:ascii="Arial" w:hAnsi="Arial" w:cs="Arial"/>
          <w:sz w:val="22"/>
          <w:szCs w:val="22"/>
        </w:rPr>
        <w:tab/>
      </w:r>
      <w:r w:rsidRPr="00F41A16">
        <w:rPr>
          <w:rFonts w:ascii="Arial" w:hAnsi="Arial" w:cs="Arial"/>
          <w:sz w:val="22"/>
          <w:szCs w:val="22"/>
        </w:rPr>
        <w:t xml:space="preserve">Demand </w:t>
      </w:r>
      <w:proofErr w:type="gramStart"/>
      <w:r w:rsidRPr="00F41A16">
        <w:rPr>
          <w:rFonts w:ascii="Arial" w:hAnsi="Arial" w:cs="Arial"/>
          <w:sz w:val="22"/>
          <w:szCs w:val="22"/>
        </w:rPr>
        <w:t>Management;</w:t>
      </w:r>
      <w:proofErr w:type="gramEnd"/>
      <w:r w:rsidRPr="00F41A16">
        <w:rPr>
          <w:rFonts w:ascii="Arial" w:hAnsi="Arial" w:cs="Arial"/>
          <w:sz w:val="22"/>
          <w:szCs w:val="22"/>
        </w:rPr>
        <w:t xml:space="preserve"> </w:t>
      </w:r>
    </w:p>
    <w:p w14:paraId="2911E291" w14:textId="49AA6B9B" w:rsidR="0023524B" w:rsidRPr="00F41A16" w:rsidRDefault="0023524B" w:rsidP="00CC6665">
      <w:pPr>
        <w:autoSpaceDE w:val="0"/>
        <w:autoSpaceDN w:val="0"/>
        <w:adjustRightInd w:val="0"/>
        <w:spacing w:line="276" w:lineRule="auto"/>
        <w:rPr>
          <w:rFonts w:ascii="Arial" w:hAnsi="Arial" w:cs="Arial"/>
          <w:sz w:val="22"/>
          <w:szCs w:val="22"/>
        </w:rPr>
      </w:pPr>
      <w:r w:rsidRPr="00F41A16">
        <w:rPr>
          <w:rFonts w:ascii="Arial" w:hAnsi="Arial" w:cs="Arial"/>
          <w:sz w:val="22"/>
          <w:szCs w:val="22"/>
        </w:rPr>
        <w:t>Core Policy 67</w:t>
      </w:r>
      <w:r w:rsidRPr="00F41A16">
        <w:rPr>
          <w:rFonts w:ascii="Arial" w:hAnsi="Arial" w:cs="Arial"/>
          <w:sz w:val="22"/>
          <w:szCs w:val="22"/>
        </w:rPr>
        <w:tab/>
      </w:r>
      <w:r w:rsidRPr="00F41A16">
        <w:rPr>
          <w:rFonts w:ascii="Arial" w:hAnsi="Arial" w:cs="Arial"/>
          <w:sz w:val="22"/>
          <w:szCs w:val="22"/>
        </w:rPr>
        <w:tab/>
        <w:t xml:space="preserve">Flood </w:t>
      </w:r>
      <w:proofErr w:type="gramStart"/>
      <w:r w:rsidRPr="00F41A16">
        <w:rPr>
          <w:rFonts w:ascii="Arial" w:hAnsi="Arial" w:cs="Arial"/>
          <w:sz w:val="22"/>
          <w:szCs w:val="22"/>
        </w:rPr>
        <w:t>Risk;</w:t>
      </w:r>
      <w:proofErr w:type="gramEnd"/>
    </w:p>
    <w:p w14:paraId="2644B18E" w14:textId="77777777" w:rsidR="00C53B6A" w:rsidRPr="00F41A16" w:rsidRDefault="00C53B6A" w:rsidP="00CC6665">
      <w:pPr>
        <w:spacing w:line="276" w:lineRule="auto"/>
        <w:rPr>
          <w:rFonts w:ascii="Arial" w:hAnsi="Arial" w:cs="Arial"/>
          <w:sz w:val="22"/>
          <w:szCs w:val="22"/>
        </w:rPr>
      </w:pPr>
    </w:p>
    <w:p w14:paraId="3D48D6A0" w14:textId="3E99136E" w:rsidR="00DC4F3E" w:rsidRPr="00F41A16" w:rsidRDefault="004D103C" w:rsidP="00CC6665">
      <w:pPr>
        <w:spacing w:line="276" w:lineRule="auto"/>
        <w:rPr>
          <w:rFonts w:ascii="Arial" w:hAnsi="Arial" w:cs="Arial"/>
          <w:sz w:val="22"/>
          <w:szCs w:val="22"/>
          <w:u w:val="single"/>
        </w:rPr>
      </w:pPr>
      <w:r w:rsidRPr="00F41A16">
        <w:rPr>
          <w:rFonts w:ascii="Arial" w:hAnsi="Arial" w:cs="Arial"/>
          <w:sz w:val="22"/>
          <w:szCs w:val="22"/>
          <w:u w:val="single"/>
        </w:rPr>
        <w:t>Holt Neighbourhood Plan 2016 to 2026 (January 2017)</w:t>
      </w:r>
    </w:p>
    <w:p w14:paraId="64F53B99" w14:textId="77777777" w:rsidR="00DC4F3E" w:rsidRPr="00F41A16" w:rsidRDefault="00DC4F3E" w:rsidP="00CC6665">
      <w:pPr>
        <w:spacing w:line="276" w:lineRule="auto"/>
        <w:rPr>
          <w:rFonts w:ascii="Arial" w:hAnsi="Arial" w:cs="Arial"/>
          <w:sz w:val="22"/>
          <w:szCs w:val="22"/>
          <w:u w:val="single"/>
        </w:rPr>
      </w:pPr>
    </w:p>
    <w:p w14:paraId="216DEAEC" w14:textId="69A7C9CA" w:rsidR="00DC4F3E" w:rsidRPr="00F41A16" w:rsidRDefault="00DC4F3E" w:rsidP="00CC6665">
      <w:pPr>
        <w:spacing w:line="276" w:lineRule="auto"/>
        <w:rPr>
          <w:rFonts w:ascii="Arial" w:hAnsi="Arial" w:cs="Arial"/>
          <w:sz w:val="22"/>
          <w:szCs w:val="22"/>
          <w:u w:val="single"/>
        </w:rPr>
      </w:pPr>
      <w:bookmarkStart w:id="0" w:name="_Hlk212452795"/>
      <w:bookmarkStart w:id="1" w:name="_Hlk212461860"/>
      <w:r w:rsidRPr="00F41A16">
        <w:rPr>
          <w:rFonts w:ascii="Arial" w:hAnsi="Arial" w:cs="Arial"/>
          <w:sz w:val="22"/>
          <w:szCs w:val="22"/>
          <w:u w:val="single"/>
        </w:rPr>
        <w:t>The National Planning Policy Framework (NPPF)</w:t>
      </w:r>
    </w:p>
    <w:p w14:paraId="50EC27A0" w14:textId="77777777" w:rsidR="00DC4F3E" w:rsidRPr="00F41A16" w:rsidRDefault="00DC4F3E" w:rsidP="00CC6665">
      <w:pPr>
        <w:spacing w:line="276" w:lineRule="auto"/>
        <w:rPr>
          <w:rFonts w:ascii="Arial" w:hAnsi="Arial" w:cs="Arial"/>
          <w:sz w:val="22"/>
          <w:szCs w:val="22"/>
          <w:u w:val="single"/>
        </w:rPr>
      </w:pPr>
    </w:p>
    <w:p w14:paraId="1C924897" w14:textId="5F4037FA" w:rsidR="00DC4F3E" w:rsidRPr="00F41A16" w:rsidRDefault="00DC4F3E" w:rsidP="00CC6665">
      <w:pPr>
        <w:spacing w:line="276" w:lineRule="auto"/>
        <w:rPr>
          <w:rFonts w:ascii="Arial" w:hAnsi="Arial" w:cs="Arial"/>
          <w:sz w:val="22"/>
          <w:szCs w:val="22"/>
          <w:u w:val="single"/>
        </w:rPr>
      </w:pPr>
      <w:r w:rsidRPr="00F41A16">
        <w:rPr>
          <w:rFonts w:ascii="Arial" w:hAnsi="Arial" w:cs="Arial"/>
          <w:sz w:val="22"/>
          <w:szCs w:val="22"/>
          <w:u w:val="single"/>
        </w:rPr>
        <w:t>The Planning Practice Guidance (PPG)</w:t>
      </w:r>
    </w:p>
    <w:p w14:paraId="4930FB06" w14:textId="77777777" w:rsidR="008D6C52" w:rsidRPr="00F41A16" w:rsidRDefault="008D6C52" w:rsidP="00CC6665">
      <w:pPr>
        <w:spacing w:line="276" w:lineRule="auto"/>
        <w:rPr>
          <w:rFonts w:ascii="Arial" w:hAnsi="Arial" w:cs="Arial"/>
          <w:sz w:val="22"/>
          <w:szCs w:val="22"/>
          <w:u w:val="single"/>
        </w:rPr>
      </w:pPr>
    </w:p>
    <w:p w14:paraId="08D91513" w14:textId="3C46A056" w:rsidR="00561AE7" w:rsidRPr="00F41A16" w:rsidRDefault="008D6C52" w:rsidP="00CC6665">
      <w:pPr>
        <w:spacing w:before="20" w:line="276" w:lineRule="auto"/>
        <w:rPr>
          <w:rFonts w:ascii="Arial" w:hAnsi="Arial" w:cs="Arial"/>
          <w:sz w:val="22"/>
          <w:szCs w:val="22"/>
          <w:u w:val="single"/>
        </w:rPr>
      </w:pPr>
      <w:r w:rsidRPr="00F41A16">
        <w:rPr>
          <w:rFonts w:ascii="Arial" w:hAnsi="Arial" w:cs="Arial"/>
          <w:sz w:val="22"/>
          <w:szCs w:val="22"/>
          <w:u w:val="single"/>
        </w:rPr>
        <w:t>Wiltshire Design Guide</w:t>
      </w:r>
    </w:p>
    <w:bookmarkEnd w:id="0"/>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6B3AD6A5" w14:textId="009933D9" w:rsidR="008B781F" w:rsidRDefault="000B0456" w:rsidP="00BB5ED0">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01F955E7" w14:textId="77777777" w:rsidR="000B0456" w:rsidRPr="00F90751" w:rsidRDefault="000B0456" w:rsidP="00BB5ED0">
      <w:pPr>
        <w:pStyle w:val="NormalWeb"/>
        <w:spacing w:before="0" w:beforeAutospacing="0" w:after="0" w:afterAutospacing="0" w:line="276" w:lineRule="auto"/>
        <w:jc w:val="both"/>
        <w:rPr>
          <w:rFonts w:ascii="Arial" w:hAnsi="Arial" w:cs="Arial"/>
          <w:sz w:val="22"/>
          <w:szCs w:val="22"/>
        </w:rPr>
      </w:pPr>
    </w:p>
    <w:p w14:paraId="4405F488" w14:textId="77777777" w:rsidR="00BB5ED0" w:rsidRPr="00F90751"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F90751">
        <w:rPr>
          <w:rFonts w:ascii="Arial" w:hAnsi="Arial" w:cs="Arial"/>
          <w:sz w:val="22"/>
          <w:szCs w:val="22"/>
        </w:rPr>
        <w:t>Policy 1 Settlement Strategy</w:t>
      </w:r>
    </w:p>
    <w:p w14:paraId="3382CE63" w14:textId="77777777" w:rsidR="00BB5ED0" w:rsidRPr="00F90751"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F90751">
        <w:rPr>
          <w:rFonts w:ascii="Arial" w:hAnsi="Arial" w:cs="Arial"/>
          <w:sz w:val="22"/>
          <w:szCs w:val="22"/>
        </w:rPr>
        <w:t>Policy 85 Sustainable construction and low carbon energy</w:t>
      </w:r>
    </w:p>
    <w:p w14:paraId="3C3482A8" w14:textId="77777777" w:rsidR="00BB5ED0" w:rsidRPr="00F90751" w:rsidRDefault="00BB5ED0" w:rsidP="00BB5ED0">
      <w:pPr>
        <w:pStyle w:val="NoSpacing"/>
        <w:numPr>
          <w:ilvl w:val="0"/>
          <w:numId w:val="11"/>
        </w:numPr>
        <w:spacing w:line="276" w:lineRule="auto"/>
      </w:pPr>
      <w:r w:rsidRPr="00F90751">
        <w:t>Policy 88 Biodiversity and Geodiversity</w:t>
      </w:r>
    </w:p>
    <w:p w14:paraId="458546F0" w14:textId="77777777" w:rsidR="00BB5ED0" w:rsidRPr="00F90751" w:rsidRDefault="00BB5ED0" w:rsidP="00BB5ED0">
      <w:pPr>
        <w:pStyle w:val="NoSpacing"/>
        <w:numPr>
          <w:ilvl w:val="0"/>
          <w:numId w:val="11"/>
        </w:numPr>
        <w:spacing w:line="276" w:lineRule="auto"/>
      </w:pPr>
      <w:r w:rsidRPr="00F90751">
        <w:lastRenderedPageBreak/>
        <w:t>Policy 89 Biodiversity Net Gain</w:t>
      </w:r>
    </w:p>
    <w:p w14:paraId="24FF5236" w14:textId="77777777" w:rsidR="00BB5ED0" w:rsidRPr="00F90751" w:rsidRDefault="00BB5ED0" w:rsidP="00BB5ED0">
      <w:pPr>
        <w:pStyle w:val="NoSpacing"/>
        <w:numPr>
          <w:ilvl w:val="0"/>
          <w:numId w:val="11"/>
        </w:numPr>
        <w:spacing w:line="276" w:lineRule="auto"/>
      </w:pPr>
      <w:r w:rsidRPr="00F90751">
        <w:t>Policy 95 Flood Risk</w:t>
      </w:r>
    </w:p>
    <w:p w14:paraId="7201A01B" w14:textId="77777777" w:rsidR="00BB5ED0" w:rsidRPr="00F90751" w:rsidRDefault="00BB5ED0" w:rsidP="00BB5ED0">
      <w:pPr>
        <w:pStyle w:val="NoSpacing"/>
        <w:numPr>
          <w:ilvl w:val="0"/>
          <w:numId w:val="11"/>
        </w:numPr>
        <w:spacing w:line="276" w:lineRule="auto"/>
      </w:pPr>
      <w:r w:rsidRPr="00F90751">
        <w:t>Policy 98 High Quality Design and Place Shaping</w:t>
      </w:r>
    </w:p>
    <w:p w14:paraId="2CB8A2CB" w14:textId="32C462A8" w:rsidR="00F41A16" w:rsidRPr="00F90751" w:rsidRDefault="00F41A16" w:rsidP="00BB5ED0">
      <w:pPr>
        <w:pStyle w:val="NoSpacing"/>
        <w:numPr>
          <w:ilvl w:val="0"/>
          <w:numId w:val="11"/>
        </w:numPr>
        <w:spacing w:line="276" w:lineRule="auto"/>
      </w:pPr>
      <w:r w:rsidRPr="00F90751">
        <w:t xml:space="preserve">Policy 99 </w:t>
      </w:r>
      <w:r w:rsidR="006527F4" w:rsidRPr="00F90751">
        <w:t>Ensuring the Conservation of the Historic Environment</w:t>
      </w:r>
    </w:p>
    <w:p w14:paraId="7BB845CE" w14:textId="595EA1C6"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6B11CE0" w:rsidR="0060536A" w:rsidRPr="00E541D1" w:rsidRDefault="00E90515" w:rsidP="00CC6665">
      <w:pPr>
        <w:spacing w:line="276" w:lineRule="auto"/>
        <w:rPr>
          <w:rFonts w:ascii="Arial" w:hAnsi="Arial" w:cs="Arial"/>
          <w:bCs/>
          <w:sz w:val="22"/>
          <w:szCs w:val="22"/>
          <w:u w:val="single"/>
        </w:rPr>
      </w:pPr>
      <w:r w:rsidRPr="00E541D1">
        <w:rPr>
          <w:rFonts w:ascii="Arial" w:hAnsi="Arial" w:cs="Arial"/>
          <w:bCs/>
          <w:sz w:val="22"/>
          <w:szCs w:val="22"/>
          <w:u w:val="single"/>
        </w:rPr>
        <w:t xml:space="preserve">Holt </w:t>
      </w:r>
      <w:r w:rsidR="00DC4F3E" w:rsidRPr="00E541D1">
        <w:rPr>
          <w:rFonts w:ascii="Arial" w:hAnsi="Arial" w:cs="Arial"/>
          <w:bCs/>
          <w:sz w:val="22"/>
          <w:szCs w:val="22"/>
          <w:u w:val="single"/>
        </w:rPr>
        <w:t xml:space="preserve">Parish </w:t>
      </w:r>
      <w:r w:rsidR="005D2581" w:rsidRPr="00E541D1">
        <w:rPr>
          <w:rFonts w:ascii="Arial" w:hAnsi="Arial" w:cs="Arial"/>
          <w:bCs/>
          <w:sz w:val="22"/>
          <w:szCs w:val="22"/>
          <w:u w:val="single"/>
        </w:rPr>
        <w:t>Council</w:t>
      </w:r>
      <w:r w:rsidR="0060536A" w:rsidRPr="00E541D1">
        <w:rPr>
          <w:rFonts w:ascii="Arial" w:hAnsi="Arial" w:cs="Arial"/>
          <w:bCs/>
          <w:sz w:val="22"/>
          <w:szCs w:val="22"/>
          <w:u w:val="single"/>
        </w:rPr>
        <w:t xml:space="preserve"> – </w:t>
      </w:r>
      <w:r w:rsidRPr="00E541D1">
        <w:rPr>
          <w:rFonts w:ascii="Arial" w:hAnsi="Arial" w:cs="Arial"/>
          <w:bCs/>
          <w:sz w:val="22"/>
          <w:szCs w:val="22"/>
          <w:u w:val="single"/>
        </w:rPr>
        <w:t>No Objection</w:t>
      </w:r>
    </w:p>
    <w:p w14:paraId="1F36FE15" w14:textId="77777777" w:rsidR="00DC4F3E" w:rsidRPr="00E541D1" w:rsidRDefault="00DC4F3E" w:rsidP="00CC6665">
      <w:pPr>
        <w:spacing w:line="276" w:lineRule="auto"/>
        <w:rPr>
          <w:rFonts w:ascii="Arial" w:hAnsi="Arial" w:cs="Arial"/>
          <w:bCs/>
          <w:sz w:val="22"/>
          <w:szCs w:val="22"/>
        </w:rPr>
      </w:pPr>
    </w:p>
    <w:p w14:paraId="51953FE9" w14:textId="09BBE6B2" w:rsidR="00DC4F3E" w:rsidRPr="00E541D1" w:rsidRDefault="00E541D1" w:rsidP="00CC6665">
      <w:pPr>
        <w:spacing w:line="276" w:lineRule="auto"/>
        <w:rPr>
          <w:rFonts w:ascii="Arial" w:hAnsi="Arial" w:cs="Arial"/>
          <w:bCs/>
          <w:sz w:val="22"/>
          <w:szCs w:val="22"/>
          <w:u w:val="single"/>
        </w:rPr>
      </w:pPr>
      <w:r w:rsidRPr="00E541D1">
        <w:rPr>
          <w:rFonts w:ascii="Arial" w:hAnsi="Arial" w:cs="Arial"/>
          <w:bCs/>
          <w:sz w:val="22"/>
          <w:szCs w:val="22"/>
          <w:u w:val="single"/>
        </w:rPr>
        <w:t>Public Protection</w:t>
      </w:r>
      <w:r w:rsidR="00DC4F3E" w:rsidRPr="00E541D1">
        <w:rPr>
          <w:rFonts w:ascii="Arial" w:hAnsi="Arial" w:cs="Arial"/>
          <w:bCs/>
          <w:sz w:val="22"/>
          <w:szCs w:val="22"/>
          <w:u w:val="single"/>
        </w:rPr>
        <w:t xml:space="preserve"> (Wiltshire Council) – </w:t>
      </w:r>
      <w:r w:rsidRPr="00E541D1">
        <w:rPr>
          <w:rFonts w:ascii="Arial" w:hAnsi="Arial" w:cs="Arial"/>
          <w:bCs/>
          <w:sz w:val="22"/>
          <w:szCs w:val="22"/>
          <w:u w:val="single"/>
        </w:rPr>
        <w:t>No Objection (subject to condition)</w:t>
      </w:r>
    </w:p>
    <w:p w14:paraId="462121D4" w14:textId="0B12D417" w:rsidR="00E541D1" w:rsidRDefault="00E541D1" w:rsidP="00CC6665">
      <w:pPr>
        <w:spacing w:line="276" w:lineRule="auto"/>
        <w:rPr>
          <w:rFonts w:ascii="Arial" w:hAnsi="Arial" w:cs="Arial"/>
          <w:bCs/>
          <w:sz w:val="22"/>
          <w:szCs w:val="22"/>
        </w:rPr>
      </w:pPr>
      <w:r w:rsidRPr="00E541D1">
        <w:rPr>
          <w:rFonts w:ascii="Arial" w:hAnsi="Arial" w:cs="Arial"/>
          <w:bCs/>
          <w:sz w:val="22"/>
          <w:szCs w:val="22"/>
        </w:rPr>
        <w:t>Construction hours limitation requested.</w:t>
      </w:r>
    </w:p>
    <w:p w14:paraId="63EEBB0A" w14:textId="77777777" w:rsidR="00CC5744" w:rsidRDefault="00CC5744" w:rsidP="00CC6665">
      <w:pPr>
        <w:spacing w:line="276" w:lineRule="auto"/>
        <w:rPr>
          <w:rFonts w:ascii="Arial" w:hAnsi="Arial" w:cs="Arial"/>
          <w:bCs/>
          <w:sz w:val="22"/>
          <w:szCs w:val="22"/>
        </w:rPr>
      </w:pPr>
    </w:p>
    <w:p w14:paraId="502FCBE8" w14:textId="7580FA37" w:rsidR="00CC5744" w:rsidRPr="00CC5744" w:rsidRDefault="00CC5744" w:rsidP="00CC6665">
      <w:pPr>
        <w:spacing w:line="276" w:lineRule="auto"/>
        <w:rPr>
          <w:rFonts w:ascii="Arial" w:hAnsi="Arial" w:cs="Arial"/>
          <w:bCs/>
          <w:sz w:val="22"/>
          <w:szCs w:val="22"/>
          <w:u w:val="single"/>
        </w:rPr>
      </w:pPr>
      <w:r w:rsidRPr="00CC5744">
        <w:rPr>
          <w:rFonts w:ascii="Arial" w:hAnsi="Arial" w:cs="Arial"/>
          <w:bCs/>
          <w:sz w:val="22"/>
          <w:szCs w:val="22"/>
          <w:u w:val="single"/>
        </w:rPr>
        <w:t>Ecology (Wiltshire Council) – 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E541D1" w:rsidRDefault="005D2581" w:rsidP="00CC6665">
      <w:pPr>
        <w:spacing w:line="276" w:lineRule="auto"/>
        <w:rPr>
          <w:rFonts w:ascii="Arial" w:hAnsi="Arial" w:cs="Arial"/>
          <w:bCs/>
          <w:sz w:val="22"/>
          <w:szCs w:val="22"/>
        </w:rPr>
      </w:pPr>
    </w:p>
    <w:p w14:paraId="1C30F395" w14:textId="76247FD6" w:rsidR="00B15AD7" w:rsidRPr="00E541D1" w:rsidRDefault="003A1308" w:rsidP="00CC6665">
      <w:pPr>
        <w:spacing w:line="276" w:lineRule="auto"/>
        <w:rPr>
          <w:rFonts w:ascii="Arial" w:hAnsi="Arial" w:cs="Arial"/>
          <w:bCs/>
          <w:sz w:val="22"/>
          <w:szCs w:val="22"/>
        </w:rPr>
      </w:pPr>
      <w:r w:rsidRPr="00E541D1">
        <w:rPr>
          <w:rFonts w:ascii="Arial" w:hAnsi="Arial" w:cs="Arial"/>
          <w:bCs/>
          <w:sz w:val="22"/>
          <w:szCs w:val="22"/>
        </w:rPr>
        <w:t>No</w:t>
      </w:r>
      <w:r w:rsidR="003E43F6" w:rsidRPr="00E541D1">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71B122EA" w14:textId="77777777" w:rsidR="00280600" w:rsidRDefault="00280600" w:rsidP="00CC6665">
      <w:pPr>
        <w:spacing w:line="276" w:lineRule="auto"/>
        <w:rPr>
          <w:rFonts w:ascii="Arial" w:hAnsi="Arial" w:cs="Arial"/>
          <w:sz w:val="22"/>
          <w:szCs w:val="22"/>
        </w:rPr>
      </w:pPr>
    </w:p>
    <w:p w14:paraId="60FBA752" w14:textId="28ACA362" w:rsidR="009F3A00" w:rsidRDefault="009F3A00" w:rsidP="009F3A00">
      <w:pPr>
        <w:spacing w:line="276" w:lineRule="auto"/>
        <w:jc w:val="both"/>
        <w:rPr>
          <w:rFonts w:ascii="Arial" w:hAnsi="Arial" w:cs="Arial"/>
          <w:sz w:val="22"/>
          <w:szCs w:val="22"/>
        </w:rPr>
      </w:pPr>
      <w:r w:rsidRPr="009F3A00">
        <w:rPr>
          <w:rFonts w:ascii="Arial" w:hAnsi="Arial" w:cs="Arial"/>
          <w:sz w:val="22"/>
          <w:szCs w:val="22"/>
        </w:rPr>
        <w:t xml:space="preserve">Core Policies 1 and 2 restrict most forms of development outside the limits of development; however, the Core Strategy must be </w:t>
      </w:r>
      <w:proofErr w:type="gramStart"/>
      <w:r w:rsidRPr="009F3A00">
        <w:rPr>
          <w:rFonts w:ascii="Arial" w:hAnsi="Arial" w:cs="Arial"/>
          <w:sz w:val="22"/>
          <w:szCs w:val="22"/>
        </w:rPr>
        <w:t>read as a whole</w:t>
      </w:r>
      <w:proofErr w:type="gramEnd"/>
      <w:r w:rsidRPr="009F3A00">
        <w:rPr>
          <w:rFonts w:ascii="Arial" w:hAnsi="Arial" w:cs="Arial"/>
          <w:sz w:val="22"/>
          <w:szCs w:val="22"/>
        </w:rPr>
        <w:t>. Core Policy 42 provides a specific policy framework for assessing standalone renewable energy proposals, and its criteria are directed at development occurring within rural or open countryside settings. While C</w:t>
      </w:r>
      <w:r>
        <w:rPr>
          <w:rFonts w:ascii="Arial" w:hAnsi="Arial" w:cs="Arial"/>
          <w:sz w:val="22"/>
          <w:szCs w:val="22"/>
        </w:rPr>
        <w:t xml:space="preserve">ore </w:t>
      </w:r>
      <w:r w:rsidRPr="009F3A00">
        <w:rPr>
          <w:rFonts w:ascii="Arial" w:hAnsi="Arial" w:cs="Arial"/>
          <w:sz w:val="22"/>
          <w:szCs w:val="22"/>
        </w:rPr>
        <w:t>P</w:t>
      </w:r>
      <w:r>
        <w:rPr>
          <w:rFonts w:ascii="Arial" w:hAnsi="Arial" w:cs="Arial"/>
          <w:sz w:val="22"/>
          <w:szCs w:val="22"/>
        </w:rPr>
        <w:t xml:space="preserve">olicy </w:t>
      </w:r>
      <w:r w:rsidRPr="009F3A00">
        <w:rPr>
          <w:rFonts w:ascii="Arial" w:hAnsi="Arial" w:cs="Arial"/>
          <w:sz w:val="22"/>
          <w:szCs w:val="22"/>
        </w:rPr>
        <w:t>42 does not explicitly state that such proposals are acceptable outside settlement boundaries, it is the relevant topic</w:t>
      </w:r>
      <w:r w:rsidRPr="009F3A00">
        <w:rPr>
          <w:rFonts w:ascii="Arial" w:hAnsi="Arial" w:cs="Arial"/>
          <w:sz w:val="22"/>
          <w:szCs w:val="22"/>
        </w:rPr>
        <w:noBreakHyphen/>
        <w:t>based policy for renewable energy installations and therefore provides the appropriate route for considering the principle of development in this location.</w:t>
      </w:r>
    </w:p>
    <w:p w14:paraId="11B76C8E" w14:textId="745A72F0" w:rsidR="00F9385A" w:rsidRDefault="00F9385A" w:rsidP="002241F3">
      <w:pPr>
        <w:spacing w:line="276" w:lineRule="auto"/>
        <w:jc w:val="both"/>
        <w:rPr>
          <w:rFonts w:ascii="Arial" w:hAnsi="Arial" w:cs="Arial"/>
          <w:sz w:val="22"/>
          <w:szCs w:val="22"/>
        </w:rPr>
      </w:pPr>
    </w:p>
    <w:p w14:paraId="512C8928" w14:textId="4CABA0D2" w:rsidR="00CF3F57" w:rsidRPr="00D00EA9" w:rsidRDefault="002241F3" w:rsidP="00CF3F57">
      <w:pPr>
        <w:spacing w:line="276" w:lineRule="auto"/>
        <w:jc w:val="both"/>
        <w:rPr>
          <w:rFonts w:ascii="Arial" w:hAnsi="Arial" w:cs="Arial"/>
          <w:sz w:val="22"/>
          <w:szCs w:val="22"/>
        </w:rPr>
      </w:pPr>
      <w:r w:rsidRPr="002241F3">
        <w:rPr>
          <w:rFonts w:ascii="Arial" w:hAnsi="Arial" w:cs="Arial"/>
          <w:sz w:val="22"/>
          <w:szCs w:val="22"/>
        </w:rPr>
        <w:t>Core Policy 42 supports standalone renewable energy proposals where all site</w:t>
      </w:r>
      <w:r w:rsidRPr="002241F3">
        <w:rPr>
          <w:rFonts w:ascii="Cambria Math" w:hAnsi="Cambria Math" w:cs="Cambria Math"/>
          <w:sz w:val="22"/>
          <w:szCs w:val="22"/>
        </w:rPr>
        <w:t>‑</w:t>
      </w:r>
      <w:r w:rsidRPr="002241F3">
        <w:rPr>
          <w:rFonts w:ascii="Arial" w:hAnsi="Arial" w:cs="Arial"/>
          <w:sz w:val="22"/>
          <w:szCs w:val="22"/>
        </w:rPr>
        <w:t>specific constraints can be satisfactorily addressed. In this case, the policy requires consideration of the proposal’s effects on the surrounding landscape, local biodiversity interests, and the historic environment, as well as potential impacts on residential amenity, including matters such as visual impact, noise, odour, and safety. The policy also expects assessment of whether the development would lead to the loss or deterioration of best and most versatile agricultural land.</w:t>
      </w:r>
      <w:r w:rsidR="00CF3F57">
        <w:rPr>
          <w:rFonts w:ascii="Arial" w:hAnsi="Arial" w:cs="Arial"/>
          <w:sz w:val="22"/>
          <w:szCs w:val="22"/>
        </w:rPr>
        <w:t xml:space="preserve"> </w:t>
      </w:r>
      <w:r w:rsidR="00CF3F57" w:rsidRPr="00CF3F57">
        <w:rPr>
          <w:rFonts w:ascii="Arial" w:hAnsi="Arial" w:cs="Arial"/>
          <w:sz w:val="22"/>
          <w:szCs w:val="22"/>
        </w:rPr>
        <w:t xml:space="preserve">In this case, there is no anticipated harm to the historic environment, as site observations confirm no direct views between the listed Holt Farmhouse, the conservation area, and the proposed array, with existing boundary vegetation providing additional seasonal screening. Detailed landscape, biodiversity, and residential amenity considerations are addressed within the respective sections </w:t>
      </w:r>
      <w:r w:rsidR="00CF3F57" w:rsidRPr="00CF3F57">
        <w:rPr>
          <w:rFonts w:ascii="Arial" w:hAnsi="Arial" w:cs="Arial"/>
          <w:sz w:val="22"/>
          <w:szCs w:val="22"/>
        </w:rPr>
        <w:lastRenderedPageBreak/>
        <w:t xml:space="preserve">of this report. </w:t>
      </w:r>
      <w:proofErr w:type="gramStart"/>
      <w:r w:rsidR="00CF3F57" w:rsidRPr="00CF3F57">
        <w:rPr>
          <w:rFonts w:ascii="Arial" w:hAnsi="Arial" w:cs="Arial"/>
          <w:sz w:val="22"/>
          <w:szCs w:val="22"/>
        </w:rPr>
        <w:t>With regard to</w:t>
      </w:r>
      <w:proofErr w:type="gramEnd"/>
      <w:r w:rsidR="00CF3F57" w:rsidRPr="00CF3F57">
        <w:rPr>
          <w:rFonts w:ascii="Arial" w:hAnsi="Arial" w:cs="Arial"/>
          <w:sz w:val="22"/>
          <w:szCs w:val="22"/>
        </w:rPr>
        <w:t xml:space="preserve"> agricultural land quality, Natural England mapping identifies the land as Grade 3, and although the applicant has not provided further classification or justification, the proposed ballasted, non</w:t>
      </w:r>
      <w:r w:rsidR="00CF3F57" w:rsidRPr="00CF3F57">
        <w:rPr>
          <w:rFonts w:ascii="Arial" w:hAnsi="Arial" w:cs="Arial"/>
          <w:sz w:val="22"/>
          <w:szCs w:val="22"/>
        </w:rPr>
        <w:noBreakHyphen/>
        <w:t>penetrative mounting system is fully reversible, ensuring that the long</w:t>
      </w:r>
      <w:r w:rsidR="00CF3F57" w:rsidRPr="00CF3F57">
        <w:rPr>
          <w:rFonts w:ascii="Arial" w:hAnsi="Arial" w:cs="Arial"/>
          <w:sz w:val="22"/>
          <w:szCs w:val="22"/>
        </w:rPr>
        <w:noBreakHyphen/>
        <w:t xml:space="preserve">term agricultural potential of the </w:t>
      </w:r>
      <w:r w:rsidR="00CF3F57" w:rsidRPr="00D00EA9">
        <w:rPr>
          <w:rFonts w:ascii="Arial" w:hAnsi="Arial" w:cs="Arial"/>
          <w:sz w:val="22"/>
          <w:szCs w:val="22"/>
        </w:rPr>
        <w:t xml:space="preserve">site would not be compromised. </w:t>
      </w:r>
    </w:p>
    <w:p w14:paraId="7F137934" w14:textId="77777777" w:rsidR="003C7ED9" w:rsidRPr="00D00EA9" w:rsidRDefault="003C7ED9" w:rsidP="002241F3">
      <w:pPr>
        <w:spacing w:line="276" w:lineRule="auto"/>
        <w:jc w:val="both"/>
        <w:rPr>
          <w:rFonts w:ascii="Arial" w:hAnsi="Arial" w:cs="Arial"/>
          <w:sz w:val="22"/>
          <w:szCs w:val="22"/>
        </w:rPr>
      </w:pPr>
    </w:p>
    <w:p w14:paraId="609860FA" w14:textId="01586657" w:rsidR="00D00EA9" w:rsidRPr="00D00EA9" w:rsidRDefault="00D00EA9" w:rsidP="002241F3">
      <w:pPr>
        <w:spacing w:line="276" w:lineRule="auto"/>
        <w:jc w:val="both"/>
        <w:rPr>
          <w:rFonts w:ascii="Arial" w:hAnsi="Arial" w:cs="Arial"/>
          <w:sz w:val="22"/>
          <w:szCs w:val="22"/>
        </w:rPr>
      </w:pPr>
      <w:r w:rsidRPr="00D00EA9">
        <w:rPr>
          <w:rFonts w:ascii="Arial" w:hAnsi="Arial" w:cs="Arial"/>
          <w:sz w:val="22"/>
          <w:szCs w:val="22"/>
        </w:rPr>
        <w:t>Paragraph 168 of the NPPF states w</w:t>
      </w:r>
      <w:r w:rsidRPr="00D00EA9">
        <w:rPr>
          <w:rFonts w:ascii="Arial" w:hAnsi="Arial" w:cs="Arial"/>
          <w:sz w:val="22"/>
          <w:szCs w:val="22"/>
        </w:rPr>
        <w:t>hen determining planning applications for all forms of renewable and low carbon energy developments and their associated infrastructure, local planning authorities should</w:t>
      </w:r>
      <w:r w:rsidRPr="00D00EA9">
        <w:rPr>
          <w:rFonts w:ascii="Arial" w:hAnsi="Arial" w:cs="Arial"/>
          <w:sz w:val="22"/>
          <w:szCs w:val="22"/>
        </w:rPr>
        <w:t xml:space="preserve"> </w:t>
      </w:r>
      <w:r w:rsidRPr="00D00EA9">
        <w:rPr>
          <w:rFonts w:ascii="Arial" w:hAnsi="Arial" w:cs="Arial"/>
          <w:sz w:val="22"/>
          <w:szCs w:val="22"/>
        </w:rPr>
        <w:t>recognise that small-scale and community-led projects provide a valuable contribution to cutting greenhouse gas emissions</w:t>
      </w:r>
      <w:r w:rsidRPr="00D00EA9">
        <w:rPr>
          <w:rFonts w:ascii="Arial" w:hAnsi="Arial" w:cs="Arial"/>
          <w:sz w:val="22"/>
          <w:szCs w:val="22"/>
        </w:rPr>
        <w:t>.</w:t>
      </w:r>
    </w:p>
    <w:p w14:paraId="6E99497B" w14:textId="77777777" w:rsidR="00D00EA9" w:rsidRDefault="00D00EA9" w:rsidP="002241F3">
      <w:pPr>
        <w:spacing w:line="276" w:lineRule="auto"/>
        <w:jc w:val="both"/>
        <w:rPr>
          <w:rFonts w:ascii="Arial" w:hAnsi="Arial" w:cs="Arial"/>
          <w:sz w:val="22"/>
          <w:szCs w:val="22"/>
        </w:rPr>
      </w:pPr>
    </w:p>
    <w:p w14:paraId="75E08491" w14:textId="364A39BD" w:rsidR="003C7ED9" w:rsidRDefault="00CF3F57" w:rsidP="002241F3">
      <w:pPr>
        <w:spacing w:line="276" w:lineRule="auto"/>
        <w:jc w:val="both"/>
        <w:rPr>
          <w:rFonts w:ascii="Arial" w:hAnsi="Arial" w:cs="Arial"/>
          <w:sz w:val="22"/>
          <w:szCs w:val="22"/>
        </w:rPr>
      </w:pPr>
      <w:r>
        <w:rPr>
          <w:rFonts w:ascii="Arial" w:hAnsi="Arial" w:cs="Arial"/>
          <w:sz w:val="22"/>
          <w:szCs w:val="22"/>
        </w:rPr>
        <w:t>Additionally, t</w:t>
      </w:r>
      <w:r w:rsidR="003C7ED9" w:rsidRPr="003C7ED9">
        <w:rPr>
          <w:rFonts w:ascii="Arial" w:hAnsi="Arial" w:cs="Arial"/>
          <w:sz w:val="22"/>
          <w:szCs w:val="22"/>
        </w:rPr>
        <w:t>he Holt Neighbourhood Plan outlines support for renewable energy by encouraging development that promotes green energy (Policy E.1) and that demonstrates responsible management of energy, water, drainage, waste, and wider infrastructure impacts (Policy E.2).</w:t>
      </w:r>
    </w:p>
    <w:p w14:paraId="74869557" w14:textId="77777777" w:rsidR="00DB447A" w:rsidRDefault="00DB447A" w:rsidP="002241F3">
      <w:pPr>
        <w:spacing w:line="276" w:lineRule="auto"/>
        <w:jc w:val="both"/>
        <w:rPr>
          <w:rFonts w:ascii="Arial" w:hAnsi="Arial" w:cs="Arial"/>
          <w:sz w:val="22"/>
          <w:szCs w:val="22"/>
        </w:rPr>
      </w:pPr>
    </w:p>
    <w:p w14:paraId="5189E839" w14:textId="36E7BD56" w:rsidR="00DB447A" w:rsidRDefault="00DB447A" w:rsidP="002241F3">
      <w:pPr>
        <w:spacing w:line="276" w:lineRule="auto"/>
        <w:jc w:val="both"/>
        <w:rPr>
          <w:rFonts w:ascii="Arial" w:hAnsi="Arial" w:cs="Arial"/>
          <w:sz w:val="22"/>
          <w:szCs w:val="22"/>
        </w:rPr>
      </w:pPr>
      <w:r w:rsidRPr="00CF3F57">
        <w:rPr>
          <w:rFonts w:ascii="Arial" w:hAnsi="Arial" w:cs="Arial"/>
          <w:sz w:val="22"/>
          <w:szCs w:val="22"/>
        </w:rPr>
        <w:t>Taken together, these factors indicate that the proposal meets the relevant Core Policy 42 criteria</w:t>
      </w:r>
      <w:r>
        <w:rPr>
          <w:rFonts w:ascii="Arial" w:hAnsi="Arial" w:cs="Arial"/>
          <w:sz w:val="22"/>
          <w:szCs w:val="22"/>
        </w:rPr>
        <w:t xml:space="preserve">, as well as policies E.1 and E.2 of the Holt Neighbourhood plan, and as such the proposal </w:t>
      </w:r>
      <w:proofErr w:type="gramStart"/>
      <w:r>
        <w:rPr>
          <w:rFonts w:ascii="Arial" w:hAnsi="Arial" w:cs="Arial"/>
          <w:sz w:val="22"/>
          <w:szCs w:val="22"/>
        </w:rPr>
        <w:t>is considered to be</w:t>
      </w:r>
      <w:proofErr w:type="gramEnd"/>
      <w:r>
        <w:rPr>
          <w:rFonts w:ascii="Arial" w:hAnsi="Arial" w:cs="Arial"/>
          <w:sz w:val="22"/>
          <w:szCs w:val="22"/>
        </w:rPr>
        <w:t xml:space="preserve"> acceptable in principle and will be considered further through the following report.</w:t>
      </w:r>
    </w:p>
    <w:p w14:paraId="7BCE0B9F" w14:textId="77777777" w:rsidR="002241F3" w:rsidRPr="00075C07" w:rsidRDefault="002241F3"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2DC9389" w14:textId="2199239A" w:rsidR="0078193E" w:rsidRPr="0078193E" w:rsidRDefault="00713A31" w:rsidP="0078193E">
      <w:pPr>
        <w:spacing w:line="276" w:lineRule="auto"/>
        <w:jc w:val="both"/>
        <w:rPr>
          <w:rFonts w:ascii="Arial" w:hAnsi="Arial" w:cs="Arial"/>
          <w:sz w:val="22"/>
          <w:szCs w:val="22"/>
        </w:rPr>
      </w:pPr>
      <w:r w:rsidRPr="0078193E">
        <w:rPr>
          <w:rFonts w:ascii="Arial" w:hAnsi="Arial" w:cs="Arial"/>
          <w:sz w:val="22"/>
          <w:szCs w:val="22"/>
        </w:rPr>
        <w:t>Core Policy 57 Ensuring High Quality Design and Place Shaping of the Wiltshire Core Strategy seeks to ensure that all new development is of high design quality, reflecting local context, character, and distinctiveness.</w:t>
      </w:r>
      <w:r w:rsidR="0078193E" w:rsidRPr="0078193E">
        <w:rPr>
          <w:rFonts w:ascii="Arial" w:hAnsi="Arial" w:cs="Arial"/>
          <w:sz w:val="22"/>
          <w:szCs w:val="22"/>
        </w:rPr>
        <w:t xml:space="preserve"> Core Policy 51 of the WCS states that development should conserve and protect existing landscape character. It additionally states that local features such as hedgerows and watercourses must be considered as part of any analysis, as well as other matters which relate to the overall distinctive quality of the specific locality in question.</w:t>
      </w:r>
    </w:p>
    <w:p w14:paraId="6D155E0B" w14:textId="77777777" w:rsidR="006F6EEE" w:rsidRDefault="006F6EEE" w:rsidP="00CC6665">
      <w:pPr>
        <w:spacing w:line="276" w:lineRule="auto"/>
        <w:jc w:val="both"/>
        <w:rPr>
          <w:rFonts w:ascii="Arial" w:hAnsi="Arial" w:cs="Arial"/>
          <w:sz w:val="22"/>
          <w:szCs w:val="22"/>
        </w:rPr>
      </w:pPr>
    </w:p>
    <w:p w14:paraId="67F578E1" w14:textId="5B34C7D0" w:rsidR="00D51946" w:rsidRDefault="00D51946" w:rsidP="00D51946">
      <w:pPr>
        <w:spacing w:line="276" w:lineRule="auto"/>
        <w:jc w:val="both"/>
        <w:rPr>
          <w:rFonts w:ascii="Arial" w:hAnsi="Arial" w:cs="Arial"/>
          <w:sz w:val="22"/>
          <w:szCs w:val="22"/>
        </w:rPr>
      </w:pPr>
      <w:r w:rsidRPr="00D51946">
        <w:rPr>
          <w:rFonts w:ascii="Arial" w:hAnsi="Arial" w:cs="Arial"/>
          <w:sz w:val="22"/>
          <w:szCs w:val="22"/>
        </w:rPr>
        <w:t>The proposal comprises a ground</w:t>
      </w:r>
      <w:r w:rsidRPr="00D51946">
        <w:rPr>
          <w:rFonts w:ascii="Arial" w:hAnsi="Arial" w:cs="Arial"/>
          <w:sz w:val="22"/>
          <w:szCs w:val="22"/>
        </w:rPr>
        <w:noBreakHyphen/>
        <w:t xml:space="preserve">mounted solar photovoltaic array covering approximately 320 m², with a maximum height of 0.4 m above ground level, set within an enclosed agricultural field. A full inspection of the site and its surroundings confirmed that external visibility of the installation is very limited. The eastern and southern boundaries are well screened by existing tennis courts, tree belts, and established hedgerow, such that the array is entirely obscured from views in these directions. To the north, the site is only partially perceptible from within the Glove Factory open space; however, visibility is restricted to instances where an individual is positioned directly against the boundary vegetation, looking through the hedgerow. This does not give rise to any meaningful visual effect. The only location where the array would be appreciably noticeable is along the Public Right of Way HOLT16 on the western boundary, where the field is more open. Nevertheless, the low profile of the panels, their limited overall footprint, and their dark, recessive appearance ensure that any visual impact would remain minimal and confined to immediate foreground views. </w:t>
      </w:r>
    </w:p>
    <w:p w14:paraId="36580223" w14:textId="77777777" w:rsidR="00D51946" w:rsidRPr="00D51946" w:rsidRDefault="00D51946" w:rsidP="00D51946">
      <w:pPr>
        <w:spacing w:line="276" w:lineRule="auto"/>
        <w:jc w:val="both"/>
        <w:rPr>
          <w:rFonts w:ascii="Arial" w:hAnsi="Arial" w:cs="Arial"/>
          <w:sz w:val="22"/>
          <w:szCs w:val="22"/>
        </w:rPr>
      </w:pPr>
    </w:p>
    <w:p w14:paraId="4F2B3604" w14:textId="77777777" w:rsidR="00D51946" w:rsidRDefault="00D51946" w:rsidP="00D51946">
      <w:pPr>
        <w:spacing w:line="276" w:lineRule="auto"/>
        <w:jc w:val="both"/>
        <w:rPr>
          <w:rFonts w:ascii="Arial" w:hAnsi="Arial" w:cs="Arial"/>
          <w:sz w:val="22"/>
          <w:szCs w:val="22"/>
        </w:rPr>
      </w:pPr>
      <w:r w:rsidRPr="00D51946">
        <w:rPr>
          <w:rFonts w:ascii="Arial" w:hAnsi="Arial" w:cs="Arial"/>
          <w:sz w:val="22"/>
          <w:szCs w:val="22"/>
        </w:rPr>
        <w:t xml:space="preserve">The field is visually contained by dense vegetation on all </w:t>
      </w:r>
      <w:proofErr w:type="gramStart"/>
      <w:r w:rsidRPr="00D51946">
        <w:rPr>
          <w:rFonts w:ascii="Arial" w:hAnsi="Arial" w:cs="Arial"/>
          <w:sz w:val="22"/>
          <w:szCs w:val="22"/>
        </w:rPr>
        <w:t>sides, and</w:t>
      </w:r>
      <w:proofErr w:type="gramEnd"/>
      <w:r w:rsidRPr="00D51946">
        <w:rPr>
          <w:rFonts w:ascii="Arial" w:hAnsi="Arial" w:cs="Arial"/>
          <w:sz w:val="22"/>
          <w:szCs w:val="22"/>
        </w:rPr>
        <w:t xml:space="preserve"> does not read as part of the wider open landscape. This enclosure, combined with the low height of the installation, substantially reduces any potential landscape impact. Boundary planting will also thicken seasonally, further diminishing visibility throughout the year. Overall, the development is considered to integrate acceptably with the character and appearance of the area and does not give rise to any harmful landscape or visual effects.</w:t>
      </w:r>
    </w:p>
    <w:p w14:paraId="3F014F7D" w14:textId="77777777" w:rsidR="00D51946" w:rsidRPr="00D51946" w:rsidRDefault="00D51946" w:rsidP="00D51946">
      <w:pPr>
        <w:spacing w:line="276" w:lineRule="auto"/>
        <w:jc w:val="both"/>
        <w:rPr>
          <w:rFonts w:ascii="Arial" w:hAnsi="Arial" w:cs="Arial"/>
          <w:sz w:val="22"/>
          <w:szCs w:val="22"/>
        </w:rPr>
      </w:pPr>
    </w:p>
    <w:p w14:paraId="47C40EF8" w14:textId="77777777" w:rsidR="00D51946" w:rsidRPr="00D51946" w:rsidRDefault="00D51946" w:rsidP="00D51946">
      <w:pPr>
        <w:spacing w:line="276" w:lineRule="auto"/>
        <w:jc w:val="both"/>
        <w:rPr>
          <w:rFonts w:ascii="Arial" w:hAnsi="Arial" w:cs="Arial"/>
          <w:sz w:val="22"/>
          <w:szCs w:val="22"/>
        </w:rPr>
      </w:pPr>
      <w:r w:rsidRPr="00D51946">
        <w:rPr>
          <w:rFonts w:ascii="Arial" w:hAnsi="Arial" w:cs="Arial"/>
          <w:sz w:val="22"/>
          <w:szCs w:val="22"/>
        </w:rPr>
        <w:t>The proposal also includes a minor trench connection running southwards to an existing outbuilding. As this will be fully covered once installed, it will not be visible and therefore carries no landscape or design impact.</w:t>
      </w:r>
    </w:p>
    <w:p w14:paraId="006FD2A4" w14:textId="0B883672" w:rsidR="00030FF3" w:rsidRDefault="00030FF3" w:rsidP="00CC6665">
      <w:pPr>
        <w:spacing w:line="276" w:lineRule="auto"/>
        <w:jc w:val="both"/>
        <w:rPr>
          <w:rFonts w:ascii="Arial" w:hAnsi="Arial" w:cs="Arial"/>
          <w:sz w:val="22"/>
          <w:szCs w:val="22"/>
        </w:rPr>
      </w:pPr>
    </w:p>
    <w:p w14:paraId="10C65C9F" w14:textId="77777777" w:rsidR="00030FF3" w:rsidRPr="00075C07" w:rsidRDefault="00030FF3" w:rsidP="00CC6665">
      <w:pPr>
        <w:spacing w:line="276" w:lineRule="auto"/>
        <w:jc w:val="both"/>
        <w:rPr>
          <w:rFonts w:ascii="Arial" w:hAnsi="Arial" w:cs="Arial"/>
          <w:sz w:val="22"/>
          <w:szCs w:val="22"/>
        </w:rPr>
      </w:pPr>
    </w:p>
    <w:p w14:paraId="0188589D" w14:textId="18026D4C" w:rsidR="00713A31" w:rsidRDefault="00663B0D" w:rsidP="00CC6665">
      <w:pPr>
        <w:spacing w:line="276" w:lineRule="auto"/>
        <w:jc w:val="both"/>
        <w:rPr>
          <w:rFonts w:ascii="Arial" w:hAnsi="Arial" w:cs="Arial"/>
          <w:i/>
          <w:iCs/>
          <w:color w:val="ED0000"/>
          <w:sz w:val="22"/>
          <w:szCs w:val="22"/>
        </w:rPr>
      </w:pPr>
      <w:r w:rsidRPr="00663B0D">
        <w:rPr>
          <w:rFonts w:ascii="Arial" w:hAnsi="Arial" w:cs="Arial"/>
          <w:noProof/>
          <w:color w:val="ED0000"/>
          <w:sz w:val="22"/>
          <w:szCs w:val="22"/>
        </w:rPr>
        <w:drawing>
          <wp:inline distT="0" distB="0" distL="0" distR="0" wp14:anchorId="1B695793" wp14:editId="17D66C38">
            <wp:extent cx="6627495" cy="2179955"/>
            <wp:effectExtent l="0" t="0" r="1905" b="0"/>
            <wp:docPr id="63896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7495" cy="2179955"/>
                    </a:xfrm>
                    <a:prstGeom prst="rect">
                      <a:avLst/>
                    </a:prstGeom>
                    <a:noFill/>
                    <a:ln>
                      <a:noFill/>
                    </a:ln>
                  </pic:spPr>
                </pic:pic>
              </a:graphicData>
            </a:graphic>
          </wp:inline>
        </w:drawing>
      </w:r>
    </w:p>
    <w:p w14:paraId="35288518" w14:textId="3F1B788D" w:rsidR="00663B0D" w:rsidRPr="00BB7833" w:rsidRDefault="00663B0D" w:rsidP="00663B0D">
      <w:pPr>
        <w:spacing w:line="276" w:lineRule="auto"/>
        <w:jc w:val="center"/>
        <w:rPr>
          <w:rFonts w:ascii="Arial" w:hAnsi="Arial" w:cs="Arial"/>
          <w:i/>
          <w:iCs/>
          <w:color w:val="000000" w:themeColor="text1"/>
          <w:sz w:val="22"/>
          <w:szCs w:val="22"/>
        </w:rPr>
      </w:pPr>
      <w:r w:rsidRPr="00BB7833">
        <w:rPr>
          <w:rFonts w:ascii="Arial" w:hAnsi="Arial" w:cs="Arial"/>
          <w:i/>
          <w:iCs/>
          <w:color w:val="000000" w:themeColor="text1"/>
          <w:sz w:val="22"/>
          <w:szCs w:val="22"/>
        </w:rPr>
        <w:t xml:space="preserve">Proposed Isometric </w:t>
      </w:r>
      <w:r w:rsidR="00BB7833" w:rsidRPr="00BB7833">
        <w:rPr>
          <w:rFonts w:ascii="Arial" w:hAnsi="Arial" w:cs="Arial"/>
          <w:i/>
          <w:iCs/>
          <w:color w:val="000000" w:themeColor="text1"/>
          <w:sz w:val="22"/>
          <w:szCs w:val="22"/>
        </w:rPr>
        <w:t>Plan, Front and Side Elevations</w:t>
      </w:r>
    </w:p>
    <w:p w14:paraId="5A716569" w14:textId="77777777" w:rsidR="00BB7833" w:rsidRDefault="00BB7833" w:rsidP="00663B0D">
      <w:pPr>
        <w:spacing w:line="276" w:lineRule="auto"/>
        <w:jc w:val="center"/>
        <w:rPr>
          <w:rFonts w:ascii="Arial" w:hAnsi="Arial" w:cs="Arial"/>
          <w:color w:val="000000" w:themeColor="text1"/>
          <w:sz w:val="22"/>
          <w:szCs w:val="22"/>
        </w:rPr>
      </w:pPr>
    </w:p>
    <w:p w14:paraId="574BA004" w14:textId="3B91F7B0" w:rsidR="00D868BD" w:rsidRDefault="00F30ADC" w:rsidP="00663B0D">
      <w:pPr>
        <w:spacing w:line="276" w:lineRule="auto"/>
        <w:jc w:val="center"/>
        <w:rPr>
          <w:rFonts w:ascii="Arial" w:hAnsi="Arial" w:cs="Arial"/>
          <w:color w:val="000000" w:themeColor="text1"/>
          <w:sz w:val="22"/>
          <w:szCs w:val="22"/>
        </w:rPr>
      </w:pPr>
      <w:r w:rsidRPr="00F30ADC">
        <w:rPr>
          <w:rFonts w:ascii="Arial" w:hAnsi="Arial" w:cs="Arial"/>
          <w:noProof/>
          <w:color w:val="000000" w:themeColor="text1"/>
          <w:sz w:val="22"/>
          <w:szCs w:val="22"/>
        </w:rPr>
        <w:drawing>
          <wp:inline distT="0" distB="0" distL="0" distR="0" wp14:anchorId="69D7F3E0" wp14:editId="41F51DBC">
            <wp:extent cx="6629400" cy="2580005"/>
            <wp:effectExtent l="0" t="0" r="0" b="0"/>
            <wp:docPr id="1304358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58495" name=""/>
                    <pic:cNvPicPr/>
                  </pic:nvPicPr>
                  <pic:blipFill>
                    <a:blip r:embed="rId7"/>
                    <a:stretch>
                      <a:fillRect/>
                    </a:stretch>
                  </pic:blipFill>
                  <pic:spPr>
                    <a:xfrm>
                      <a:off x="0" y="0"/>
                      <a:ext cx="6629400" cy="2580005"/>
                    </a:xfrm>
                    <a:prstGeom prst="rect">
                      <a:avLst/>
                    </a:prstGeom>
                  </pic:spPr>
                </pic:pic>
              </a:graphicData>
            </a:graphic>
          </wp:inline>
        </w:drawing>
      </w:r>
    </w:p>
    <w:p w14:paraId="6F974DF6" w14:textId="205A3083" w:rsidR="00D868BD" w:rsidRDefault="00D868BD" w:rsidP="00663B0D">
      <w:pPr>
        <w:spacing w:line="276" w:lineRule="auto"/>
        <w:jc w:val="center"/>
        <w:rPr>
          <w:rFonts w:ascii="Arial" w:hAnsi="Arial" w:cs="Arial"/>
          <w:i/>
          <w:iCs/>
          <w:color w:val="000000" w:themeColor="text1"/>
          <w:sz w:val="22"/>
          <w:szCs w:val="22"/>
        </w:rPr>
      </w:pPr>
      <w:r w:rsidRPr="00D868BD">
        <w:rPr>
          <w:rFonts w:ascii="Arial" w:hAnsi="Arial" w:cs="Arial"/>
          <w:i/>
          <w:iCs/>
          <w:color w:val="000000" w:themeColor="text1"/>
          <w:sz w:val="22"/>
          <w:szCs w:val="22"/>
        </w:rPr>
        <w:t xml:space="preserve">Site </w:t>
      </w:r>
      <w:r>
        <w:rPr>
          <w:rFonts w:ascii="Arial" w:hAnsi="Arial" w:cs="Arial"/>
          <w:i/>
          <w:iCs/>
          <w:color w:val="000000" w:themeColor="text1"/>
          <w:sz w:val="22"/>
          <w:szCs w:val="22"/>
        </w:rPr>
        <w:t>v</w:t>
      </w:r>
      <w:r w:rsidRPr="00D868BD">
        <w:rPr>
          <w:rFonts w:ascii="Arial" w:hAnsi="Arial" w:cs="Arial"/>
          <w:i/>
          <w:iCs/>
          <w:color w:val="000000" w:themeColor="text1"/>
          <w:sz w:val="22"/>
          <w:szCs w:val="22"/>
        </w:rPr>
        <w:t>isit Image from PROW (HOLT16) and indicative location</w:t>
      </w:r>
    </w:p>
    <w:p w14:paraId="69CAF96A" w14:textId="77777777" w:rsidR="00421043" w:rsidRPr="00D868BD" w:rsidRDefault="00421043" w:rsidP="00663B0D">
      <w:pPr>
        <w:spacing w:line="276" w:lineRule="auto"/>
        <w:jc w:val="center"/>
        <w:rPr>
          <w:rFonts w:ascii="Arial" w:hAnsi="Arial" w:cs="Arial"/>
          <w:i/>
          <w:iCs/>
          <w:color w:val="000000" w:themeColor="text1"/>
          <w:sz w:val="22"/>
          <w:szCs w:val="22"/>
        </w:rPr>
      </w:pPr>
    </w:p>
    <w:p w14:paraId="3A4CA1E9" w14:textId="03626B4F" w:rsidR="00D868BD" w:rsidRDefault="00421043" w:rsidP="00421043">
      <w:pPr>
        <w:spacing w:line="276" w:lineRule="auto"/>
        <w:rPr>
          <w:rFonts w:ascii="Arial" w:hAnsi="Arial" w:cs="Arial"/>
          <w:color w:val="000000" w:themeColor="text1"/>
          <w:sz w:val="22"/>
          <w:szCs w:val="22"/>
        </w:rPr>
      </w:pPr>
      <w:r w:rsidRPr="00421043">
        <w:rPr>
          <w:rFonts w:ascii="Arial" w:hAnsi="Arial" w:cs="Arial"/>
          <w:noProof/>
          <w:color w:val="000000" w:themeColor="text1"/>
          <w:sz w:val="22"/>
          <w:szCs w:val="22"/>
        </w:rPr>
        <w:drawing>
          <wp:inline distT="0" distB="0" distL="0" distR="0" wp14:anchorId="71BB6547" wp14:editId="59A75C2E">
            <wp:extent cx="6629400" cy="2458720"/>
            <wp:effectExtent l="0" t="0" r="0" b="0"/>
            <wp:docPr id="490364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64697" name=""/>
                    <pic:cNvPicPr/>
                  </pic:nvPicPr>
                  <pic:blipFill>
                    <a:blip r:embed="rId8"/>
                    <a:stretch>
                      <a:fillRect/>
                    </a:stretch>
                  </pic:blipFill>
                  <pic:spPr>
                    <a:xfrm>
                      <a:off x="0" y="0"/>
                      <a:ext cx="6629400" cy="2458720"/>
                    </a:xfrm>
                    <a:prstGeom prst="rect">
                      <a:avLst/>
                    </a:prstGeom>
                  </pic:spPr>
                </pic:pic>
              </a:graphicData>
            </a:graphic>
          </wp:inline>
        </w:drawing>
      </w:r>
    </w:p>
    <w:p w14:paraId="768D5820" w14:textId="720F6FCC" w:rsidR="00421043" w:rsidRPr="00421043" w:rsidRDefault="00421043" w:rsidP="00421043">
      <w:pPr>
        <w:spacing w:line="276" w:lineRule="auto"/>
        <w:jc w:val="center"/>
        <w:rPr>
          <w:rFonts w:ascii="Arial" w:hAnsi="Arial" w:cs="Arial"/>
          <w:i/>
          <w:iCs/>
          <w:color w:val="000000" w:themeColor="text1"/>
          <w:sz w:val="22"/>
          <w:szCs w:val="22"/>
        </w:rPr>
      </w:pPr>
      <w:r w:rsidRPr="00421043">
        <w:rPr>
          <w:rFonts w:ascii="Arial" w:hAnsi="Arial" w:cs="Arial"/>
          <w:i/>
          <w:iCs/>
          <w:color w:val="000000" w:themeColor="text1"/>
          <w:sz w:val="22"/>
          <w:szCs w:val="22"/>
        </w:rPr>
        <w:t>Block Plan</w:t>
      </w:r>
    </w:p>
    <w:p w14:paraId="27EEC122" w14:textId="6B648AAA" w:rsidR="005E48C3" w:rsidRDefault="005E48C3" w:rsidP="00663B0D">
      <w:pPr>
        <w:spacing w:line="276" w:lineRule="auto"/>
        <w:jc w:val="center"/>
        <w:rPr>
          <w:rFonts w:ascii="Arial" w:hAnsi="Arial" w:cs="Arial"/>
          <w:color w:val="000000" w:themeColor="text1"/>
          <w:sz w:val="22"/>
          <w:szCs w:val="22"/>
        </w:rPr>
      </w:pPr>
      <w:r w:rsidRPr="005E48C3">
        <w:rPr>
          <w:rFonts w:ascii="Arial" w:hAnsi="Arial" w:cs="Arial"/>
          <w:noProof/>
          <w:color w:val="000000" w:themeColor="text1"/>
          <w:sz w:val="22"/>
          <w:szCs w:val="22"/>
        </w:rPr>
        <w:lastRenderedPageBreak/>
        <w:drawing>
          <wp:inline distT="0" distB="0" distL="0" distR="0" wp14:anchorId="0B289AD7" wp14:editId="398EFE00">
            <wp:extent cx="6629400" cy="1725930"/>
            <wp:effectExtent l="0" t="0" r="0" b="7620"/>
            <wp:docPr id="41557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72070" name=""/>
                    <pic:cNvPicPr/>
                  </pic:nvPicPr>
                  <pic:blipFill>
                    <a:blip r:embed="rId9"/>
                    <a:stretch>
                      <a:fillRect/>
                    </a:stretch>
                  </pic:blipFill>
                  <pic:spPr>
                    <a:xfrm>
                      <a:off x="0" y="0"/>
                      <a:ext cx="6629400" cy="1725930"/>
                    </a:xfrm>
                    <a:prstGeom prst="rect">
                      <a:avLst/>
                    </a:prstGeom>
                  </pic:spPr>
                </pic:pic>
              </a:graphicData>
            </a:graphic>
          </wp:inline>
        </w:drawing>
      </w:r>
    </w:p>
    <w:p w14:paraId="1A18E0F4" w14:textId="34EE9B8C" w:rsidR="005E48C3" w:rsidRPr="000D1E16" w:rsidRDefault="005E48C3" w:rsidP="00663B0D">
      <w:pPr>
        <w:spacing w:line="276" w:lineRule="auto"/>
        <w:jc w:val="center"/>
        <w:rPr>
          <w:rFonts w:ascii="Arial" w:hAnsi="Arial" w:cs="Arial"/>
          <w:i/>
          <w:iCs/>
          <w:color w:val="000000" w:themeColor="text1"/>
          <w:sz w:val="22"/>
          <w:szCs w:val="22"/>
        </w:rPr>
      </w:pPr>
      <w:r w:rsidRPr="000D1E16">
        <w:rPr>
          <w:rFonts w:ascii="Arial" w:hAnsi="Arial" w:cs="Arial"/>
          <w:i/>
          <w:iCs/>
          <w:color w:val="000000" w:themeColor="text1"/>
          <w:sz w:val="22"/>
          <w:szCs w:val="22"/>
        </w:rPr>
        <w:t xml:space="preserve">Image facing </w:t>
      </w:r>
      <w:r w:rsidR="000D1E16" w:rsidRPr="000D1E16">
        <w:rPr>
          <w:rFonts w:ascii="Arial" w:hAnsi="Arial" w:cs="Arial"/>
          <w:i/>
          <w:iCs/>
          <w:color w:val="000000" w:themeColor="text1"/>
          <w:sz w:val="22"/>
          <w:szCs w:val="22"/>
        </w:rPr>
        <w:t>South along PROW (HOLT 16)</w:t>
      </w:r>
    </w:p>
    <w:p w14:paraId="596E132A" w14:textId="77777777" w:rsidR="000D1E16" w:rsidRDefault="000D1E16" w:rsidP="00663B0D">
      <w:pPr>
        <w:spacing w:line="276" w:lineRule="auto"/>
        <w:jc w:val="center"/>
        <w:rPr>
          <w:rFonts w:ascii="Arial" w:hAnsi="Arial" w:cs="Arial"/>
          <w:color w:val="000000" w:themeColor="text1"/>
          <w:sz w:val="22"/>
          <w:szCs w:val="22"/>
        </w:rPr>
      </w:pPr>
    </w:p>
    <w:p w14:paraId="68616FD7" w14:textId="46753A87" w:rsidR="002F3303" w:rsidRDefault="002F3303" w:rsidP="00663B0D">
      <w:pPr>
        <w:spacing w:line="276" w:lineRule="auto"/>
        <w:jc w:val="center"/>
        <w:rPr>
          <w:rFonts w:ascii="Arial" w:hAnsi="Arial" w:cs="Arial"/>
          <w:color w:val="000000" w:themeColor="text1"/>
          <w:sz w:val="22"/>
          <w:szCs w:val="22"/>
        </w:rPr>
      </w:pPr>
      <w:r w:rsidRPr="002F3303">
        <w:rPr>
          <w:rFonts w:ascii="Arial" w:hAnsi="Arial" w:cs="Arial"/>
          <w:noProof/>
          <w:color w:val="000000" w:themeColor="text1"/>
          <w:sz w:val="22"/>
          <w:szCs w:val="22"/>
        </w:rPr>
        <w:drawing>
          <wp:inline distT="0" distB="0" distL="0" distR="0" wp14:anchorId="1A5339B1" wp14:editId="0FCF24E7">
            <wp:extent cx="6629400" cy="1490980"/>
            <wp:effectExtent l="0" t="0" r="0" b="0"/>
            <wp:docPr id="1955158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58220" name=""/>
                    <pic:cNvPicPr/>
                  </pic:nvPicPr>
                  <pic:blipFill>
                    <a:blip r:embed="rId10"/>
                    <a:stretch>
                      <a:fillRect/>
                    </a:stretch>
                  </pic:blipFill>
                  <pic:spPr>
                    <a:xfrm>
                      <a:off x="0" y="0"/>
                      <a:ext cx="6629400" cy="1490980"/>
                    </a:xfrm>
                    <a:prstGeom prst="rect">
                      <a:avLst/>
                    </a:prstGeom>
                  </pic:spPr>
                </pic:pic>
              </a:graphicData>
            </a:graphic>
          </wp:inline>
        </w:drawing>
      </w:r>
    </w:p>
    <w:p w14:paraId="349244FA" w14:textId="115B940F" w:rsidR="002F3303" w:rsidRPr="00DA243C" w:rsidRDefault="002F3303" w:rsidP="00663B0D">
      <w:pPr>
        <w:spacing w:line="276" w:lineRule="auto"/>
        <w:jc w:val="center"/>
        <w:rPr>
          <w:rFonts w:ascii="Arial" w:hAnsi="Arial" w:cs="Arial"/>
          <w:i/>
          <w:iCs/>
          <w:color w:val="000000" w:themeColor="text1"/>
          <w:sz w:val="22"/>
          <w:szCs w:val="22"/>
        </w:rPr>
      </w:pPr>
      <w:r w:rsidRPr="00DA243C">
        <w:rPr>
          <w:rFonts w:ascii="Arial" w:hAnsi="Arial" w:cs="Arial"/>
          <w:i/>
          <w:iCs/>
          <w:color w:val="000000" w:themeColor="text1"/>
          <w:sz w:val="22"/>
          <w:szCs w:val="22"/>
        </w:rPr>
        <w:t xml:space="preserve">Image facing South (into site) from within the Glove Factory </w:t>
      </w:r>
      <w:r w:rsidR="00DA243C" w:rsidRPr="00DA243C">
        <w:rPr>
          <w:rFonts w:ascii="Arial" w:hAnsi="Arial" w:cs="Arial"/>
          <w:i/>
          <w:iCs/>
          <w:color w:val="000000" w:themeColor="text1"/>
          <w:sz w:val="22"/>
          <w:szCs w:val="22"/>
        </w:rPr>
        <w:t>open space</w:t>
      </w:r>
    </w:p>
    <w:p w14:paraId="716D0F2E" w14:textId="77777777" w:rsidR="002F3303" w:rsidRPr="00075C07" w:rsidRDefault="002F3303" w:rsidP="00663B0D">
      <w:pPr>
        <w:spacing w:line="276" w:lineRule="auto"/>
        <w:jc w:val="center"/>
        <w:rPr>
          <w:rFonts w:ascii="Arial" w:hAnsi="Arial" w:cs="Arial"/>
          <w:color w:val="000000" w:themeColor="text1"/>
          <w:sz w:val="22"/>
          <w:szCs w:val="22"/>
        </w:rPr>
      </w:pPr>
    </w:p>
    <w:p w14:paraId="66BC3641" w14:textId="7F810012"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the Wiltshire Design Guide.</w:t>
      </w:r>
    </w:p>
    <w:p w14:paraId="43E0AE03" w14:textId="77777777" w:rsidR="00C94CB8" w:rsidRDefault="00C94CB8" w:rsidP="00CC6665">
      <w:pPr>
        <w:spacing w:line="276" w:lineRule="auto"/>
        <w:rPr>
          <w:rFonts w:ascii="Arial" w:hAnsi="Arial" w:cs="Arial"/>
          <w:sz w:val="22"/>
          <w:szCs w:val="22"/>
        </w:rPr>
      </w:pPr>
    </w:p>
    <w:p w14:paraId="40DD9E8F" w14:textId="77777777" w:rsidR="00107DC5" w:rsidRPr="00075C07" w:rsidRDefault="00107DC5" w:rsidP="00107DC5">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64F9814C" w14:textId="77777777" w:rsidR="00931C08" w:rsidRDefault="00931C08" w:rsidP="00107DC5">
      <w:pPr>
        <w:spacing w:line="276" w:lineRule="auto"/>
        <w:jc w:val="both"/>
        <w:rPr>
          <w:rFonts w:ascii="Arial" w:hAnsi="Arial" w:cs="Arial"/>
          <w:sz w:val="22"/>
          <w:szCs w:val="22"/>
        </w:rPr>
      </w:pPr>
    </w:p>
    <w:p w14:paraId="5583EAA8" w14:textId="6E3FA285" w:rsidR="00107DC5" w:rsidRPr="00931C08" w:rsidRDefault="00107DC5" w:rsidP="00931C08">
      <w:pPr>
        <w:spacing w:line="276" w:lineRule="auto"/>
        <w:jc w:val="both"/>
        <w:rPr>
          <w:rFonts w:ascii="Arial" w:hAnsi="Arial" w:cs="Arial"/>
          <w:sz w:val="22"/>
          <w:szCs w:val="22"/>
        </w:rPr>
      </w:pPr>
      <w:r w:rsidRPr="00931C08">
        <w:rPr>
          <w:rFonts w:ascii="Arial" w:hAnsi="Arial" w:cs="Arial"/>
          <w:sz w:val="22"/>
          <w:szCs w:val="22"/>
        </w:rPr>
        <w:t xml:space="preserve">Core Policy 58 outlines development consideration </w:t>
      </w:r>
      <w:proofErr w:type="gramStart"/>
      <w:r w:rsidRPr="00931C08">
        <w:rPr>
          <w:rFonts w:ascii="Arial" w:hAnsi="Arial" w:cs="Arial"/>
          <w:sz w:val="22"/>
          <w:szCs w:val="22"/>
        </w:rPr>
        <w:t>with regard to</w:t>
      </w:r>
      <w:proofErr w:type="gramEnd"/>
      <w:r w:rsidRPr="00931C08">
        <w:rPr>
          <w:rFonts w:ascii="Arial" w:hAnsi="Arial" w:cs="Arial"/>
          <w:sz w:val="22"/>
          <w:szCs w:val="22"/>
        </w:rPr>
        <w:t xml:space="preserve"> the historic environment. The policy states that heritage assets and their settings must be conserved and, where appropriate, enhanced through any proposed development. </w:t>
      </w:r>
    </w:p>
    <w:p w14:paraId="567ED4AE" w14:textId="77777777" w:rsidR="00107DC5" w:rsidRPr="00931C08" w:rsidRDefault="00107DC5" w:rsidP="00931C08">
      <w:pPr>
        <w:spacing w:line="276" w:lineRule="auto"/>
        <w:jc w:val="both"/>
        <w:rPr>
          <w:rFonts w:ascii="Arial" w:hAnsi="Arial" w:cs="Arial"/>
          <w:sz w:val="22"/>
          <w:szCs w:val="22"/>
        </w:rPr>
      </w:pPr>
    </w:p>
    <w:p w14:paraId="38278D3C" w14:textId="77777777" w:rsidR="00931C08" w:rsidRPr="00931C08" w:rsidRDefault="00931C08" w:rsidP="00931C08">
      <w:pPr>
        <w:spacing w:line="276" w:lineRule="auto"/>
        <w:jc w:val="both"/>
        <w:rPr>
          <w:rFonts w:ascii="Arial" w:hAnsi="Arial" w:cs="Arial"/>
          <w:sz w:val="22"/>
          <w:szCs w:val="22"/>
        </w:rPr>
      </w:pPr>
      <w:r w:rsidRPr="00931C08">
        <w:rPr>
          <w:rFonts w:ascii="Arial" w:hAnsi="Arial" w:cs="Arial"/>
          <w:sz w:val="22"/>
          <w:szCs w:val="22"/>
        </w:rPr>
        <w:t>There is no identified harm to the setting or significance of the nearby heritage assets. During the site visit it was clear that there are no direct or meaningful views between the proposed solar array and the Grade II listed Holt Farmhouse, owing to the combination of distance, intervening vegetation and the contained nature of the application field. Likewise, although the development site lies just outside the edge of the Holt Conservation Area, existing hedgerow and tree cover around the field form a consistent visual buffer, with boundary vegetation becoming denser seasonally. As a result, the proposal would not affect the character, appearance, or experience of the conservation area, nor would it diminish the setting of the listed building. The development is therefore considered to give rise to no heritage harm.</w:t>
      </w:r>
    </w:p>
    <w:p w14:paraId="79C976C0" w14:textId="77777777" w:rsidR="00107DC5" w:rsidRPr="00075C07" w:rsidRDefault="00107DC5"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4B1279BD" w14:textId="77777777" w:rsidR="00BA0474" w:rsidRDefault="00BA0474" w:rsidP="00CC6665">
      <w:pPr>
        <w:spacing w:line="276" w:lineRule="auto"/>
        <w:jc w:val="both"/>
        <w:rPr>
          <w:rFonts w:ascii="Arial" w:hAnsi="Arial" w:cs="Arial"/>
          <w:color w:val="000000" w:themeColor="text1"/>
          <w:sz w:val="22"/>
          <w:szCs w:val="22"/>
        </w:rPr>
      </w:pPr>
    </w:p>
    <w:p w14:paraId="31213295" w14:textId="77777777" w:rsidR="00CE2983" w:rsidRPr="00CE2983" w:rsidRDefault="00CE2983" w:rsidP="00CE2983">
      <w:pPr>
        <w:spacing w:line="276" w:lineRule="auto"/>
        <w:jc w:val="both"/>
        <w:rPr>
          <w:rFonts w:ascii="Arial" w:hAnsi="Arial" w:cs="Arial"/>
          <w:color w:val="000000" w:themeColor="text1"/>
          <w:sz w:val="22"/>
          <w:szCs w:val="22"/>
        </w:rPr>
      </w:pPr>
      <w:r w:rsidRPr="00CE2983">
        <w:rPr>
          <w:rFonts w:ascii="Arial" w:hAnsi="Arial" w:cs="Arial"/>
          <w:color w:val="000000" w:themeColor="text1"/>
          <w:sz w:val="22"/>
          <w:szCs w:val="22"/>
        </w:rPr>
        <w:t>The nearest dwelling to the proposed installation is the host property, with all other residential dwellings located at least approximately 110 m from the site. Given the very low profile of the array (0.4 m in height), its limited footprint, and the strong degree of natural screening provided by boundary vegetation, the development would not give rise to any concerns relating to overbearing impact, loss of outlook, noise, or general residential amenity. The Public Protection Officer has also raised no objection, subject only to the imposition of a standard construction hours condition, further indicating that no amenity issues are anticipated. Overall, the proposal is considered to have no unacceptable effect on residential amenity.</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D84EB61" w14:textId="77777777" w:rsidR="002A73D1" w:rsidRPr="00075C07" w:rsidRDefault="002A73D1"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6DCE1988" w14:textId="77777777" w:rsidR="00626925" w:rsidRPr="00075C07" w:rsidRDefault="00626925" w:rsidP="00CC6665">
      <w:pPr>
        <w:spacing w:line="276" w:lineRule="auto"/>
        <w:rPr>
          <w:rFonts w:ascii="Arial" w:hAnsi="Arial" w:cs="Arial"/>
          <w:b/>
          <w:bCs/>
          <w:i/>
          <w:iCs/>
          <w:sz w:val="22"/>
          <w:szCs w:val="22"/>
          <w:u w:val="single"/>
        </w:rPr>
      </w:pPr>
    </w:p>
    <w:p w14:paraId="24664B8A" w14:textId="2588904C" w:rsidR="00640499" w:rsidRPr="00975B8C" w:rsidRDefault="00640499" w:rsidP="00CC6665">
      <w:pPr>
        <w:spacing w:line="276" w:lineRule="auto"/>
        <w:jc w:val="both"/>
        <w:rPr>
          <w:rFonts w:ascii="Arial" w:hAnsi="Arial" w:cs="Arial"/>
          <w:b/>
          <w:bCs/>
          <w:sz w:val="22"/>
          <w:szCs w:val="22"/>
        </w:rPr>
      </w:pPr>
      <w:r w:rsidRPr="00975B8C">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Pr="00975B8C">
        <w:rPr>
          <w:rFonts w:ascii="Arial" w:hAnsi="Arial" w:cs="Arial"/>
          <w:b/>
          <w:bCs/>
          <w:sz w:val="22"/>
          <w:szCs w:val="22"/>
        </w:rPr>
        <w:t xml:space="preserve"> </w:t>
      </w:r>
      <w:r w:rsidRPr="00975B8C">
        <w:rPr>
          <w:rFonts w:ascii="Arial" w:hAnsi="Arial" w:cs="Arial"/>
          <w:sz w:val="22"/>
          <w:szCs w:val="22"/>
        </w:rPr>
        <w:t>It is considered that the development does trigger the threshold for required BNG in association with the development proposal and as such must be considered further.</w:t>
      </w:r>
    </w:p>
    <w:p w14:paraId="549EB005" w14:textId="77777777" w:rsidR="00105FF8" w:rsidRPr="00975B8C" w:rsidRDefault="00105FF8" w:rsidP="00CC6665">
      <w:pPr>
        <w:spacing w:line="276" w:lineRule="auto"/>
        <w:jc w:val="both"/>
        <w:rPr>
          <w:rFonts w:ascii="Arial" w:hAnsi="Arial" w:cs="Arial"/>
          <w:sz w:val="22"/>
          <w:szCs w:val="22"/>
        </w:rPr>
      </w:pPr>
    </w:p>
    <w:p w14:paraId="7B616888" w14:textId="77777777" w:rsidR="00626925" w:rsidRPr="00975B8C" w:rsidRDefault="00626925" w:rsidP="00626925">
      <w:pPr>
        <w:spacing w:line="276" w:lineRule="auto"/>
        <w:jc w:val="both"/>
        <w:rPr>
          <w:rFonts w:ascii="Arial" w:hAnsi="Arial" w:cs="Arial"/>
          <w:sz w:val="22"/>
          <w:szCs w:val="22"/>
        </w:rPr>
      </w:pPr>
      <w:r w:rsidRPr="00975B8C">
        <w:rPr>
          <w:rFonts w:ascii="Arial" w:hAnsi="Arial" w:cs="Arial"/>
          <w:sz w:val="22"/>
          <w:szCs w:val="22"/>
        </w:rPr>
        <w:t>The applicant proposes a low</w:t>
      </w:r>
      <w:r w:rsidRPr="00975B8C">
        <w:rPr>
          <w:rFonts w:ascii="Arial" w:hAnsi="Arial" w:cs="Arial"/>
          <w:sz w:val="22"/>
          <w:szCs w:val="22"/>
        </w:rPr>
        <w:noBreakHyphen/>
        <w:t>impact scheme in ecological terms, as the array will sit on a fully reversible, non</w:t>
      </w:r>
      <w:r w:rsidRPr="00975B8C">
        <w:rPr>
          <w:rFonts w:ascii="Arial" w:hAnsi="Arial" w:cs="Arial"/>
          <w:sz w:val="22"/>
          <w:szCs w:val="22"/>
        </w:rPr>
        <w:noBreakHyphen/>
        <w:t>penetrative mounting system that allows the existing grass cover beneath the panels to be retained, avoiding any need for gravel or hard surfacing. To address and offset any minor ecological effects, the applicant also proposes the planting of 11 new trees behind the array as part of their on</w:t>
      </w:r>
      <w:r w:rsidRPr="00975B8C">
        <w:rPr>
          <w:rFonts w:ascii="Arial" w:hAnsi="Arial" w:cs="Arial"/>
          <w:sz w:val="22"/>
          <w:szCs w:val="22"/>
        </w:rPr>
        <w:noBreakHyphen/>
        <w:t>site biodiversity enhancement measures. These details are confirmed within the submitted Biodiversity Gain Plan, which demonstrates a measurable net increase in biodiversity units resulting from the development. The Council’s Ecology Officer has reviewed the submitted information, raised no objection, and accepted the proposed mitigation and enhancements as sufficient. The ecological impacts of the scheme are therefore considered acceptable.</w:t>
      </w:r>
    </w:p>
    <w:p w14:paraId="2C6152F3" w14:textId="77777777" w:rsidR="00626925" w:rsidRPr="00626925" w:rsidRDefault="00626925" w:rsidP="00626925">
      <w:pPr>
        <w:spacing w:line="276" w:lineRule="auto"/>
        <w:jc w:val="both"/>
        <w:rPr>
          <w:rFonts w:ascii="Arial" w:hAnsi="Arial" w:cs="Arial"/>
          <w:color w:val="FF0000"/>
          <w:sz w:val="22"/>
          <w:szCs w:val="22"/>
        </w:rPr>
      </w:pPr>
    </w:p>
    <w:p w14:paraId="5AB63AFE" w14:textId="77777777" w:rsidR="00626925" w:rsidRDefault="00626925" w:rsidP="00626925">
      <w:pPr>
        <w:spacing w:line="276" w:lineRule="auto"/>
        <w:rPr>
          <w:rFonts w:ascii="Arial" w:hAnsi="Arial" w:cs="Arial"/>
          <w:sz w:val="22"/>
          <w:szCs w:val="22"/>
          <w:u w:val="single"/>
        </w:rPr>
      </w:pPr>
      <w:r w:rsidRPr="00075C07">
        <w:rPr>
          <w:rFonts w:ascii="Arial" w:hAnsi="Arial" w:cs="Arial"/>
          <w:sz w:val="22"/>
          <w:szCs w:val="22"/>
          <w:u w:val="single"/>
        </w:rPr>
        <w:t>Transport and Highways</w:t>
      </w:r>
    </w:p>
    <w:p w14:paraId="2072402F" w14:textId="77777777" w:rsidR="00975B8C" w:rsidRPr="00075C07" w:rsidRDefault="00975B8C" w:rsidP="00626925">
      <w:pPr>
        <w:spacing w:line="276" w:lineRule="auto"/>
        <w:rPr>
          <w:rFonts w:ascii="Arial" w:hAnsi="Arial" w:cs="Arial"/>
          <w:b/>
          <w:bCs/>
          <w:i/>
          <w:iCs/>
          <w:sz w:val="22"/>
          <w:szCs w:val="22"/>
          <w:u w:val="single"/>
        </w:rPr>
      </w:pPr>
    </w:p>
    <w:p w14:paraId="11AE5FDD" w14:textId="49E8ACCD" w:rsidR="00626925" w:rsidRPr="00893C13" w:rsidRDefault="00893C13" w:rsidP="00893C13">
      <w:pPr>
        <w:spacing w:line="276" w:lineRule="auto"/>
        <w:jc w:val="both"/>
        <w:rPr>
          <w:rFonts w:ascii="Arial" w:hAnsi="Arial" w:cs="Arial"/>
          <w:sz w:val="22"/>
          <w:szCs w:val="22"/>
        </w:rPr>
      </w:pPr>
      <w:r w:rsidRPr="00893C13">
        <w:rPr>
          <w:rFonts w:ascii="Arial" w:hAnsi="Arial" w:cs="Arial"/>
          <w:sz w:val="22"/>
          <w:szCs w:val="22"/>
        </w:rPr>
        <w:t>Core Policy 60 of the Wiltshire Core Strategy seeks to support safe and efficient movement across the county and to ensure that development appropriately mitigates any transport impacts on local communities. Core Policy 61 further requires proposals to demonstrate consideration of the transport user hierarchy and, where relevant, to provide safe and suitable access to the highway network. National policy reinforces this approach: paragraph 116 of the NPPF states that development should only be refused on highway grounds where it would result in an unacceptable impact on highway safety or where the residual cumulative impact on the road network would be severe. In this case, the proposal relates solely to the positioning of a small-scale solar array and does not alter access, egress, parking arrangements, or generate any material increase in vehicle movements. As such, there are no highway or transport concerns arising from the development, and the scheme is considered wholly acceptable in this regard.</w:t>
      </w:r>
    </w:p>
    <w:p w14:paraId="4998525E" w14:textId="77777777" w:rsidR="00893C13" w:rsidRDefault="00893C13" w:rsidP="00CC6665">
      <w:pPr>
        <w:spacing w:line="276" w:lineRule="auto"/>
        <w:rPr>
          <w:rFonts w:ascii="Arial" w:hAnsi="Arial" w:cs="Arial"/>
          <w:sz w:val="22"/>
          <w:szCs w:val="22"/>
        </w:rPr>
      </w:pPr>
    </w:p>
    <w:p w14:paraId="25BB58DD" w14:textId="77777777" w:rsidR="001964F1" w:rsidRDefault="001964F1" w:rsidP="00CC6665">
      <w:pPr>
        <w:spacing w:line="276" w:lineRule="auto"/>
        <w:rPr>
          <w:rFonts w:ascii="Arial" w:hAnsi="Arial" w:cs="Arial"/>
          <w:sz w:val="22"/>
          <w:szCs w:val="22"/>
        </w:rPr>
      </w:pPr>
    </w:p>
    <w:p w14:paraId="6431FDFA" w14:textId="77777777" w:rsidR="001964F1" w:rsidRDefault="001964F1" w:rsidP="00CC6665">
      <w:pPr>
        <w:spacing w:line="276" w:lineRule="auto"/>
        <w:rPr>
          <w:rFonts w:ascii="Arial" w:hAnsi="Arial" w:cs="Arial"/>
          <w:sz w:val="22"/>
          <w:szCs w:val="22"/>
        </w:rPr>
      </w:pPr>
    </w:p>
    <w:p w14:paraId="4F328211" w14:textId="77777777" w:rsidR="001964F1" w:rsidRPr="00075C07" w:rsidRDefault="001964F1" w:rsidP="00CC6665">
      <w:pPr>
        <w:spacing w:line="276" w:lineRule="auto"/>
        <w:rPr>
          <w:rFonts w:ascii="Arial" w:hAnsi="Arial" w:cs="Arial"/>
          <w:sz w:val="22"/>
          <w:szCs w:val="22"/>
        </w:rPr>
      </w:pPr>
    </w:p>
    <w:p w14:paraId="5868754C" w14:textId="30F6DF58"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lastRenderedPageBreak/>
        <w:t>Flooding and Drainage</w:t>
      </w:r>
    </w:p>
    <w:p w14:paraId="074D2C1C" w14:textId="77777777" w:rsidR="00626925" w:rsidRPr="00075C07" w:rsidRDefault="00626925" w:rsidP="00CC6665">
      <w:pPr>
        <w:spacing w:line="276" w:lineRule="auto"/>
        <w:rPr>
          <w:rFonts w:ascii="Arial" w:hAnsi="Arial" w:cs="Arial"/>
          <w:b/>
          <w:bCs/>
          <w:i/>
          <w:iCs/>
          <w:sz w:val="22"/>
          <w:szCs w:val="22"/>
          <w:u w:val="single"/>
        </w:rPr>
      </w:pPr>
    </w:p>
    <w:p w14:paraId="45B013E5" w14:textId="3C253B05" w:rsidR="004B79CC" w:rsidRDefault="00926A83" w:rsidP="00926A83">
      <w:pPr>
        <w:spacing w:line="276" w:lineRule="auto"/>
        <w:jc w:val="both"/>
        <w:rPr>
          <w:rFonts w:ascii="Arial" w:hAnsi="Arial" w:cs="Arial"/>
          <w:sz w:val="22"/>
          <w:szCs w:val="22"/>
        </w:rPr>
      </w:pPr>
      <w:r w:rsidRPr="00926A83">
        <w:rPr>
          <w:rFonts w:ascii="Arial" w:hAnsi="Arial" w:cs="Arial"/>
          <w:sz w:val="22"/>
          <w:szCs w:val="22"/>
        </w:rPr>
        <w:t>Core Policy 67 of the Wiltshire Core Strategy requires new development to be planned and designed to manage flood risk appropriately, while paragraph 172 of the NPPF emphasise the need for a sequential, risk</w:t>
      </w:r>
      <w:r w:rsidRPr="00926A83">
        <w:rPr>
          <w:rFonts w:ascii="Cambria Math" w:hAnsi="Cambria Math" w:cs="Cambria Math"/>
          <w:sz w:val="22"/>
          <w:szCs w:val="22"/>
        </w:rPr>
        <w:t>‑</w:t>
      </w:r>
      <w:r w:rsidRPr="00926A83">
        <w:rPr>
          <w:rFonts w:ascii="Arial" w:hAnsi="Arial" w:cs="Arial"/>
          <w:sz w:val="22"/>
          <w:szCs w:val="22"/>
        </w:rPr>
        <w:t>based approach and the incorporation of sustainable drainage measures. In this case, the site lies within Flood Zone 1, and the Strategic Flood Risk Assessment identifies no risk of surface water or groundwater flooding at this location. The proposal maintains the existing grass cover beneath the solar array, and the installation involves no hard surfacing, meaning rainwater will continue to infiltrate naturally into the ground. Surface water run</w:t>
      </w:r>
      <w:r w:rsidRPr="00926A83">
        <w:rPr>
          <w:rFonts w:ascii="Cambria Math" w:hAnsi="Cambria Math" w:cs="Cambria Math"/>
          <w:sz w:val="22"/>
          <w:szCs w:val="22"/>
        </w:rPr>
        <w:t>‑</w:t>
      </w:r>
      <w:r w:rsidRPr="00926A83">
        <w:rPr>
          <w:rFonts w:ascii="Arial" w:hAnsi="Arial" w:cs="Arial"/>
          <w:sz w:val="22"/>
          <w:szCs w:val="22"/>
        </w:rPr>
        <w:t>off will therefore be no different from existing conditions. As such, the development presents no increased flood risk and is considered fully acceptable in terms of flood risk and drainage.</w:t>
      </w:r>
    </w:p>
    <w:p w14:paraId="24590539" w14:textId="77777777" w:rsidR="001D4599" w:rsidRPr="00926A83" w:rsidRDefault="001D4599" w:rsidP="00926A83">
      <w:pPr>
        <w:spacing w:line="276" w:lineRule="auto"/>
        <w:jc w:val="both"/>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7F4210" w:rsidRDefault="00075C07" w:rsidP="00CC6665">
      <w:pPr>
        <w:pStyle w:val="ListParagraph"/>
        <w:tabs>
          <w:tab w:val="num" w:pos="567"/>
        </w:tabs>
        <w:spacing w:line="276" w:lineRule="auto"/>
        <w:ind w:left="567" w:hanging="567"/>
        <w:jc w:val="both"/>
        <w:rPr>
          <w:rFonts w:ascii="Arial" w:hAnsi="Arial" w:cs="Arial"/>
          <w:sz w:val="22"/>
          <w:szCs w:val="22"/>
        </w:rPr>
      </w:pPr>
    </w:p>
    <w:p w14:paraId="46251457" w14:textId="206C038E" w:rsidR="00075C07" w:rsidRPr="007F4210" w:rsidRDefault="004367D5" w:rsidP="00CC6665">
      <w:pPr>
        <w:pStyle w:val="ListParagraph"/>
        <w:tabs>
          <w:tab w:val="num" w:pos="567"/>
        </w:tabs>
        <w:spacing w:line="276" w:lineRule="auto"/>
        <w:ind w:left="567" w:hanging="567"/>
        <w:jc w:val="both"/>
        <w:rPr>
          <w:rFonts w:ascii="Arial" w:hAnsi="Arial" w:cs="Arial"/>
          <w:sz w:val="22"/>
          <w:szCs w:val="22"/>
        </w:rPr>
      </w:pPr>
      <w:r w:rsidRPr="007F4210">
        <w:rPr>
          <w:rFonts w:ascii="Arial" w:hAnsi="Arial" w:cs="Arial"/>
          <w:sz w:val="22"/>
          <w:szCs w:val="22"/>
        </w:rPr>
        <w:t>Top Plan – Proposed 40621-3 A</w:t>
      </w:r>
    </w:p>
    <w:p w14:paraId="72C2B511" w14:textId="6E02F3E6" w:rsidR="004367D5" w:rsidRPr="007F4210" w:rsidRDefault="004367D5" w:rsidP="00CC6665">
      <w:pPr>
        <w:pStyle w:val="ListParagraph"/>
        <w:tabs>
          <w:tab w:val="num" w:pos="567"/>
        </w:tabs>
        <w:spacing w:line="276" w:lineRule="auto"/>
        <w:ind w:left="567" w:hanging="567"/>
        <w:jc w:val="both"/>
        <w:rPr>
          <w:rFonts w:ascii="Arial" w:hAnsi="Arial" w:cs="Arial"/>
          <w:sz w:val="22"/>
          <w:szCs w:val="22"/>
        </w:rPr>
      </w:pPr>
      <w:r w:rsidRPr="007F4210">
        <w:rPr>
          <w:rFonts w:ascii="Arial" w:hAnsi="Arial" w:cs="Arial"/>
          <w:sz w:val="22"/>
          <w:szCs w:val="22"/>
        </w:rPr>
        <w:t>T</w:t>
      </w:r>
      <w:r w:rsidR="00086682" w:rsidRPr="007F4210">
        <w:rPr>
          <w:rFonts w:ascii="Arial" w:hAnsi="Arial" w:cs="Arial"/>
          <w:sz w:val="22"/>
          <w:szCs w:val="22"/>
        </w:rPr>
        <w:t>r</w:t>
      </w:r>
      <w:r w:rsidRPr="007F4210">
        <w:rPr>
          <w:rFonts w:ascii="Arial" w:hAnsi="Arial" w:cs="Arial"/>
          <w:sz w:val="22"/>
          <w:szCs w:val="22"/>
        </w:rPr>
        <w:t>enching Details 40</w:t>
      </w:r>
      <w:r w:rsidR="00086682" w:rsidRPr="007F4210">
        <w:rPr>
          <w:rFonts w:ascii="Arial" w:hAnsi="Arial" w:cs="Arial"/>
          <w:sz w:val="22"/>
          <w:szCs w:val="22"/>
        </w:rPr>
        <w:t>621-6 A</w:t>
      </w:r>
    </w:p>
    <w:p w14:paraId="0441DE8A" w14:textId="550DA7B3" w:rsidR="00086682" w:rsidRPr="007F4210" w:rsidRDefault="00086682" w:rsidP="00CC6665">
      <w:pPr>
        <w:pStyle w:val="ListParagraph"/>
        <w:tabs>
          <w:tab w:val="num" w:pos="567"/>
        </w:tabs>
        <w:spacing w:line="276" w:lineRule="auto"/>
        <w:ind w:left="567" w:hanging="567"/>
        <w:jc w:val="both"/>
        <w:rPr>
          <w:rFonts w:ascii="Arial" w:hAnsi="Arial" w:cs="Arial"/>
          <w:sz w:val="22"/>
          <w:szCs w:val="22"/>
        </w:rPr>
      </w:pPr>
      <w:r w:rsidRPr="007F4210">
        <w:rPr>
          <w:rFonts w:ascii="Arial" w:hAnsi="Arial" w:cs="Arial"/>
          <w:sz w:val="22"/>
          <w:szCs w:val="22"/>
        </w:rPr>
        <w:t>Block Plan 40621-1 A</w:t>
      </w:r>
    </w:p>
    <w:p w14:paraId="756AAD14" w14:textId="60F8C8B0" w:rsidR="00FB41FF" w:rsidRPr="007F4210" w:rsidRDefault="00086682" w:rsidP="00FB41FF">
      <w:pPr>
        <w:pStyle w:val="ListParagraph"/>
        <w:tabs>
          <w:tab w:val="num" w:pos="567"/>
        </w:tabs>
        <w:spacing w:line="276" w:lineRule="auto"/>
        <w:ind w:left="567" w:hanging="567"/>
        <w:jc w:val="both"/>
        <w:rPr>
          <w:rFonts w:ascii="Arial" w:hAnsi="Arial" w:cs="Arial"/>
          <w:sz w:val="22"/>
          <w:szCs w:val="22"/>
        </w:rPr>
      </w:pPr>
      <w:r w:rsidRPr="007F4210">
        <w:rPr>
          <w:rFonts w:ascii="Arial" w:hAnsi="Arial" w:cs="Arial"/>
          <w:sz w:val="22"/>
          <w:szCs w:val="22"/>
        </w:rPr>
        <w:t xml:space="preserve">Trees and Hedges </w:t>
      </w:r>
      <w:r w:rsidR="00FB41FF" w:rsidRPr="007F4210">
        <w:rPr>
          <w:rFonts w:ascii="Arial" w:hAnsi="Arial" w:cs="Arial"/>
          <w:sz w:val="22"/>
          <w:szCs w:val="22"/>
        </w:rPr>
        <w:t>40632-7 A</w:t>
      </w:r>
    </w:p>
    <w:p w14:paraId="5258FB67" w14:textId="0A7EE4A4" w:rsidR="00FB41FF" w:rsidRPr="007F4210" w:rsidRDefault="00FB41FF" w:rsidP="00FB41FF">
      <w:pPr>
        <w:pStyle w:val="ListParagraph"/>
        <w:tabs>
          <w:tab w:val="num" w:pos="567"/>
        </w:tabs>
        <w:spacing w:line="276" w:lineRule="auto"/>
        <w:ind w:left="567" w:hanging="567"/>
        <w:jc w:val="both"/>
        <w:rPr>
          <w:rFonts w:ascii="Arial" w:hAnsi="Arial" w:cs="Arial"/>
          <w:sz w:val="22"/>
          <w:szCs w:val="22"/>
        </w:rPr>
      </w:pPr>
      <w:r w:rsidRPr="007F4210">
        <w:rPr>
          <w:rFonts w:ascii="Arial" w:hAnsi="Arial" w:cs="Arial"/>
          <w:sz w:val="22"/>
          <w:szCs w:val="22"/>
        </w:rPr>
        <w:t>Front Plan – Proposed 40621-4 A</w:t>
      </w:r>
    </w:p>
    <w:p w14:paraId="5F5C0641" w14:textId="17C07D15" w:rsidR="004F4B58" w:rsidRPr="007F4210" w:rsidRDefault="004F4B58" w:rsidP="007F4210">
      <w:pPr>
        <w:pStyle w:val="ListParagraph"/>
        <w:tabs>
          <w:tab w:val="num" w:pos="567"/>
        </w:tabs>
        <w:spacing w:line="276" w:lineRule="auto"/>
        <w:ind w:left="567" w:hanging="567"/>
        <w:jc w:val="both"/>
        <w:rPr>
          <w:rFonts w:ascii="Arial" w:hAnsi="Arial" w:cs="Arial"/>
          <w:sz w:val="22"/>
          <w:szCs w:val="22"/>
        </w:rPr>
      </w:pPr>
      <w:r w:rsidRPr="007F4210">
        <w:rPr>
          <w:rFonts w:ascii="Arial" w:hAnsi="Arial" w:cs="Arial"/>
          <w:sz w:val="22"/>
          <w:szCs w:val="22"/>
        </w:rPr>
        <w:t>Location Plan (2 Feb 2026)</w:t>
      </w:r>
    </w:p>
    <w:p w14:paraId="6C582935" w14:textId="77777777" w:rsidR="004367D5" w:rsidRPr="00075C07" w:rsidRDefault="004367D5"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038F3A7" w:rsidR="006B4ED4" w:rsidRPr="004255DC" w:rsidRDefault="004255DC" w:rsidP="00FE0FB2">
      <w:pPr>
        <w:rPr>
          <w:rFonts w:ascii="Arial" w:hAnsi="Arial" w:cs="Arial"/>
        </w:rPr>
      </w:pPr>
      <w:r w:rsidRPr="004255DC">
        <w:rPr>
          <w:rFonts w:ascii="Arial" w:hAnsi="Arial" w:cs="Arial"/>
        </w:rPr>
        <w:t>3.</w:t>
      </w:r>
    </w:p>
    <w:p w14:paraId="14B678BE" w14:textId="4D110ED4" w:rsidR="00A650CE" w:rsidRPr="004255DC" w:rsidRDefault="00A650CE" w:rsidP="00FE0FB2">
      <w:pPr>
        <w:rPr>
          <w:rFonts w:ascii="Arial" w:hAnsi="Arial" w:cs="Arial"/>
          <w:sz w:val="22"/>
          <w:szCs w:val="22"/>
        </w:rPr>
      </w:pPr>
      <w:r w:rsidRPr="004255DC">
        <w:rPr>
          <w:rFonts w:ascii="Arial" w:hAnsi="Arial" w:cs="Arial"/>
          <w:sz w:val="22"/>
          <w:szCs w:val="22"/>
        </w:rPr>
        <w:t>Construction hours shall be limited to 0800 to 1800 hrs Monday to Friday, 0800 to 1300 hrs Saturday and no working on Sundays or Bank Holidays.</w:t>
      </w:r>
    </w:p>
    <w:p w14:paraId="5A4DB7CC" w14:textId="77777777" w:rsidR="004255DC" w:rsidRDefault="004255DC" w:rsidP="004255DC">
      <w:pPr>
        <w:rPr>
          <w:rFonts w:ascii="Arial" w:hAnsi="Arial" w:cs="Arial"/>
          <w:color w:val="FF0000"/>
          <w:sz w:val="20"/>
          <w:szCs w:val="20"/>
        </w:rPr>
      </w:pPr>
    </w:p>
    <w:p w14:paraId="788C1E46" w14:textId="77777777" w:rsidR="004255DC" w:rsidRPr="009B6514" w:rsidRDefault="004255DC" w:rsidP="004255DC">
      <w:pPr>
        <w:jc w:val="both"/>
        <w:rPr>
          <w:rFonts w:ascii="Arial" w:hAnsi="Arial" w:cs="Arial"/>
          <w:sz w:val="22"/>
          <w:szCs w:val="22"/>
        </w:rPr>
      </w:pPr>
      <w:r w:rsidRPr="009B6514">
        <w:rPr>
          <w:rFonts w:ascii="Arial" w:hAnsi="Arial" w:cs="Arial"/>
          <w:sz w:val="22"/>
          <w:szCs w:val="22"/>
        </w:rPr>
        <w:t>REASON:  To ensure the creation/retention of an environment free from intrusive levels of noise and activity in the interests of the amenity of the area.</w:t>
      </w:r>
    </w:p>
    <w:p w14:paraId="40319953" w14:textId="77777777" w:rsidR="004255DC" w:rsidRPr="004255DC" w:rsidRDefault="004255DC" w:rsidP="004255DC">
      <w:pPr>
        <w:rPr>
          <w:rFonts w:ascii="Arial" w:hAnsi="Arial" w:cs="Arial"/>
          <w:sz w:val="20"/>
          <w:szCs w:val="20"/>
        </w:rPr>
      </w:pPr>
    </w:p>
    <w:sectPr w:rsidR="004255DC" w:rsidRPr="004255DC"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222D3"/>
    <w:rsid w:val="00030FF3"/>
    <w:rsid w:val="00031287"/>
    <w:rsid w:val="000401C9"/>
    <w:rsid w:val="00044328"/>
    <w:rsid w:val="000456D0"/>
    <w:rsid w:val="00056AC9"/>
    <w:rsid w:val="0005734A"/>
    <w:rsid w:val="0006177E"/>
    <w:rsid w:val="00062A40"/>
    <w:rsid w:val="0007364A"/>
    <w:rsid w:val="00075C07"/>
    <w:rsid w:val="00081734"/>
    <w:rsid w:val="0008663E"/>
    <w:rsid w:val="00086682"/>
    <w:rsid w:val="00087823"/>
    <w:rsid w:val="000A1FBF"/>
    <w:rsid w:val="000B0456"/>
    <w:rsid w:val="000B08E8"/>
    <w:rsid w:val="000B3CAF"/>
    <w:rsid w:val="000B4D97"/>
    <w:rsid w:val="000C6EF7"/>
    <w:rsid w:val="000D01DA"/>
    <w:rsid w:val="000D0E39"/>
    <w:rsid w:val="000D1E16"/>
    <w:rsid w:val="000E3596"/>
    <w:rsid w:val="000E38BA"/>
    <w:rsid w:val="000F1D22"/>
    <w:rsid w:val="000F25DC"/>
    <w:rsid w:val="001003C2"/>
    <w:rsid w:val="00105FF8"/>
    <w:rsid w:val="00107DC5"/>
    <w:rsid w:val="00110FD1"/>
    <w:rsid w:val="00113A8D"/>
    <w:rsid w:val="0012283E"/>
    <w:rsid w:val="0012332F"/>
    <w:rsid w:val="001251AE"/>
    <w:rsid w:val="001424CE"/>
    <w:rsid w:val="001424D4"/>
    <w:rsid w:val="0015620C"/>
    <w:rsid w:val="0016397C"/>
    <w:rsid w:val="00164DC7"/>
    <w:rsid w:val="0017440C"/>
    <w:rsid w:val="0018465E"/>
    <w:rsid w:val="001929B3"/>
    <w:rsid w:val="00193EC7"/>
    <w:rsid w:val="001964F1"/>
    <w:rsid w:val="001A0A2E"/>
    <w:rsid w:val="001A0F50"/>
    <w:rsid w:val="001A14B2"/>
    <w:rsid w:val="001B17F8"/>
    <w:rsid w:val="001B2AF4"/>
    <w:rsid w:val="001C1784"/>
    <w:rsid w:val="001C4291"/>
    <w:rsid w:val="001C770A"/>
    <w:rsid w:val="001D3680"/>
    <w:rsid w:val="001D4599"/>
    <w:rsid w:val="001E210B"/>
    <w:rsid w:val="001F52AF"/>
    <w:rsid w:val="00212E9D"/>
    <w:rsid w:val="00215BB1"/>
    <w:rsid w:val="00220396"/>
    <w:rsid w:val="002238D3"/>
    <w:rsid w:val="002241F3"/>
    <w:rsid w:val="00224234"/>
    <w:rsid w:val="00227942"/>
    <w:rsid w:val="002346D2"/>
    <w:rsid w:val="0023524B"/>
    <w:rsid w:val="00236BAA"/>
    <w:rsid w:val="00237835"/>
    <w:rsid w:val="0024344D"/>
    <w:rsid w:val="0024516A"/>
    <w:rsid w:val="00245EA8"/>
    <w:rsid w:val="00247662"/>
    <w:rsid w:val="00255042"/>
    <w:rsid w:val="002574DF"/>
    <w:rsid w:val="00262F2E"/>
    <w:rsid w:val="002755A2"/>
    <w:rsid w:val="00280600"/>
    <w:rsid w:val="0028102A"/>
    <w:rsid w:val="002A0353"/>
    <w:rsid w:val="002A1715"/>
    <w:rsid w:val="002A73D1"/>
    <w:rsid w:val="002B2380"/>
    <w:rsid w:val="002B344C"/>
    <w:rsid w:val="002B5192"/>
    <w:rsid w:val="002C4607"/>
    <w:rsid w:val="002C650A"/>
    <w:rsid w:val="002E02F9"/>
    <w:rsid w:val="002E6332"/>
    <w:rsid w:val="002E6872"/>
    <w:rsid w:val="002F3303"/>
    <w:rsid w:val="002F4101"/>
    <w:rsid w:val="002F53F9"/>
    <w:rsid w:val="00303570"/>
    <w:rsid w:val="00304DA1"/>
    <w:rsid w:val="00306089"/>
    <w:rsid w:val="00313982"/>
    <w:rsid w:val="003206DE"/>
    <w:rsid w:val="003240DB"/>
    <w:rsid w:val="00327F1B"/>
    <w:rsid w:val="00334D7C"/>
    <w:rsid w:val="0033669A"/>
    <w:rsid w:val="00341989"/>
    <w:rsid w:val="0035771C"/>
    <w:rsid w:val="00363BD7"/>
    <w:rsid w:val="00371825"/>
    <w:rsid w:val="00371AAC"/>
    <w:rsid w:val="00383F2A"/>
    <w:rsid w:val="00386259"/>
    <w:rsid w:val="00387981"/>
    <w:rsid w:val="003A1308"/>
    <w:rsid w:val="003A3155"/>
    <w:rsid w:val="003A7F6C"/>
    <w:rsid w:val="003B136F"/>
    <w:rsid w:val="003B26C9"/>
    <w:rsid w:val="003B4330"/>
    <w:rsid w:val="003B4451"/>
    <w:rsid w:val="003C3FF7"/>
    <w:rsid w:val="003C76C7"/>
    <w:rsid w:val="003C7844"/>
    <w:rsid w:val="003C7ED9"/>
    <w:rsid w:val="003D015A"/>
    <w:rsid w:val="003D1E9D"/>
    <w:rsid w:val="003D5C26"/>
    <w:rsid w:val="003E43F6"/>
    <w:rsid w:val="00403FEB"/>
    <w:rsid w:val="00406E82"/>
    <w:rsid w:val="0041549C"/>
    <w:rsid w:val="00417846"/>
    <w:rsid w:val="00421043"/>
    <w:rsid w:val="00421DC5"/>
    <w:rsid w:val="004226F2"/>
    <w:rsid w:val="004228A8"/>
    <w:rsid w:val="004255DC"/>
    <w:rsid w:val="004330EA"/>
    <w:rsid w:val="00434323"/>
    <w:rsid w:val="00436238"/>
    <w:rsid w:val="004367D5"/>
    <w:rsid w:val="00441C5A"/>
    <w:rsid w:val="004434AB"/>
    <w:rsid w:val="0045663E"/>
    <w:rsid w:val="00461560"/>
    <w:rsid w:val="00462077"/>
    <w:rsid w:val="00462BEF"/>
    <w:rsid w:val="004631CA"/>
    <w:rsid w:val="0046523C"/>
    <w:rsid w:val="004671CC"/>
    <w:rsid w:val="00475ACD"/>
    <w:rsid w:val="0048452F"/>
    <w:rsid w:val="00485212"/>
    <w:rsid w:val="004873D2"/>
    <w:rsid w:val="00491172"/>
    <w:rsid w:val="00492EB4"/>
    <w:rsid w:val="00495945"/>
    <w:rsid w:val="004A0B45"/>
    <w:rsid w:val="004A59AA"/>
    <w:rsid w:val="004B0D89"/>
    <w:rsid w:val="004B0DD9"/>
    <w:rsid w:val="004B79CC"/>
    <w:rsid w:val="004C739B"/>
    <w:rsid w:val="004D103C"/>
    <w:rsid w:val="004D1B58"/>
    <w:rsid w:val="004D20B5"/>
    <w:rsid w:val="004D29B9"/>
    <w:rsid w:val="004E5366"/>
    <w:rsid w:val="004E5947"/>
    <w:rsid w:val="004E7A6C"/>
    <w:rsid w:val="004F26D5"/>
    <w:rsid w:val="004F4B58"/>
    <w:rsid w:val="004F57B4"/>
    <w:rsid w:val="0050043D"/>
    <w:rsid w:val="0051231F"/>
    <w:rsid w:val="0051622F"/>
    <w:rsid w:val="00516CAC"/>
    <w:rsid w:val="005214B8"/>
    <w:rsid w:val="00522A6A"/>
    <w:rsid w:val="0053334B"/>
    <w:rsid w:val="00540D8E"/>
    <w:rsid w:val="005435B4"/>
    <w:rsid w:val="00552306"/>
    <w:rsid w:val="00554E40"/>
    <w:rsid w:val="00556B5B"/>
    <w:rsid w:val="00557B1E"/>
    <w:rsid w:val="00561AE7"/>
    <w:rsid w:val="0056508E"/>
    <w:rsid w:val="00580DA8"/>
    <w:rsid w:val="005A3D8E"/>
    <w:rsid w:val="005A7264"/>
    <w:rsid w:val="005B1CA8"/>
    <w:rsid w:val="005B7582"/>
    <w:rsid w:val="005C0C82"/>
    <w:rsid w:val="005C30A6"/>
    <w:rsid w:val="005C5A46"/>
    <w:rsid w:val="005D2581"/>
    <w:rsid w:val="005D7F1D"/>
    <w:rsid w:val="005E1159"/>
    <w:rsid w:val="005E48C3"/>
    <w:rsid w:val="005F0C1A"/>
    <w:rsid w:val="005F0F03"/>
    <w:rsid w:val="005F424D"/>
    <w:rsid w:val="005F4AFC"/>
    <w:rsid w:val="00601AAD"/>
    <w:rsid w:val="0060536A"/>
    <w:rsid w:val="00606E13"/>
    <w:rsid w:val="00614357"/>
    <w:rsid w:val="00624445"/>
    <w:rsid w:val="00626925"/>
    <w:rsid w:val="006325D0"/>
    <w:rsid w:val="006361C6"/>
    <w:rsid w:val="00640499"/>
    <w:rsid w:val="0064099D"/>
    <w:rsid w:val="0064468A"/>
    <w:rsid w:val="006475CE"/>
    <w:rsid w:val="00650186"/>
    <w:rsid w:val="006527F4"/>
    <w:rsid w:val="00652B96"/>
    <w:rsid w:val="00653201"/>
    <w:rsid w:val="00663B0D"/>
    <w:rsid w:val="006646C2"/>
    <w:rsid w:val="0067097F"/>
    <w:rsid w:val="006765B6"/>
    <w:rsid w:val="00685272"/>
    <w:rsid w:val="00687041"/>
    <w:rsid w:val="00693EE0"/>
    <w:rsid w:val="00694DDA"/>
    <w:rsid w:val="006968E4"/>
    <w:rsid w:val="006A046D"/>
    <w:rsid w:val="006A676B"/>
    <w:rsid w:val="006B4ED4"/>
    <w:rsid w:val="006C0878"/>
    <w:rsid w:val="006C1101"/>
    <w:rsid w:val="006C3E6E"/>
    <w:rsid w:val="006C68D8"/>
    <w:rsid w:val="006D2DAA"/>
    <w:rsid w:val="006E01F8"/>
    <w:rsid w:val="006E26D9"/>
    <w:rsid w:val="006E7161"/>
    <w:rsid w:val="006F3CE5"/>
    <w:rsid w:val="006F6EEE"/>
    <w:rsid w:val="00701E79"/>
    <w:rsid w:val="00710117"/>
    <w:rsid w:val="007126AD"/>
    <w:rsid w:val="00713A31"/>
    <w:rsid w:val="00724032"/>
    <w:rsid w:val="0072500F"/>
    <w:rsid w:val="0072605C"/>
    <w:rsid w:val="007336B3"/>
    <w:rsid w:val="0073376C"/>
    <w:rsid w:val="00751CD6"/>
    <w:rsid w:val="00760BEF"/>
    <w:rsid w:val="00765813"/>
    <w:rsid w:val="00773C1F"/>
    <w:rsid w:val="00774BF0"/>
    <w:rsid w:val="00777F61"/>
    <w:rsid w:val="0078193E"/>
    <w:rsid w:val="00783809"/>
    <w:rsid w:val="0078630E"/>
    <w:rsid w:val="00791464"/>
    <w:rsid w:val="00794688"/>
    <w:rsid w:val="007A3D0E"/>
    <w:rsid w:val="007A5705"/>
    <w:rsid w:val="007A61A7"/>
    <w:rsid w:val="007B2237"/>
    <w:rsid w:val="007B2589"/>
    <w:rsid w:val="007C2046"/>
    <w:rsid w:val="007C4434"/>
    <w:rsid w:val="007C5693"/>
    <w:rsid w:val="007D167B"/>
    <w:rsid w:val="007D69FB"/>
    <w:rsid w:val="007E0B02"/>
    <w:rsid w:val="007E19A1"/>
    <w:rsid w:val="007F204C"/>
    <w:rsid w:val="007F4210"/>
    <w:rsid w:val="00812AF8"/>
    <w:rsid w:val="0081484B"/>
    <w:rsid w:val="00820464"/>
    <w:rsid w:val="00827534"/>
    <w:rsid w:val="00827906"/>
    <w:rsid w:val="00830B6D"/>
    <w:rsid w:val="00831793"/>
    <w:rsid w:val="00841628"/>
    <w:rsid w:val="00856BF8"/>
    <w:rsid w:val="008610E2"/>
    <w:rsid w:val="0086349B"/>
    <w:rsid w:val="0086459F"/>
    <w:rsid w:val="00871565"/>
    <w:rsid w:val="00874E1A"/>
    <w:rsid w:val="0088368E"/>
    <w:rsid w:val="00890257"/>
    <w:rsid w:val="00893C13"/>
    <w:rsid w:val="0089746E"/>
    <w:rsid w:val="0089794B"/>
    <w:rsid w:val="008A1A00"/>
    <w:rsid w:val="008A6179"/>
    <w:rsid w:val="008A743E"/>
    <w:rsid w:val="008B1BB2"/>
    <w:rsid w:val="008B6D55"/>
    <w:rsid w:val="008B781F"/>
    <w:rsid w:val="008C2CBB"/>
    <w:rsid w:val="008D5791"/>
    <w:rsid w:val="008D6C52"/>
    <w:rsid w:val="008E5C53"/>
    <w:rsid w:val="008F1CFF"/>
    <w:rsid w:val="00905C36"/>
    <w:rsid w:val="0090612D"/>
    <w:rsid w:val="00911C57"/>
    <w:rsid w:val="00914E93"/>
    <w:rsid w:val="00921461"/>
    <w:rsid w:val="00926A83"/>
    <w:rsid w:val="00931C08"/>
    <w:rsid w:val="00937BE7"/>
    <w:rsid w:val="00944708"/>
    <w:rsid w:val="00946DDB"/>
    <w:rsid w:val="00960475"/>
    <w:rsid w:val="009753A2"/>
    <w:rsid w:val="00975B8C"/>
    <w:rsid w:val="0098148F"/>
    <w:rsid w:val="00982397"/>
    <w:rsid w:val="00982730"/>
    <w:rsid w:val="00982EB1"/>
    <w:rsid w:val="009830C6"/>
    <w:rsid w:val="00990E62"/>
    <w:rsid w:val="00995309"/>
    <w:rsid w:val="009969D7"/>
    <w:rsid w:val="00997306"/>
    <w:rsid w:val="009A5A55"/>
    <w:rsid w:val="009B105F"/>
    <w:rsid w:val="009C0B7F"/>
    <w:rsid w:val="009C68FD"/>
    <w:rsid w:val="009D2F03"/>
    <w:rsid w:val="009D621E"/>
    <w:rsid w:val="009E223C"/>
    <w:rsid w:val="009E23EC"/>
    <w:rsid w:val="009E6324"/>
    <w:rsid w:val="009F3A00"/>
    <w:rsid w:val="00A30B7E"/>
    <w:rsid w:val="00A349B0"/>
    <w:rsid w:val="00A37686"/>
    <w:rsid w:val="00A42C19"/>
    <w:rsid w:val="00A4573C"/>
    <w:rsid w:val="00A650CE"/>
    <w:rsid w:val="00A65218"/>
    <w:rsid w:val="00A71CD4"/>
    <w:rsid w:val="00A84775"/>
    <w:rsid w:val="00A860E2"/>
    <w:rsid w:val="00A9321F"/>
    <w:rsid w:val="00A938B9"/>
    <w:rsid w:val="00AA3D23"/>
    <w:rsid w:val="00AB18D6"/>
    <w:rsid w:val="00AB1E61"/>
    <w:rsid w:val="00AB2910"/>
    <w:rsid w:val="00AB358F"/>
    <w:rsid w:val="00AC22E2"/>
    <w:rsid w:val="00AC499A"/>
    <w:rsid w:val="00AD0940"/>
    <w:rsid w:val="00AD1099"/>
    <w:rsid w:val="00AD1819"/>
    <w:rsid w:val="00AD3402"/>
    <w:rsid w:val="00AD4290"/>
    <w:rsid w:val="00AE3D1A"/>
    <w:rsid w:val="00AE53C4"/>
    <w:rsid w:val="00B11792"/>
    <w:rsid w:val="00B125B4"/>
    <w:rsid w:val="00B149EB"/>
    <w:rsid w:val="00B15AD7"/>
    <w:rsid w:val="00B16AEF"/>
    <w:rsid w:val="00B20C1F"/>
    <w:rsid w:val="00B21D27"/>
    <w:rsid w:val="00B27418"/>
    <w:rsid w:val="00B31880"/>
    <w:rsid w:val="00B40BA3"/>
    <w:rsid w:val="00B41FA9"/>
    <w:rsid w:val="00B42171"/>
    <w:rsid w:val="00B42385"/>
    <w:rsid w:val="00B47DE8"/>
    <w:rsid w:val="00B5556F"/>
    <w:rsid w:val="00B62AC6"/>
    <w:rsid w:val="00B812E0"/>
    <w:rsid w:val="00B86414"/>
    <w:rsid w:val="00B86CE9"/>
    <w:rsid w:val="00BA0474"/>
    <w:rsid w:val="00BB0CA0"/>
    <w:rsid w:val="00BB2CE7"/>
    <w:rsid w:val="00BB5ED0"/>
    <w:rsid w:val="00BB7833"/>
    <w:rsid w:val="00BC39D3"/>
    <w:rsid w:val="00BC78BB"/>
    <w:rsid w:val="00BD07DC"/>
    <w:rsid w:val="00BD3BD3"/>
    <w:rsid w:val="00BD44C1"/>
    <w:rsid w:val="00BD5CE2"/>
    <w:rsid w:val="00BE04AB"/>
    <w:rsid w:val="00BE644A"/>
    <w:rsid w:val="00BF0BA3"/>
    <w:rsid w:val="00BF1266"/>
    <w:rsid w:val="00BF4374"/>
    <w:rsid w:val="00BF52C1"/>
    <w:rsid w:val="00C0213E"/>
    <w:rsid w:val="00C02D65"/>
    <w:rsid w:val="00C04E35"/>
    <w:rsid w:val="00C25413"/>
    <w:rsid w:val="00C328B6"/>
    <w:rsid w:val="00C44B5F"/>
    <w:rsid w:val="00C53B6A"/>
    <w:rsid w:val="00C563CE"/>
    <w:rsid w:val="00C56682"/>
    <w:rsid w:val="00C568B6"/>
    <w:rsid w:val="00C63478"/>
    <w:rsid w:val="00C64924"/>
    <w:rsid w:val="00C664A5"/>
    <w:rsid w:val="00C71367"/>
    <w:rsid w:val="00C77C50"/>
    <w:rsid w:val="00C94CB8"/>
    <w:rsid w:val="00CA1095"/>
    <w:rsid w:val="00CB502A"/>
    <w:rsid w:val="00CC03E4"/>
    <w:rsid w:val="00CC144B"/>
    <w:rsid w:val="00CC382D"/>
    <w:rsid w:val="00CC5744"/>
    <w:rsid w:val="00CC6665"/>
    <w:rsid w:val="00CD6B35"/>
    <w:rsid w:val="00CD756C"/>
    <w:rsid w:val="00CE1239"/>
    <w:rsid w:val="00CE2983"/>
    <w:rsid w:val="00CF3F57"/>
    <w:rsid w:val="00CF554E"/>
    <w:rsid w:val="00D00163"/>
    <w:rsid w:val="00D00EA9"/>
    <w:rsid w:val="00D077DE"/>
    <w:rsid w:val="00D132AC"/>
    <w:rsid w:val="00D14819"/>
    <w:rsid w:val="00D1724C"/>
    <w:rsid w:val="00D21893"/>
    <w:rsid w:val="00D230F8"/>
    <w:rsid w:val="00D26887"/>
    <w:rsid w:val="00D302CF"/>
    <w:rsid w:val="00D349DE"/>
    <w:rsid w:val="00D34D83"/>
    <w:rsid w:val="00D40240"/>
    <w:rsid w:val="00D40959"/>
    <w:rsid w:val="00D422AF"/>
    <w:rsid w:val="00D425A3"/>
    <w:rsid w:val="00D507BE"/>
    <w:rsid w:val="00D51946"/>
    <w:rsid w:val="00D61D82"/>
    <w:rsid w:val="00D66197"/>
    <w:rsid w:val="00D70231"/>
    <w:rsid w:val="00D8068F"/>
    <w:rsid w:val="00D868BD"/>
    <w:rsid w:val="00DA037B"/>
    <w:rsid w:val="00DA243C"/>
    <w:rsid w:val="00DA340F"/>
    <w:rsid w:val="00DA5825"/>
    <w:rsid w:val="00DB447A"/>
    <w:rsid w:val="00DC4C05"/>
    <w:rsid w:val="00DC4F3E"/>
    <w:rsid w:val="00DC64E7"/>
    <w:rsid w:val="00DD29A1"/>
    <w:rsid w:val="00DE34F6"/>
    <w:rsid w:val="00DE745B"/>
    <w:rsid w:val="00DE75B3"/>
    <w:rsid w:val="00DE7788"/>
    <w:rsid w:val="00E0419F"/>
    <w:rsid w:val="00E179DC"/>
    <w:rsid w:val="00E3436B"/>
    <w:rsid w:val="00E362CA"/>
    <w:rsid w:val="00E43B49"/>
    <w:rsid w:val="00E541D1"/>
    <w:rsid w:val="00E55D48"/>
    <w:rsid w:val="00E600A1"/>
    <w:rsid w:val="00E64624"/>
    <w:rsid w:val="00E746AD"/>
    <w:rsid w:val="00E747FF"/>
    <w:rsid w:val="00E85E15"/>
    <w:rsid w:val="00E8642F"/>
    <w:rsid w:val="00E90515"/>
    <w:rsid w:val="00E93D2E"/>
    <w:rsid w:val="00E94629"/>
    <w:rsid w:val="00EA0C6C"/>
    <w:rsid w:val="00EA29B1"/>
    <w:rsid w:val="00EB3DCC"/>
    <w:rsid w:val="00EC249D"/>
    <w:rsid w:val="00ED180D"/>
    <w:rsid w:val="00EE28CA"/>
    <w:rsid w:val="00EE68A5"/>
    <w:rsid w:val="00EF01B2"/>
    <w:rsid w:val="00EF4944"/>
    <w:rsid w:val="00EF556E"/>
    <w:rsid w:val="00EF7DEB"/>
    <w:rsid w:val="00F07090"/>
    <w:rsid w:val="00F168AD"/>
    <w:rsid w:val="00F1756F"/>
    <w:rsid w:val="00F21CAC"/>
    <w:rsid w:val="00F221E9"/>
    <w:rsid w:val="00F23765"/>
    <w:rsid w:val="00F26131"/>
    <w:rsid w:val="00F271D5"/>
    <w:rsid w:val="00F30ADC"/>
    <w:rsid w:val="00F3464F"/>
    <w:rsid w:val="00F35E07"/>
    <w:rsid w:val="00F40F94"/>
    <w:rsid w:val="00F41A16"/>
    <w:rsid w:val="00F45C7C"/>
    <w:rsid w:val="00F5017A"/>
    <w:rsid w:val="00F60F64"/>
    <w:rsid w:val="00F61A37"/>
    <w:rsid w:val="00F703B8"/>
    <w:rsid w:val="00F766E6"/>
    <w:rsid w:val="00F8024A"/>
    <w:rsid w:val="00F80B6C"/>
    <w:rsid w:val="00F86950"/>
    <w:rsid w:val="00F90751"/>
    <w:rsid w:val="00F9385A"/>
    <w:rsid w:val="00F95080"/>
    <w:rsid w:val="00F96130"/>
    <w:rsid w:val="00F9784D"/>
    <w:rsid w:val="00FA1A62"/>
    <w:rsid w:val="00FA797E"/>
    <w:rsid w:val="00FB1E29"/>
    <w:rsid w:val="00FB21BA"/>
    <w:rsid w:val="00FB41FF"/>
    <w:rsid w:val="00FD4D99"/>
    <w:rsid w:val="00FD4F9F"/>
    <w:rsid w:val="00FD706E"/>
    <w:rsid w:val="00FD72F3"/>
    <w:rsid w:val="00FE0FB2"/>
    <w:rsid w:val="00FE39FA"/>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D51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244</TotalTime>
  <Pages>8</Pages>
  <Words>2564</Words>
  <Characters>14591</Characters>
  <Application>Microsoft Office Word</Application>
  <DocSecurity>0</DocSecurity>
  <Lines>324</Lines>
  <Paragraphs>142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Sims, Steven</cp:lastModifiedBy>
  <cp:revision>181</cp:revision>
  <cp:lastPrinted>2007-12-19T10:51:00Z</cp:lastPrinted>
  <dcterms:created xsi:type="dcterms:W3CDTF">2025-06-02T09:27:00Z</dcterms:created>
  <dcterms:modified xsi:type="dcterms:W3CDTF">2026-04-13T11:02:00Z</dcterms:modified>
</cp:coreProperties>
</file>