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4C91B" w14:textId="71DBFB0E" w:rsidR="00C75E5D" w:rsidRDefault="00C75E5D" w:rsidP="00C75E5D">
      <w:pPr>
        <w:rPr>
          <w:rFonts w:cs="Arial"/>
        </w:rPr>
      </w:pPr>
      <w:r>
        <w:rPr>
          <w:rFonts w:cs="Arial"/>
          <w:color w:val="181818"/>
          <w:shd w:val="clear" w:color="auto" w:fill="FFFFFF"/>
        </w:rPr>
        <w:t>PL/2026/</w:t>
      </w:r>
      <w:r>
        <w:rPr>
          <w:rFonts w:cs="Arial"/>
          <w:color w:val="181818"/>
          <w:shd w:val="clear" w:color="auto" w:fill="FFFFFF"/>
        </w:rPr>
        <w:t xml:space="preserve">10016 </w:t>
      </w:r>
      <w:r w:rsidR="00544E52">
        <w:rPr>
          <w:rFonts w:cs="Arial"/>
          <w:color w:val="181818"/>
          <w:shd w:val="clear" w:color="auto" w:fill="FFFFFF"/>
        </w:rPr>
        <w:t>Planning</w:t>
      </w:r>
    </w:p>
    <w:p w14:paraId="7B540159" w14:textId="2A5DD1CF" w:rsidR="00C75E5D" w:rsidRDefault="00C75E5D" w:rsidP="00C75E5D">
      <w:pPr>
        <w:rPr>
          <w:rFonts w:cs="Arial"/>
        </w:rPr>
      </w:pPr>
      <w:r>
        <w:rPr>
          <w:rFonts w:cs="Arial"/>
        </w:rPr>
        <w:t xml:space="preserve">Site: </w:t>
      </w:r>
      <w:r>
        <w:rPr>
          <w:rFonts w:cs="Arial"/>
          <w:color w:val="181818"/>
          <w:shd w:val="clear" w:color="auto" w:fill="FFFFFF"/>
        </w:rPr>
        <w:t>Church Farm, Lower Seagry, SN15 5EP</w:t>
      </w:r>
    </w:p>
    <w:p w14:paraId="60C4ACCA" w14:textId="6D5B65BC" w:rsidR="00C75E5D" w:rsidRDefault="00C75E5D" w:rsidP="00C75E5D">
      <w:pPr>
        <w:rPr>
          <w:rFonts w:cs="Arial"/>
        </w:rPr>
      </w:pPr>
      <w:r>
        <w:rPr>
          <w:rFonts w:cs="Arial"/>
        </w:rPr>
        <w:t>Proposal</w:t>
      </w:r>
      <w:r>
        <w:rPr>
          <w:rFonts w:cs="Arial"/>
          <w:color w:val="181818"/>
          <w:shd w:val="clear" w:color="auto" w:fill="FFFFFF"/>
        </w:rPr>
        <w:t xml:space="preserve">: </w:t>
      </w:r>
      <w:r>
        <w:rPr>
          <w:rFonts w:cs="Arial"/>
        </w:rPr>
        <w:t xml:space="preserve">Conversion of Class Q into Full </w:t>
      </w:r>
      <w:r>
        <w:rPr>
          <w:rFonts w:cs="Arial"/>
        </w:rPr>
        <w:t>Planning</w:t>
      </w:r>
      <w:r>
        <w:rPr>
          <w:rFonts w:cs="Arial"/>
        </w:rPr>
        <w:t xml:space="preserve"> </w:t>
      </w:r>
      <w:r>
        <w:rPr>
          <w:rFonts w:cs="Arial"/>
        </w:rPr>
        <w:t>Permission</w:t>
      </w:r>
      <w:r>
        <w:rPr>
          <w:rFonts w:cs="Arial"/>
        </w:rPr>
        <w:t xml:space="preserve"> for one new self build  dwelling</w:t>
      </w:r>
    </w:p>
    <w:p w14:paraId="7425AC27" w14:textId="77777777" w:rsidR="00C75E5D" w:rsidRDefault="00C75E5D" w:rsidP="00C75E5D">
      <w:pPr>
        <w:rPr>
          <w:rFonts w:cs="Arial"/>
        </w:rPr>
      </w:pPr>
      <w:r>
        <w:rPr>
          <w:rFonts w:cs="Arial"/>
        </w:rPr>
        <w:t>________________________________________________________________________</w:t>
      </w:r>
    </w:p>
    <w:p w14:paraId="644A4E26" w14:textId="77777777" w:rsidR="00C75E5D" w:rsidRDefault="00C75E5D" w:rsidP="00C75E5D">
      <w:pPr>
        <w:rPr>
          <w:rFonts w:cs="Arial"/>
        </w:rPr>
      </w:pPr>
    </w:p>
    <w:p w14:paraId="11A4FCEC" w14:textId="77777777" w:rsidR="00C75E5D" w:rsidRDefault="00C75E5D" w:rsidP="00C75E5D">
      <w:pPr>
        <w:tabs>
          <w:tab w:val="left" w:pos="1701"/>
        </w:tabs>
        <w:spacing w:after="0"/>
        <w:jc w:val="both"/>
        <w:rPr>
          <w:rFonts w:eastAsia="Times New Roman" w:cs="Times New Roman"/>
          <w:b/>
          <w:sz w:val="20"/>
          <w:szCs w:val="20"/>
          <w:u w:val="single"/>
          <w:lang w:eastAsia="en-GB"/>
        </w:rPr>
      </w:pPr>
      <w:r>
        <w:rPr>
          <w:rFonts w:eastAsia="Times New Roman" w:cs="Times New Roman"/>
          <w:b/>
          <w:sz w:val="20"/>
          <w:szCs w:val="20"/>
          <w:u w:val="single"/>
          <w:lang w:eastAsia="en-GB"/>
        </w:rPr>
        <w:t>Recommendations:</w:t>
      </w:r>
    </w:p>
    <w:p w14:paraId="0187998B" w14:textId="77777777" w:rsidR="00C75E5D" w:rsidRDefault="00C75E5D" w:rsidP="00C75E5D">
      <w:pPr>
        <w:tabs>
          <w:tab w:val="left" w:pos="1701"/>
        </w:tabs>
        <w:spacing w:after="0"/>
        <w:jc w:val="both"/>
        <w:rPr>
          <w:rFonts w:eastAsia="Times New Roman" w:cs="Times New Roman"/>
          <w:sz w:val="20"/>
          <w:szCs w:val="20"/>
          <w:lang w:eastAsia="en-GB"/>
        </w:rPr>
      </w:pPr>
    </w:p>
    <w:tbl>
      <w:tblPr>
        <w:tblW w:w="0" w:type="auto"/>
        <w:tblInd w:w="250" w:type="dxa"/>
        <w:tblLook w:val="04A0" w:firstRow="1" w:lastRow="0" w:firstColumn="1" w:lastColumn="0" w:noHBand="0" w:noVBand="1"/>
      </w:tblPr>
      <w:tblGrid>
        <w:gridCol w:w="721"/>
        <w:gridCol w:w="8050"/>
      </w:tblGrid>
      <w:tr w:rsidR="00C75E5D" w14:paraId="4A8C2F2F" w14:textId="77777777" w:rsidTr="00041490">
        <w:trPr>
          <w:trHeight w:val="252"/>
        </w:trPr>
        <w:tc>
          <w:tcPr>
            <w:tcW w:w="750" w:type="dxa"/>
            <w:tcBorders>
              <w:top w:val="single" w:sz="4" w:space="0" w:color="auto"/>
              <w:left w:val="single" w:sz="4" w:space="0" w:color="auto"/>
              <w:bottom w:val="single" w:sz="4" w:space="0" w:color="auto"/>
              <w:right w:val="single" w:sz="4" w:space="0" w:color="auto"/>
            </w:tcBorders>
          </w:tcPr>
          <w:p w14:paraId="4A1A18A0" w14:textId="23F9B8FA" w:rsidR="00C75E5D" w:rsidRDefault="00166CFA" w:rsidP="00041490">
            <w:pPr>
              <w:tabs>
                <w:tab w:val="left" w:pos="1701"/>
              </w:tabs>
              <w:spacing w:after="0" w:line="276" w:lineRule="auto"/>
              <w:jc w:val="both"/>
              <w:rPr>
                <w:rFonts w:eastAsia="Times New Roman" w:cs="Times New Roman"/>
                <w:kern w:val="2"/>
                <w:sz w:val="20"/>
                <w:szCs w:val="20"/>
                <w:lang w:eastAsia="en-GB"/>
                <w14:ligatures w14:val="standardContextual"/>
              </w:rPr>
            </w:pPr>
            <w:r>
              <w:rPr>
                <w:rFonts w:eastAsia="Times New Roman" w:cs="Times New Roman"/>
                <w:kern w:val="2"/>
                <w:sz w:val="20"/>
                <w:szCs w:val="20"/>
                <w:lang w:eastAsia="en-GB"/>
                <w14:ligatures w14:val="standardContextual"/>
              </w:rPr>
              <w:t>X</w:t>
            </w:r>
          </w:p>
        </w:tc>
        <w:tc>
          <w:tcPr>
            <w:tcW w:w="8562" w:type="dxa"/>
            <w:tcBorders>
              <w:top w:val="nil"/>
              <w:left w:val="single" w:sz="4" w:space="0" w:color="auto"/>
              <w:bottom w:val="nil"/>
              <w:right w:val="nil"/>
            </w:tcBorders>
            <w:hideMark/>
          </w:tcPr>
          <w:p w14:paraId="662F95A1" w14:textId="21570F7B" w:rsidR="00C75E5D" w:rsidRDefault="00166CFA" w:rsidP="00041490">
            <w:pPr>
              <w:tabs>
                <w:tab w:val="left" w:pos="720"/>
                <w:tab w:val="left" w:pos="1701"/>
              </w:tabs>
              <w:spacing w:after="0" w:line="276" w:lineRule="auto"/>
              <w:ind w:firstLine="175"/>
              <w:jc w:val="both"/>
              <w:rPr>
                <w:rFonts w:eastAsia="Times New Roman" w:cs="Times New Roman"/>
                <w:kern w:val="2"/>
                <w:sz w:val="20"/>
                <w:szCs w:val="20"/>
                <w:lang w:eastAsia="en-GB"/>
                <w14:ligatures w14:val="standardContextual"/>
              </w:rPr>
            </w:pPr>
            <w:r>
              <w:rPr>
                <w:rFonts w:eastAsia="Times New Roman" w:cs="Times New Roman"/>
                <w:kern w:val="2"/>
                <w:sz w:val="20"/>
                <w:szCs w:val="20"/>
                <w:lang w:eastAsia="en-GB"/>
                <w14:ligatures w14:val="standardContextual"/>
              </w:rPr>
              <w:t>C</w:t>
            </w:r>
            <w:r w:rsidR="00C75E5D">
              <w:rPr>
                <w:rFonts w:eastAsia="Times New Roman" w:cs="Times New Roman"/>
                <w:kern w:val="2"/>
                <w:sz w:val="20"/>
                <w:szCs w:val="20"/>
                <w:lang w:eastAsia="en-GB"/>
                <w14:ligatures w14:val="standardContextual"/>
              </w:rPr>
              <w:t>omment</w:t>
            </w:r>
          </w:p>
        </w:tc>
      </w:tr>
      <w:tr w:rsidR="00C75E5D" w14:paraId="207E6A20" w14:textId="77777777" w:rsidTr="00041490">
        <w:trPr>
          <w:trHeight w:val="252"/>
        </w:trPr>
        <w:tc>
          <w:tcPr>
            <w:tcW w:w="750" w:type="dxa"/>
            <w:tcBorders>
              <w:top w:val="single" w:sz="4" w:space="0" w:color="auto"/>
              <w:left w:val="single" w:sz="4" w:space="0" w:color="auto"/>
              <w:bottom w:val="single" w:sz="4" w:space="0" w:color="auto"/>
              <w:right w:val="single" w:sz="4" w:space="0" w:color="auto"/>
            </w:tcBorders>
            <w:hideMark/>
          </w:tcPr>
          <w:p w14:paraId="7EFAF4EA" w14:textId="0074EB31" w:rsidR="00C75E5D" w:rsidRDefault="00C75E5D" w:rsidP="00041490">
            <w:pPr>
              <w:tabs>
                <w:tab w:val="left" w:pos="1701"/>
              </w:tabs>
              <w:spacing w:after="0" w:line="276" w:lineRule="auto"/>
              <w:jc w:val="both"/>
              <w:rPr>
                <w:rFonts w:eastAsia="Times New Roman" w:cs="Times New Roman"/>
                <w:kern w:val="2"/>
                <w:sz w:val="20"/>
                <w:szCs w:val="20"/>
                <w:lang w:eastAsia="en-GB"/>
                <w14:ligatures w14:val="standardContextual"/>
              </w:rPr>
            </w:pPr>
          </w:p>
        </w:tc>
        <w:tc>
          <w:tcPr>
            <w:tcW w:w="8562" w:type="dxa"/>
            <w:tcBorders>
              <w:top w:val="nil"/>
              <w:left w:val="single" w:sz="4" w:space="0" w:color="auto"/>
              <w:bottom w:val="nil"/>
              <w:right w:val="nil"/>
            </w:tcBorders>
            <w:hideMark/>
          </w:tcPr>
          <w:p w14:paraId="7C92A2D9" w14:textId="77777777" w:rsidR="00C75E5D" w:rsidRDefault="00C75E5D" w:rsidP="00041490">
            <w:pPr>
              <w:tabs>
                <w:tab w:val="left" w:pos="720"/>
                <w:tab w:val="left" w:pos="1701"/>
              </w:tabs>
              <w:spacing w:after="0" w:line="276" w:lineRule="auto"/>
              <w:ind w:firstLine="175"/>
              <w:jc w:val="both"/>
              <w:rPr>
                <w:rFonts w:eastAsia="Times New Roman" w:cs="Times New Roman"/>
                <w:kern w:val="2"/>
                <w:sz w:val="20"/>
                <w:szCs w:val="20"/>
                <w:lang w:eastAsia="en-GB"/>
                <w14:ligatures w14:val="standardContextual"/>
              </w:rPr>
            </w:pPr>
            <w:r>
              <w:rPr>
                <w:rFonts w:eastAsia="Times New Roman" w:cs="Times New Roman"/>
                <w:kern w:val="2"/>
                <w:sz w:val="20"/>
                <w:szCs w:val="20"/>
                <w:lang w:eastAsia="en-GB"/>
                <w14:ligatures w14:val="standardContextual"/>
              </w:rPr>
              <w:t>Support in principle subject to amendments to the scheme (as set out below)</w:t>
            </w:r>
          </w:p>
        </w:tc>
      </w:tr>
      <w:tr w:rsidR="00C75E5D" w14:paraId="49B3E6AD" w14:textId="77777777" w:rsidTr="00041490">
        <w:trPr>
          <w:trHeight w:val="252"/>
        </w:trPr>
        <w:tc>
          <w:tcPr>
            <w:tcW w:w="750" w:type="dxa"/>
            <w:tcBorders>
              <w:top w:val="single" w:sz="4" w:space="0" w:color="auto"/>
              <w:left w:val="single" w:sz="4" w:space="0" w:color="auto"/>
              <w:bottom w:val="single" w:sz="4" w:space="0" w:color="auto"/>
              <w:right w:val="single" w:sz="4" w:space="0" w:color="auto"/>
            </w:tcBorders>
          </w:tcPr>
          <w:p w14:paraId="2CBA1AE1" w14:textId="77777777" w:rsidR="00C75E5D" w:rsidRDefault="00C75E5D" w:rsidP="00041490">
            <w:pPr>
              <w:tabs>
                <w:tab w:val="left" w:pos="1701"/>
              </w:tabs>
              <w:spacing w:after="0" w:line="276" w:lineRule="auto"/>
              <w:jc w:val="both"/>
              <w:rPr>
                <w:rFonts w:eastAsia="Times New Roman" w:cs="Times New Roman"/>
                <w:kern w:val="2"/>
                <w:sz w:val="20"/>
                <w:szCs w:val="20"/>
                <w:lang w:eastAsia="en-GB"/>
                <w14:ligatures w14:val="standardContextual"/>
              </w:rPr>
            </w:pPr>
          </w:p>
        </w:tc>
        <w:tc>
          <w:tcPr>
            <w:tcW w:w="8562" w:type="dxa"/>
            <w:tcBorders>
              <w:top w:val="nil"/>
              <w:left w:val="single" w:sz="4" w:space="0" w:color="auto"/>
              <w:bottom w:val="nil"/>
              <w:right w:val="nil"/>
            </w:tcBorders>
            <w:hideMark/>
          </w:tcPr>
          <w:p w14:paraId="7AA5E7A0" w14:textId="77777777" w:rsidR="00C75E5D" w:rsidRDefault="00C75E5D" w:rsidP="00041490">
            <w:pPr>
              <w:tabs>
                <w:tab w:val="left" w:pos="720"/>
                <w:tab w:val="left" w:pos="1701"/>
              </w:tabs>
              <w:spacing w:after="0" w:line="276" w:lineRule="auto"/>
              <w:ind w:firstLine="175"/>
              <w:jc w:val="both"/>
              <w:rPr>
                <w:rFonts w:eastAsia="Times New Roman" w:cs="Times New Roman"/>
                <w:kern w:val="2"/>
                <w:sz w:val="20"/>
                <w:szCs w:val="20"/>
                <w:lang w:eastAsia="en-GB"/>
                <w14:ligatures w14:val="standardContextual"/>
              </w:rPr>
            </w:pPr>
            <w:r>
              <w:rPr>
                <w:rFonts w:eastAsia="Times New Roman" w:cs="Times New Roman"/>
                <w:kern w:val="2"/>
                <w:sz w:val="20"/>
                <w:szCs w:val="20"/>
                <w:lang w:eastAsia="en-GB"/>
                <w14:ligatures w14:val="standardContextual"/>
              </w:rPr>
              <w:t>Support subject to conditions (as set out below)</w:t>
            </w:r>
          </w:p>
        </w:tc>
      </w:tr>
      <w:tr w:rsidR="00C75E5D" w14:paraId="6FBA63C7" w14:textId="77777777" w:rsidTr="00041490">
        <w:trPr>
          <w:trHeight w:val="252"/>
        </w:trPr>
        <w:tc>
          <w:tcPr>
            <w:tcW w:w="750" w:type="dxa"/>
            <w:tcBorders>
              <w:top w:val="single" w:sz="4" w:space="0" w:color="auto"/>
              <w:left w:val="single" w:sz="4" w:space="0" w:color="auto"/>
              <w:bottom w:val="single" w:sz="4" w:space="0" w:color="auto"/>
              <w:right w:val="single" w:sz="4" w:space="0" w:color="auto"/>
            </w:tcBorders>
          </w:tcPr>
          <w:p w14:paraId="15A556F0" w14:textId="77777777" w:rsidR="00C75E5D" w:rsidRDefault="00C75E5D" w:rsidP="00041490">
            <w:pPr>
              <w:tabs>
                <w:tab w:val="left" w:pos="1701"/>
              </w:tabs>
              <w:spacing w:after="0" w:line="276" w:lineRule="auto"/>
              <w:jc w:val="both"/>
              <w:rPr>
                <w:rFonts w:eastAsia="Times New Roman" w:cs="Times New Roman"/>
                <w:kern w:val="2"/>
                <w:sz w:val="20"/>
                <w:szCs w:val="20"/>
                <w:lang w:eastAsia="en-GB"/>
                <w14:ligatures w14:val="standardContextual"/>
              </w:rPr>
            </w:pPr>
          </w:p>
        </w:tc>
        <w:tc>
          <w:tcPr>
            <w:tcW w:w="8562" w:type="dxa"/>
            <w:tcBorders>
              <w:top w:val="nil"/>
              <w:left w:val="single" w:sz="4" w:space="0" w:color="auto"/>
              <w:bottom w:val="nil"/>
              <w:right w:val="nil"/>
            </w:tcBorders>
            <w:hideMark/>
          </w:tcPr>
          <w:p w14:paraId="0304F1BC" w14:textId="77777777" w:rsidR="00C75E5D" w:rsidRDefault="00C75E5D" w:rsidP="00041490">
            <w:pPr>
              <w:tabs>
                <w:tab w:val="left" w:pos="720"/>
                <w:tab w:val="left" w:pos="1701"/>
              </w:tabs>
              <w:spacing w:after="0" w:line="276" w:lineRule="auto"/>
              <w:ind w:firstLine="175"/>
              <w:jc w:val="both"/>
              <w:rPr>
                <w:rFonts w:eastAsia="Times New Roman" w:cs="Times New Roman"/>
                <w:kern w:val="2"/>
                <w:sz w:val="20"/>
                <w:szCs w:val="20"/>
                <w:lang w:eastAsia="en-GB"/>
                <w14:ligatures w14:val="standardContextual"/>
              </w:rPr>
            </w:pPr>
            <w:r>
              <w:rPr>
                <w:rFonts w:eastAsia="Times New Roman" w:cs="Times New Roman"/>
                <w:kern w:val="2"/>
                <w:sz w:val="20"/>
                <w:szCs w:val="20"/>
                <w:lang w:eastAsia="en-GB"/>
                <w14:ligatures w14:val="standardContextual"/>
              </w:rPr>
              <w:t>Object (for reasons set out below)</w:t>
            </w:r>
          </w:p>
        </w:tc>
      </w:tr>
      <w:tr w:rsidR="00C75E5D" w14:paraId="10ADCB4E" w14:textId="77777777" w:rsidTr="00041490">
        <w:trPr>
          <w:trHeight w:val="252"/>
        </w:trPr>
        <w:tc>
          <w:tcPr>
            <w:tcW w:w="750" w:type="dxa"/>
            <w:tcBorders>
              <w:top w:val="single" w:sz="4" w:space="0" w:color="auto"/>
              <w:left w:val="single" w:sz="4" w:space="0" w:color="auto"/>
              <w:bottom w:val="single" w:sz="4" w:space="0" w:color="auto"/>
              <w:right w:val="single" w:sz="4" w:space="0" w:color="auto"/>
            </w:tcBorders>
          </w:tcPr>
          <w:p w14:paraId="5C92C91F" w14:textId="77777777" w:rsidR="00C75E5D" w:rsidRDefault="00C75E5D" w:rsidP="00041490">
            <w:pPr>
              <w:tabs>
                <w:tab w:val="left" w:pos="1701"/>
              </w:tabs>
              <w:spacing w:after="0" w:line="276" w:lineRule="auto"/>
              <w:jc w:val="both"/>
              <w:rPr>
                <w:rFonts w:eastAsia="Times New Roman" w:cs="Times New Roman"/>
                <w:kern w:val="2"/>
                <w:sz w:val="20"/>
                <w:szCs w:val="20"/>
                <w:lang w:eastAsia="en-GB"/>
                <w14:ligatures w14:val="standardContextual"/>
              </w:rPr>
            </w:pPr>
          </w:p>
        </w:tc>
        <w:tc>
          <w:tcPr>
            <w:tcW w:w="8562" w:type="dxa"/>
            <w:tcBorders>
              <w:top w:val="nil"/>
              <w:left w:val="single" w:sz="4" w:space="0" w:color="auto"/>
              <w:bottom w:val="nil"/>
              <w:right w:val="nil"/>
            </w:tcBorders>
            <w:hideMark/>
          </w:tcPr>
          <w:p w14:paraId="063A9689" w14:textId="77777777" w:rsidR="00C75E5D" w:rsidRDefault="00C75E5D" w:rsidP="00041490">
            <w:pPr>
              <w:tabs>
                <w:tab w:val="left" w:pos="720"/>
                <w:tab w:val="left" w:pos="1701"/>
              </w:tabs>
              <w:spacing w:after="0" w:line="276" w:lineRule="auto"/>
              <w:ind w:firstLine="175"/>
              <w:jc w:val="both"/>
              <w:rPr>
                <w:rFonts w:eastAsia="Times New Roman" w:cs="Times New Roman"/>
                <w:kern w:val="2"/>
                <w:sz w:val="20"/>
                <w:szCs w:val="20"/>
                <w:lang w:eastAsia="en-GB"/>
                <w14:ligatures w14:val="standardContextual"/>
              </w:rPr>
            </w:pPr>
            <w:r>
              <w:rPr>
                <w:rFonts w:eastAsia="Times New Roman" w:cs="Times New Roman"/>
                <w:kern w:val="2"/>
                <w:sz w:val="20"/>
                <w:szCs w:val="20"/>
                <w:lang w:eastAsia="en-GB"/>
                <w14:ligatures w14:val="standardContextual"/>
              </w:rPr>
              <w:t xml:space="preserve">No objections </w:t>
            </w:r>
          </w:p>
        </w:tc>
      </w:tr>
    </w:tbl>
    <w:p w14:paraId="765D3863" w14:textId="77777777" w:rsidR="00C75E5D" w:rsidRDefault="00C75E5D" w:rsidP="00C75E5D">
      <w:pPr>
        <w:jc w:val="both"/>
        <w:rPr>
          <w:rFonts w:cs="Arial"/>
          <w:b/>
        </w:rPr>
      </w:pPr>
    </w:p>
    <w:p w14:paraId="714931FC" w14:textId="77777777" w:rsidR="00C75E5D" w:rsidRDefault="00C75E5D" w:rsidP="00C75E5D">
      <w:pPr>
        <w:rPr>
          <w:rFonts w:cs="Arial"/>
        </w:rPr>
      </w:pPr>
    </w:p>
    <w:p w14:paraId="200F92D9" w14:textId="77777777" w:rsidR="00C75E5D" w:rsidRDefault="00C75E5D" w:rsidP="00C75E5D">
      <w:pPr>
        <w:jc w:val="both"/>
        <w:rPr>
          <w:rFonts w:cs="Arial"/>
        </w:rPr>
      </w:pPr>
      <w:r>
        <w:rPr>
          <w:rFonts w:cs="Arial"/>
          <w:b/>
        </w:rPr>
        <w:t>Scope of comments</w:t>
      </w:r>
      <w:r>
        <w:rPr>
          <w:rFonts w:cs="Arial"/>
        </w:rPr>
        <w:t xml:space="preserve">: the following comments relate to the built historic environment.  </w:t>
      </w:r>
    </w:p>
    <w:p w14:paraId="108163E1" w14:textId="77777777" w:rsidR="00C75E5D" w:rsidRDefault="00C75E5D" w:rsidP="00C75E5D">
      <w:pPr>
        <w:jc w:val="both"/>
        <w:rPr>
          <w:rFonts w:cs="Arial"/>
        </w:rPr>
      </w:pPr>
    </w:p>
    <w:p w14:paraId="4EE1686F" w14:textId="77777777" w:rsidR="00C75E5D" w:rsidRDefault="00C75E5D" w:rsidP="00C75E5D">
      <w:pPr>
        <w:jc w:val="both"/>
        <w:rPr>
          <w:rFonts w:cs="Arial"/>
          <w:b/>
        </w:rPr>
      </w:pPr>
      <w:r>
        <w:rPr>
          <w:rFonts w:cs="Arial"/>
          <w:b/>
        </w:rPr>
        <w:t xml:space="preserve">Site Description:  </w:t>
      </w:r>
    </w:p>
    <w:p w14:paraId="1123AEF0" w14:textId="42BACC89" w:rsidR="00C94E79" w:rsidRDefault="00C75E5D" w:rsidP="00C75E5D">
      <w:pPr>
        <w:tabs>
          <w:tab w:val="left" w:pos="3820"/>
        </w:tabs>
        <w:jc w:val="both"/>
      </w:pPr>
      <w:r>
        <w:rPr>
          <w:rFonts w:cs="Arial"/>
          <w:bCs/>
        </w:rPr>
        <w:t xml:space="preserve">The site is </w:t>
      </w:r>
      <w:r w:rsidR="00B116B4">
        <w:rPr>
          <w:rFonts w:cs="Arial"/>
          <w:bCs/>
        </w:rPr>
        <w:t>l</w:t>
      </w:r>
      <w:r w:rsidR="00F5289F">
        <w:t xml:space="preserve">ocated </w:t>
      </w:r>
      <w:r w:rsidR="00C94E79">
        <w:t>at the end of a N</w:t>
      </w:r>
      <w:r w:rsidR="00B116B4">
        <w:t xml:space="preserve">o </w:t>
      </w:r>
      <w:r w:rsidR="00C94E79">
        <w:t xml:space="preserve">Through </w:t>
      </w:r>
      <w:r w:rsidR="00B116B4">
        <w:t>road Lower Seagry that runs south from the centre of the village of Lower Seagry</w:t>
      </w:r>
      <w:r w:rsidR="00C94E79">
        <w:t xml:space="preserve">. </w:t>
      </w:r>
      <w:r w:rsidR="000D48EC">
        <w:t xml:space="preserve">The River Avon valley is located a </w:t>
      </w:r>
      <w:r w:rsidR="00302159">
        <w:t>250 m south and the M4</w:t>
      </w:r>
      <w:r w:rsidR="00BA5150">
        <w:t xml:space="preserve"> a further 650</w:t>
      </w:r>
      <w:r w:rsidR="00302159">
        <w:t xml:space="preserve">m to the south </w:t>
      </w:r>
    </w:p>
    <w:p w14:paraId="54F3DB22" w14:textId="77777777" w:rsidR="00C94E79" w:rsidRDefault="00C94E79" w:rsidP="00C75E5D">
      <w:pPr>
        <w:tabs>
          <w:tab w:val="left" w:pos="3820"/>
        </w:tabs>
        <w:jc w:val="both"/>
      </w:pPr>
    </w:p>
    <w:p w14:paraId="33D3A85A" w14:textId="6983B747" w:rsidR="009F1ACF" w:rsidRDefault="00C94E79" w:rsidP="00C75E5D">
      <w:pPr>
        <w:tabs>
          <w:tab w:val="left" w:pos="3820"/>
        </w:tabs>
        <w:jc w:val="both"/>
      </w:pPr>
      <w:r>
        <w:t>The</w:t>
      </w:r>
      <w:r w:rsidR="00EB7568">
        <w:t xml:space="preserve"> site is opposite the village Church St Mary </w:t>
      </w:r>
      <w:r w:rsidR="00BA5150">
        <w:t>the</w:t>
      </w:r>
      <w:r w:rsidR="00EB7568">
        <w:t xml:space="preserve"> Virgin </w:t>
      </w:r>
      <w:r w:rsidR="007B3C06">
        <w:t xml:space="preserve">and Church Farm including the Farmhouse and Tithe Barn as </w:t>
      </w:r>
      <w:r w:rsidR="009F1ACF">
        <w:t>welcome as</w:t>
      </w:r>
      <w:r w:rsidR="007B3C06">
        <w:t xml:space="preserve"> numerous </w:t>
      </w:r>
      <w:r w:rsidR="00F5289F">
        <w:t>agricultural building</w:t>
      </w:r>
      <w:r w:rsidR="009F1ACF">
        <w:t xml:space="preserve">s. </w:t>
      </w:r>
    </w:p>
    <w:p w14:paraId="284BC3D7" w14:textId="77777777" w:rsidR="009F1ACF" w:rsidRDefault="009F1ACF" w:rsidP="00C75E5D">
      <w:pPr>
        <w:tabs>
          <w:tab w:val="left" w:pos="3820"/>
        </w:tabs>
        <w:jc w:val="both"/>
      </w:pPr>
    </w:p>
    <w:p w14:paraId="52235128" w14:textId="77777777" w:rsidR="00424CA7" w:rsidRDefault="009F1ACF" w:rsidP="00C75E5D">
      <w:pPr>
        <w:tabs>
          <w:tab w:val="left" w:pos="3820"/>
        </w:tabs>
        <w:jc w:val="both"/>
      </w:pPr>
      <w:r>
        <w:t xml:space="preserve">The application site is one of these former agricultural buildings. The buildings formed from two attached blocks. The </w:t>
      </w:r>
      <w:r w:rsidR="00670F1A">
        <w:t>two-storey</w:t>
      </w:r>
      <w:r>
        <w:t xml:space="preserve"> </w:t>
      </w:r>
      <w:r w:rsidR="00670F1A">
        <w:t>west block</w:t>
      </w:r>
      <w:r>
        <w:t xml:space="preserve"> </w:t>
      </w:r>
      <w:r w:rsidR="00F5289F">
        <w:t xml:space="preserve">constructed of painted concrete block </w:t>
      </w:r>
      <w:r>
        <w:t xml:space="preserve">with timber trusses and </w:t>
      </w:r>
      <w:r w:rsidR="00F5289F">
        <w:t>corrugated asbestos roof</w:t>
      </w:r>
      <w:r w:rsidR="00670F1A">
        <w:t xml:space="preserve"> </w:t>
      </w:r>
      <w:r w:rsidR="00F5289F">
        <w:t xml:space="preserve">with large south facing double height doors. </w:t>
      </w:r>
    </w:p>
    <w:p w14:paraId="3CE9FAEB" w14:textId="77777777" w:rsidR="00424CA7" w:rsidRDefault="00424CA7" w:rsidP="00C75E5D">
      <w:pPr>
        <w:tabs>
          <w:tab w:val="left" w:pos="3820"/>
        </w:tabs>
        <w:jc w:val="both"/>
      </w:pPr>
    </w:p>
    <w:p w14:paraId="0FDAE3DA" w14:textId="301ED2E7" w:rsidR="00BA5150" w:rsidRDefault="00F5289F" w:rsidP="00C75E5D">
      <w:pPr>
        <w:tabs>
          <w:tab w:val="left" w:pos="3820"/>
        </w:tabs>
        <w:jc w:val="both"/>
      </w:pPr>
      <w:r>
        <w:t xml:space="preserve">The </w:t>
      </w:r>
      <w:r w:rsidR="00424CA7">
        <w:t xml:space="preserve">attached </w:t>
      </w:r>
      <w:r>
        <w:t xml:space="preserve">single-storey eastern range is open sided </w:t>
      </w:r>
      <w:r w:rsidR="002D13E2">
        <w:t>to south on steel columns</w:t>
      </w:r>
      <w:r w:rsidR="00A50A33">
        <w:t xml:space="preserve"> on concrete plinth</w:t>
      </w:r>
      <w:r w:rsidR="002D13E2">
        <w:t xml:space="preserve"> with the other </w:t>
      </w:r>
      <w:r w:rsidR="001A02EB">
        <w:t>elevations</w:t>
      </w:r>
      <w:r w:rsidR="002D13E2">
        <w:t xml:space="preserve"> in block work. T</w:t>
      </w:r>
      <w:r w:rsidR="00A50A33">
        <w:t>he</w:t>
      </w:r>
      <w:r w:rsidR="002D13E2">
        <w:t xml:space="preserve"> roof </w:t>
      </w:r>
      <w:r w:rsidR="005715D3">
        <w:t xml:space="preserve">has </w:t>
      </w:r>
      <w:r w:rsidR="002D13E2">
        <w:t xml:space="preserve">light weight steel tube trusses </w:t>
      </w:r>
      <w:r w:rsidR="005715D3">
        <w:t>and a corrugated sheet roof</w:t>
      </w:r>
      <w:r w:rsidR="00F204D0">
        <w:t>.</w:t>
      </w:r>
    </w:p>
    <w:p w14:paraId="351F6F4A" w14:textId="77777777" w:rsidR="00C75E5D" w:rsidRDefault="00C75E5D" w:rsidP="00C75E5D">
      <w:pPr>
        <w:tabs>
          <w:tab w:val="left" w:pos="3820"/>
        </w:tabs>
        <w:jc w:val="both"/>
        <w:rPr>
          <w:rFonts w:cs="Arial"/>
          <w:bCs/>
        </w:rPr>
      </w:pPr>
    </w:p>
    <w:p w14:paraId="11FD30C5" w14:textId="77777777" w:rsidR="00C75E5D" w:rsidRDefault="00C75E5D" w:rsidP="00C75E5D">
      <w:pPr>
        <w:tabs>
          <w:tab w:val="left" w:pos="3820"/>
        </w:tabs>
        <w:jc w:val="both"/>
        <w:rPr>
          <w:rFonts w:cs="Arial"/>
        </w:rPr>
      </w:pPr>
      <w:r>
        <w:rPr>
          <w:rFonts w:cs="Arial"/>
          <w:b/>
        </w:rPr>
        <w:t>Heritage Assets</w:t>
      </w:r>
      <w:r>
        <w:rPr>
          <w:rFonts w:cs="Arial"/>
        </w:rPr>
        <w:t xml:space="preserve">: </w:t>
      </w:r>
    </w:p>
    <w:p w14:paraId="3944A299" w14:textId="6DD1C03D" w:rsidR="00C75E5D" w:rsidRDefault="00C75E5D" w:rsidP="00C75E5D">
      <w:pPr>
        <w:tabs>
          <w:tab w:val="left" w:pos="3820"/>
        </w:tabs>
        <w:jc w:val="both"/>
        <w:rPr>
          <w:rFonts w:cs="Arial"/>
          <w:bCs/>
        </w:rPr>
      </w:pPr>
      <w:r>
        <w:rPr>
          <w:rFonts w:cs="Arial"/>
          <w:bCs/>
        </w:rPr>
        <w:t xml:space="preserve">St Marys </w:t>
      </w:r>
      <w:r>
        <w:rPr>
          <w:rFonts w:cs="Arial"/>
          <w:bCs/>
        </w:rPr>
        <w:t xml:space="preserve">Church </w:t>
      </w:r>
      <w:r w:rsidR="006D080E">
        <w:rPr>
          <w:rFonts w:cs="Arial"/>
          <w:bCs/>
        </w:rPr>
        <w:t xml:space="preserve">Lower Seagry </w:t>
      </w:r>
      <w:r w:rsidR="00EC1D49">
        <w:rPr>
          <w:rFonts w:cs="Arial"/>
          <w:bCs/>
        </w:rPr>
        <w:t xml:space="preserve">and Monuments to grave yard </w:t>
      </w:r>
      <w:r>
        <w:rPr>
          <w:rFonts w:cs="Arial"/>
          <w:bCs/>
        </w:rPr>
        <w:t xml:space="preserve">grade II </w:t>
      </w:r>
    </w:p>
    <w:p w14:paraId="4817D2EA" w14:textId="0864E40D" w:rsidR="00C75E5D" w:rsidRDefault="00C75E5D" w:rsidP="00C75E5D">
      <w:pPr>
        <w:tabs>
          <w:tab w:val="left" w:pos="3820"/>
        </w:tabs>
        <w:jc w:val="both"/>
        <w:rPr>
          <w:rFonts w:cs="Arial"/>
          <w:bCs/>
        </w:rPr>
      </w:pPr>
      <w:r>
        <w:rPr>
          <w:rFonts w:cs="Arial"/>
          <w:bCs/>
        </w:rPr>
        <w:t xml:space="preserve">Tithe Barn </w:t>
      </w:r>
      <w:r w:rsidR="00F25C1C">
        <w:rPr>
          <w:rFonts w:cs="Arial"/>
          <w:bCs/>
        </w:rPr>
        <w:t xml:space="preserve">Lower Seagry </w:t>
      </w:r>
      <w:r w:rsidR="00F204D0">
        <w:rPr>
          <w:rFonts w:cs="Arial"/>
          <w:bCs/>
        </w:rPr>
        <w:t xml:space="preserve">grade II </w:t>
      </w:r>
    </w:p>
    <w:p w14:paraId="763D63F1" w14:textId="77777777" w:rsidR="00C75E5D" w:rsidRDefault="00C75E5D" w:rsidP="00C75E5D">
      <w:pPr>
        <w:jc w:val="both"/>
        <w:rPr>
          <w:rFonts w:cs="Arial"/>
        </w:rPr>
      </w:pPr>
    </w:p>
    <w:p w14:paraId="2C300E3C" w14:textId="77777777" w:rsidR="00C75E5D" w:rsidRDefault="00C75E5D" w:rsidP="00C75E5D">
      <w:pPr>
        <w:jc w:val="both"/>
        <w:rPr>
          <w:rFonts w:cs="Arial"/>
        </w:rPr>
      </w:pPr>
      <w:r>
        <w:rPr>
          <w:rFonts w:cs="Arial"/>
          <w:b/>
          <w:bCs/>
        </w:rPr>
        <w:t>Relevant planning History</w:t>
      </w:r>
      <w:r>
        <w:rPr>
          <w:rFonts w:cs="Arial"/>
        </w:rPr>
        <w:t xml:space="preserve">: </w:t>
      </w:r>
    </w:p>
    <w:p w14:paraId="4DF858EC" w14:textId="3B6AAC1E" w:rsidR="00C75E5D" w:rsidRDefault="0013621F" w:rsidP="00C75E5D">
      <w:pPr>
        <w:rPr>
          <w:rFonts w:cs="Arial"/>
          <w:color w:val="181818"/>
          <w:shd w:val="clear" w:color="auto" w:fill="FFFFFF"/>
        </w:rPr>
      </w:pPr>
      <w:r>
        <w:t xml:space="preserve">Ref. PL/2023/10825 </w:t>
      </w:r>
      <w:r w:rsidRPr="0013621F">
        <w:rPr>
          <w:rFonts w:cs="Arial"/>
        </w:rPr>
        <w:t xml:space="preserve">Class Q </w:t>
      </w:r>
      <w:r w:rsidRPr="0013621F">
        <w:rPr>
          <w:rFonts w:cs="Arial"/>
          <w:color w:val="181818"/>
          <w:shd w:val="clear" w:color="auto" w:fill="FFFFFF"/>
        </w:rPr>
        <w:t>Prior notification of a change of use from 1 No. agricultural building to 1 No. residential dwelling (Class C3) as defined in the Town and Country Planning (Use Classes) Order 1987 (as amended) to include operational development</w:t>
      </w:r>
    </w:p>
    <w:p w14:paraId="78CF3BF9" w14:textId="77777777" w:rsidR="0013621F" w:rsidRDefault="0013621F" w:rsidP="00C75E5D">
      <w:pPr>
        <w:rPr>
          <w:rFonts w:cs="Arial"/>
          <w:b/>
        </w:rPr>
      </w:pPr>
    </w:p>
    <w:p w14:paraId="4B7829BB" w14:textId="5F10311A" w:rsidR="00C75E5D" w:rsidRDefault="00C75E5D" w:rsidP="00C75E5D">
      <w:pPr>
        <w:rPr>
          <w:rFonts w:cs="Arial"/>
        </w:rPr>
      </w:pPr>
      <w:r>
        <w:rPr>
          <w:rFonts w:cs="Arial"/>
          <w:b/>
        </w:rPr>
        <w:t>The Proposal</w:t>
      </w:r>
      <w:r>
        <w:rPr>
          <w:rFonts w:cs="Arial"/>
        </w:rPr>
        <w:t>:</w:t>
      </w:r>
      <w:r>
        <w:rPr>
          <w:rFonts w:cs="Arial"/>
          <w:color w:val="181818"/>
          <w:shd w:val="clear" w:color="auto" w:fill="FFFFFF"/>
        </w:rPr>
        <w:t xml:space="preserve"> </w:t>
      </w:r>
      <w:r w:rsidR="002A3EB5">
        <w:rPr>
          <w:rFonts w:cs="Arial"/>
        </w:rPr>
        <w:t xml:space="preserve">Conversion of Class Q into Full Planning Permission for one new </w:t>
      </w:r>
      <w:r w:rsidR="002A3EB5">
        <w:rPr>
          <w:rFonts w:cs="Arial"/>
        </w:rPr>
        <w:t>self-build</w:t>
      </w:r>
      <w:r w:rsidR="002A3EB5">
        <w:rPr>
          <w:rFonts w:cs="Arial"/>
        </w:rPr>
        <w:t xml:space="preserve">  dwelling</w:t>
      </w:r>
    </w:p>
    <w:p w14:paraId="5BE5B629" w14:textId="77777777" w:rsidR="00C75E5D" w:rsidRDefault="00C75E5D" w:rsidP="00C75E5D">
      <w:pPr>
        <w:pStyle w:val="Letterbody"/>
        <w:rPr>
          <w:rFonts w:cs="Arial"/>
          <w:sz w:val="22"/>
          <w:szCs w:val="22"/>
        </w:rPr>
      </w:pPr>
      <w:r>
        <w:rPr>
          <w:rFonts w:eastAsia="Calibri" w:cs="Arial"/>
          <w:b/>
          <w:sz w:val="22"/>
          <w:szCs w:val="22"/>
          <w:lang w:eastAsia="en-US"/>
        </w:rPr>
        <w:t>Policy</w:t>
      </w:r>
      <w:r>
        <w:rPr>
          <w:rFonts w:eastAsia="Calibri" w:cs="Arial"/>
          <w:sz w:val="22"/>
          <w:szCs w:val="22"/>
          <w:lang w:eastAsia="en-US"/>
        </w:rPr>
        <w:t>: From the point</w:t>
      </w:r>
      <w:r>
        <w:rPr>
          <w:rFonts w:cs="Arial"/>
          <w:sz w:val="22"/>
          <w:szCs w:val="22"/>
        </w:rPr>
        <w:t xml:space="preserve"> of view of the historic environment the main statutory tests are set out within the Planning (Listed Building and Conservation Areas) Act 1990. Sections 16 (LBC) and 66 (PP) require that </w:t>
      </w:r>
      <w:r>
        <w:rPr>
          <w:rFonts w:cs="Arial"/>
          <w:b/>
          <w:sz w:val="22"/>
          <w:szCs w:val="22"/>
        </w:rPr>
        <w:t>special regard</w:t>
      </w:r>
      <w:r>
        <w:rPr>
          <w:rFonts w:cs="Arial"/>
          <w:sz w:val="22"/>
          <w:szCs w:val="22"/>
        </w:rPr>
        <w:t xml:space="preserve"> be given to the desirability of preserving listed buildings, their settings or any features of special architectural or historic interest which they possess.  </w:t>
      </w:r>
    </w:p>
    <w:p w14:paraId="168A2AD3" w14:textId="77777777" w:rsidR="00C75E5D" w:rsidRDefault="00C75E5D" w:rsidP="00C75E5D">
      <w:pPr>
        <w:pStyle w:val="Letterbody"/>
        <w:rPr>
          <w:rFonts w:cs="Arial"/>
          <w:sz w:val="22"/>
          <w:szCs w:val="22"/>
        </w:rPr>
      </w:pPr>
    </w:p>
    <w:p w14:paraId="4D9991A8" w14:textId="77777777" w:rsidR="00C75E5D" w:rsidRDefault="00C75E5D" w:rsidP="00C75E5D">
      <w:pPr>
        <w:autoSpaceDE w:val="0"/>
        <w:autoSpaceDN w:val="0"/>
        <w:adjustRightInd w:val="0"/>
        <w:spacing w:after="0"/>
        <w:jc w:val="both"/>
        <w:rPr>
          <w:rFonts w:eastAsia="Times New Roman" w:cs="Arial"/>
          <w:color w:val="000000"/>
          <w:lang w:eastAsia="en-GB"/>
        </w:rPr>
      </w:pPr>
      <w:r>
        <w:rPr>
          <w:rFonts w:eastAsia="Times New Roman" w:cs="Arial"/>
          <w:color w:val="000000"/>
          <w:lang w:eastAsia="en-GB"/>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1775ABEE" w14:textId="77777777" w:rsidR="00C75E5D" w:rsidRDefault="00C75E5D" w:rsidP="00C75E5D">
      <w:pPr>
        <w:autoSpaceDE w:val="0"/>
        <w:autoSpaceDN w:val="0"/>
        <w:adjustRightInd w:val="0"/>
        <w:spacing w:after="0"/>
        <w:jc w:val="both"/>
        <w:rPr>
          <w:rFonts w:eastAsia="Times New Roman" w:cs="Arial"/>
          <w:color w:val="000000"/>
          <w:lang w:eastAsia="en-GB"/>
        </w:rPr>
      </w:pPr>
    </w:p>
    <w:p w14:paraId="18519165" w14:textId="77777777" w:rsidR="00C75E5D" w:rsidRDefault="00C75E5D" w:rsidP="00C75E5D">
      <w:pPr>
        <w:autoSpaceDE w:val="0"/>
        <w:autoSpaceDN w:val="0"/>
        <w:adjustRightInd w:val="0"/>
        <w:spacing w:after="0"/>
        <w:jc w:val="both"/>
        <w:rPr>
          <w:rFonts w:eastAsia="Times New Roman" w:cs="Arial"/>
          <w:color w:val="000000"/>
          <w:lang w:eastAsia="en-GB"/>
        </w:rPr>
      </w:pPr>
      <w:r>
        <w:rPr>
          <w:rFonts w:eastAsia="Times New Roman" w:cs="Arial"/>
          <w:color w:val="000000"/>
          <w:lang w:eastAsia="en-GB"/>
        </w:rPr>
        <w:lastRenderedPageBreak/>
        <w:t>Paragraph 210 requires local planning authorities should take account of the desirability of sustaining and enhancing the significance of heritage assets and of new development making a positive contribution to local character and distinctiveness.</w:t>
      </w:r>
    </w:p>
    <w:p w14:paraId="0C43918F" w14:textId="77777777" w:rsidR="00C75E5D" w:rsidRDefault="00C75E5D" w:rsidP="00C75E5D">
      <w:pPr>
        <w:autoSpaceDE w:val="0"/>
        <w:autoSpaceDN w:val="0"/>
        <w:adjustRightInd w:val="0"/>
        <w:spacing w:after="0"/>
        <w:jc w:val="both"/>
        <w:rPr>
          <w:rFonts w:eastAsia="Times New Roman" w:cs="Arial"/>
          <w:color w:val="000000"/>
          <w:lang w:eastAsia="en-GB"/>
        </w:rPr>
      </w:pPr>
    </w:p>
    <w:p w14:paraId="1733C177" w14:textId="77777777" w:rsidR="00C75E5D" w:rsidRDefault="00C75E5D" w:rsidP="00C75E5D">
      <w:pPr>
        <w:autoSpaceDE w:val="0"/>
        <w:autoSpaceDN w:val="0"/>
        <w:adjustRightInd w:val="0"/>
        <w:spacing w:after="0"/>
        <w:jc w:val="both"/>
        <w:rPr>
          <w:rFonts w:eastAsia="Times New Roman" w:cs="Arial"/>
          <w:color w:val="000000"/>
          <w:lang w:eastAsia="en-GB"/>
        </w:rPr>
      </w:pPr>
      <w:r>
        <w:rPr>
          <w:rFonts w:eastAsia="Times New Roman" w:cs="Arial"/>
          <w:color w:val="000000"/>
          <w:lang w:eastAsia="en-GB"/>
        </w:rPr>
        <w:t xml:space="preserve">Paragraphs 213-15 of the NPPF require a balanced approach with any harm which would be caused being weighed against the potential public benefits which might be achieved. </w:t>
      </w:r>
    </w:p>
    <w:p w14:paraId="3791B3A5" w14:textId="77777777" w:rsidR="00C75E5D" w:rsidRDefault="00C75E5D" w:rsidP="00C75E5D">
      <w:pPr>
        <w:autoSpaceDE w:val="0"/>
        <w:autoSpaceDN w:val="0"/>
        <w:adjustRightInd w:val="0"/>
        <w:jc w:val="both"/>
        <w:rPr>
          <w:rFonts w:cs="Arial"/>
        </w:rPr>
      </w:pPr>
    </w:p>
    <w:p w14:paraId="6BA58A5E" w14:textId="77777777" w:rsidR="00C75E5D" w:rsidRPr="00E840F9" w:rsidRDefault="00C75E5D" w:rsidP="00C75E5D">
      <w:pPr>
        <w:autoSpaceDE w:val="0"/>
        <w:autoSpaceDN w:val="0"/>
        <w:adjustRightInd w:val="0"/>
        <w:jc w:val="both"/>
        <w:rPr>
          <w:rFonts w:eastAsia="Times New Roman" w:cs="Arial"/>
          <w:color w:val="000000"/>
          <w:kern w:val="2"/>
          <w:lang w:eastAsia="en-GB"/>
          <w14:ligatures w14:val="standardContextual"/>
        </w:rPr>
      </w:pPr>
      <w:r w:rsidRPr="00E840F9">
        <w:rPr>
          <w:rFonts w:cs="Arial"/>
          <w:kern w:val="2"/>
          <w14:ligatures w14:val="standardContextual"/>
        </w:rPr>
        <w:t>216. The effect of an application on the significance of a non-designated heritage asset should be taken into account in determining the application. In weighing applications that directly or indirectly affect non-designated heritage assets, a balanced judgement will be required having regard to the scale of any harm or loss and the significance of the heritage asset</w:t>
      </w:r>
    </w:p>
    <w:p w14:paraId="48BA38A6" w14:textId="77777777" w:rsidR="00C75E5D" w:rsidRPr="00E840F9" w:rsidRDefault="00C75E5D" w:rsidP="00C75E5D">
      <w:pPr>
        <w:autoSpaceDE w:val="0"/>
        <w:autoSpaceDN w:val="0"/>
        <w:adjustRightInd w:val="0"/>
        <w:jc w:val="both"/>
        <w:rPr>
          <w:rFonts w:eastAsia="Times New Roman" w:cs="Arial"/>
          <w:color w:val="000000"/>
          <w:kern w:val="2"/>
          <w:lang w:eastAsia="en-GB"/>
          <w14:ligatures w14:val="standardContextual"/>
        </w:rPr>
      </w:pPr>
    </w:p>
    <w:p w14:paraId="2B1C25ED" w14:textId="77777777" w:rsidR="00C75E5D" w:rsidRPr="00E840F9" w:rsidRDefault="00C75E5D" w:rsidP="00C75E5D">
      <w:pPr>
        <w:autoSpaceDE w:val="0"/>
        <w:autoSpaceDN w:val="0"/>
        <w:adjustRightInd w:val="0"/>
        <w:jc w:val="both"/>
        <w:rPr>
          <w:rFonts w:cs="Arial"/>
          <w:kern w:val="2"/>
          <w14:ligatures w14:val="standardContextual"/>
        </w:rPr>
      </w:pPr>
      <w:r w:rsidRPr="00E840F9">
        <w:rPr>
          <w:rFonts w:cs="Arial"/>
          <w:kern w:val="2"/>
          <w14:ligatures w14:val="standardContextual"/>
        </w:rPr>
        <w:t xml:space="preserve">219. Local planning authorities should look for opportunities for new development within Conservation Areas and World Heritage Sites, and within the setting of heritage assets, to enhance or better reveal their significance. Proposals that preserve those elements of the setting that make a positive contribution to the asset (or which better reveal its significance) should be treated favourably. </w:t>
      </w:r>
    </w:p>
    <w:p w14:paraId="71E7C4F8" w14:textId="77777777" w:rsidR="00C75E5D" w:rsidRPr="00E840F9" w:rsidRDefault="00C75E5D" w:rsidP="00C75E5D">
      <w:pPr>
        <w:autoSpaceDE w:val="0"/>
        <w:autoSpaceDN w:val="0"/>
        <w:adjustRightInd w:val="0"/>
        <w:jc w:val="both"/>
        <w:rPr>
          <w:rFonts w:cs="Arial"/>
          <w:kern w:val="2"/>
          <w14:ligatures w14:val="standardContextual"/>
        </w:rPr>
      </w:pPr>
    </w:p>
    <w:p w14:paraId="428CFB31" w14:textId="77777777" w:rsidR="00C75E5D" w:rsidRDefault="00C75E5D" w:rsidP="00C75E5D">
      <w:pPr>
        <w:jc w:val="both"/>
        <w:rPr>
          <w:rFonts w:cs="Arial"/>
        </w:rPr>
      </w:pPr>
      <w:r>
        <w:rPr>
          <w:rFonts w:cs="Arial"/>
        </w:rPr>
        <w:t>National Planning Practice Guidance provides guidance on interpreting the NPPF.</w:t>
      </w:r>
    </w:p>
    <w:p w14:paraId="358D5673" w14:textId="77777777" w:rsidR="00C75E5D" w:rsidRDefault="00C75E5D" w:rsidP="00C75E5D">
      <w:pPr>
        <w:jc w:val="both"/>
        <w:rPr>
          <w:rFonts w:cs="Arial"/>
        </w:rPr>
      </w:pPr>
    </w:p>
    <w:p w14:paraId="0A3A56D8" w14:textId="77777777" w:rsidR="00C75E5D" w:rsidRDefault="00C75E5D" w:rsidP="00C75E5D">
      <w:pPr>
        <w:jc w:val="both"/>
        <w:rPr>
          <w:rFonts w:cs="Arial"/>
        </w:rPr>
      </w:pPr>
      <w:r>
        <w:rPr>
          <w:rFonts w:cs="Arial"/>
        </w:rPr>
        <w:t>The Council’s Core Strategy Policy CP58 ‘Ensuring the conservation of the historic environment’ requires that “designated heritage assets and their settings will be conserved, and where appropriate enhanced, in a manner appropriate to their significance.”</w:t>
      </w:r>
    </w:p>
    <w:p w14:paraId="7B224082" w14:textId="77777777" w:rsidR="00C75E5D" w:rsidRDefault="00C75E5D" w:rsidP="00C75E5D">
      <w:pPr>
        <w:jc w:val="both"/>
        <w:rPr>
          <w:rFonts w:cs="Arial"/>
        </w:rPr>
      </w:pPr>
    </w:p>
    <w:p w14:paraId="6C11A33A" w14:textId="77777777" w:rsidR="00C75E5D" w:rsidRDefault="00C75E5D" w:rsidP="00C75E5D">
      <w:pPr>
        <w:autoSpaceDE w:val="0"/>
        <w:autoSpaceDN w:val="0"/>
        <w:adjustRightInd w:val="0"/>
        <w:jc w:val="both"/>
        <w:rPr>
          <w:rFonts w:cs="Arial"/>
        </w:rPr>
      </w:pPr>
      <w:bookmarkStart w:id="0" w:name="_Hlk131504226"/>
      <w:r>
        <w:rPr>
          <w:rFonts w:cs="Arial"/>
          <w:iCs/>
        </w:rPr>
        <w:t>Wiltshire Council’s Core Strategy Policy CP57 ‘</w:t>
      </w:r>
      <w:r>
        <w:rPr>
          <w:rFonts w:cs="Arial"/>
          <w:bCs/>
        </w:rPr>
        <w:t xml:space="preserve">Ensuring high quality design and place shaping’: </w:t>
      </w:r>
      <w:r>
        <w:rPr>
          <w:rFonts w:cs="Arial"/>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bookmarkEnd w:id="0"/>
    <w:p w14:paraId="7BAFC667" w14:textId="77777777" w:rsidR="00C75E5D" w:rsidRDefault="00C75E5D" w:rsidP="00C75E5D">
      <w:pPr>
        <w:pStyle w:val="Letterbody"/>
        <w:rPr>
          <w:rFonts w:cs="Arial"/>
          <w:sz w:val="22"/>
          <w:szCs w:val="22"/>
        </w:rPr>
      </w:pPr>
      <w:r>
        <w:rPr>
          <w:rFonts w:cs="Arial"/>
          <w:sz w:val="22"/>
          <w:szCs w:val="22"/>
        </w:rPr>
        <w:t xml:space="preserve">Historic England Advice Note 2 – Making changes to Heritage Assets illustrates the application of policies set out in the NPPF in determining applications for PP and LBC. </w:t>
      </w:r>
    </w:p>
    <w:p w14:paraId="215B51A2" w14:textId="77777777" w:rsidR="00C75E5D" w:rsidRDefault="00C75E5D" w:rsidP="00C75E5D">
      <w:pPr>
        <w:pStyle w:val="Letterbody"/>
        <w:rPr>
          <w:rFonts w:cs="Arial"/>
          <w:sz w:val="22"/>
          <w:szCs w:val="22"/>
        </w:rPr>
      </w:pPr>
    </w:p>
    <w:p w14:paraId="47578333" w14:textId="77777777" w:rsidR="00C75E5D" w:rsidRDefault="00C75E5D" w:rsidP="00C75E5D">
      <w:pPr>
        <w:pStyle w:val="Letterbody"/>
        <w:rPr>
          <w:rFonts w:cs="Arial"/>
          <w:sz w:val="22"/>
          <w:szCs w:val="22"/>
        </w:rPr>
      </w:pPr>
      <w:r>
        <w:rPr>
          <w:rFonts w:cs="Arial"/>
          <w:sz w:val="22"/>
          <w:szCs w:val="22"/>
        </w:rPr>
        <w:t xml:space="preserve">Historic England guidance Adapting Traditional Farm Buildings </w:t>
      </w:r>
    </w:p>
    <w:p w14:paraId="03512315" w14:textId="77777777" w:rsidR="00C75E5D" w:rsidRDefault="00C75E5D" w:rsidP="00C75E5D">
      <w:pPr>
        <w:pStyle w:val="Letterbody"/>
        <w:rPr>
          <w:rFonts w:cs="Arial"/>
          <w:b/>
          <w:sz w:val="22"/>
          <w:szCs w:val="22"/>
        </w:rPr>
      </w:pPr>
    </w:p>
    <w:p w14:paraId="5ABB9127" w14:textId="4DFF683A" w:rsidR="00C75E5D" w:rsidRDefault="00C75E5D" w:rsidP="00C75E5D">
      <w:pPr>
        <w:pStyle w:val="Letterbody"/>
        <w:rPr>
          <w:rFonts w:cs="Arial"/>
          <w:bCs/>
          <w:sz w:val="22"/>
          <w:szCs w:val="22"/>
        </w:rPr>
      </w:pPr>
      <w:r>
        <w:rPr>
          <w:rFonts w:cs="Arial"/>
          <w:b/>
          <w:sz w:val="22"/>
          <w:szCs w:val="22"/>
        </w:rPr>
        <w:t>Issues</w:t>
      </w:r>
      <w:r>
        <w:rPr>
          <w:rFonts w:cs="Arial"/>
          <w:bCs/>
          <w:sz w:val="22"/>
          <w:szCs w:val="22"/>
        </w:rPr>
        <w:t>: Impact on th</w:t>
      </w:r>
      <w:r w:rsidR="006D41E1">
        <w:rPr>
          <w:rFonts w:cs="Arial"/>
          <w:bCs/>
          <w:sz w:val="22"/>
          <w:szCs w:val="22"/>
        </w:rPr>
        <w:t>e</w:t>
      </w:r>
      <w:r>
        <w:rPr>
          <w:rFonts w:cs="Arial"/>
          <w:bCs/>
          <w:sz w:val="22"/>
          <w:szCs w:val="22"/>
        </w:rPr>
        <w:t xml:space="preserve"> setting of listed building</w:t>
      </w:r>
      <w:r w:rsidR="006D41E1">
        <w:rPr>
          <w:rFonts w:cs="Arial"/>
          <w:bCs/>
          <w:sz w:val="22"/>
          <w:szCs w:val="22"/>
        </w:rPr>
        <w:t>s</w:t>
      </w:r>
      <w:r>
        <w:rPr>
          <w:rFonts w:cs="Arial"/>
          <w:bCs/>
          <w:sz w:val="22"/>
          <w:szCs w:val="22"/>
        </w:rPr>
        <w:t xml:space="preserve">, design and materials, character and appearance. </w:t>
      </w:r>
    </w:p>
    <w:p w14:paraId="68BC6BAC" w14:textId="77777777" w:rsidR="00C75E5D" w:rsidRDefault="00C75E5D" w:rsidP="00C75E5D">
      <w:pPr>
        <w:tabs>
          <w:tab w:val="left" w:pos="1701"/>
        </w:tabs>
        <w:spacing w:after="0"/>
        <w:jc w:val="both"/>
        <w:rPr>
          <w:rFonts w:eastAsia="Times New Roman" w:cs="Arial"/>
          <w:u w:val="single"/>
          <w:lang w:eastAsia="en-GB"/>
        </w:rPr>
      </w:pPr>
    </w:p>
    <w:p w14:paraId="1F7B828C" w14:textId="77777777" w:rsidR="00C75E5D" w:rsidRDefault="00C75E5D" w:rsidP="00C75E5D">
      <w:pPr>
        <w:tabs>
          <w:tab w:val="left" w:pos="1701"/>
        </w:tabs>
        <w:spacing w:after="0"/>
        <w:jc w:val="both"/>
        <w:rPr>
          <w:rFonts w:eastAsia="Times New Roman" w:cs="Arial"/>
          <w:lang w:eastAsia="en-GB"/>
        </w:rPr>
      </w:pPr>
      <w:r>
        <w:rPr>
          <w:rFonts w:eastAsia="Times New Roman" w:cs="Arial"/>
          <w:b/>
          <w:bCs/>
          <w:lang w:eastAsia="en-GB"/>
        </w:rPr>
        <w:t>Significance of assets and contribution of setting</w:t>
      </w:r>
      <w:r>
        <w:rPr>
          <w:rFonts w:eastAsia="Times New Roman" w:cs="Arial"/>
          <w:lang w:eastAsia="en-GB"/>
        </w:rPr>
        <w:t xml:space="preserve">: The NPPF defines significance as the “value of a heritage asset to this and future generations because of its heritage interest. </w:t>
      </w:r>
    </w:p>
    <w:p w14:paraId="604BFF43" w14:textId="77777777" w:rsidR="00C75E5D" w:rsidRDefault="00C75E5D" w:rsidP="00C75E5D">
      <w:pPr>
        <w:tabs>
          <w:tab w:val="left" w:pos="1701"/>
        </w:tabs>
        <w:spacing w:after="0"/>
        <w:jc w:val="both"/>
        <w:rPr>
          <w:rFonts w:eastAsia="Times New Roman" w:cs="Arial"/>
          <w:lang w:eastAsia="en-GB"/>
        </w:rPr>
      </w:pPr>
    </w:p>
    <w:p w14:paraId="5E8C9557" w14:textId="77777777" w:rsidR="00C75E5D" w:rsidRDefault="00C75E5D" w:rsidP="00C75E5D">
      <w:pPr>
        <w:tabs>
          <w:tab w:val="left" w:pos="1701"/>
        </w:tabs>
        <w:spacing w:after="0"/>
        <w:jc w:val="both"/>
        <w:rPr>
          <w:rFonts w:eastAsia="Times New Roman" w:cs="Arial"/>
          <w:lang w:eastAsia="en-GB"/>
        </w:rPr>
      </w:pPr>
      <w:r>
        <w:rPr>
          <w:rFonts w:eastAsia="Times New Roman" w:cs="Arial"/>
          <w:lang w:eastAsia="en-GB"/>
        </w:rPr>
        <w:t xml:space="preserve">The interest may be </w:t>
      </w:r>
      <w:r>
        <w:rPr>
          <w:rFonts w:eastAsia="Times New Roman" w:cs="Arial"/>
          <w:b/>
          <w:bCs/>
          <w:lang w:eastAsia="en-GB"/>
        </w:rPr>
        <w:t>architectural</w:t>
      </w:r>
      <w:r>
        <w:rPr>
          <w:rFonts w:eastAsia="Times New Roman" w:cs="Arial"/>
          <w:lang w:eastAsia="en-GB"/>
        </w:rPr>
        <w:t xml:space="preserve">, or </w:t>
      </w:r>
      <w:r>
        <w:rPr>
          <w:rFonts w:eastAsia="Times New Roman" w:cs="Arial"/>
          <w:b/>
          <w:bCs/>
          <w:lang w:eastAsia="en-GB"/>
        </w:rPr>
        <w:t xml:space="preserve">historic </w:t>
      </w:r>
      <w:r>
        <w:rPr>
          <w:rFonts w:eastAsia="Times New Roman" w:cs="Arial"/>
          <w:lang w:eastAsia="en-GB"/>
        </w:rPr>
        <w:t xml:space="preserve">as set out in the Town and Country Planning (Listed Building and Conservation Areas) Act 1990 S 1. </w:t>
      </w:r>
    </w:p>
    <w:p w14:paraId="524A08F0" w14:textId="77777777" w:rsidR="00C75E5D" w:rsidRDefault="00C75E5D" w:rsidP="00C75E5D">
      <w:pPr>
        <w:pStyle w:val="Letterbody"/>
        <w:rPr>
          <w:rFonts w:cs="Arial"/>
          <w:sz w:val="22"/>
          <w:szCs w:val="22"/>
          <w:u w:val="single"/>
        </w:rPr>
      </w:pPr>
    </w:p>
    <w:p w14:paraId="7D45D353" w14:textId="77777777" w:rsidR="00C75E5D" w:rsidRDefault="00C75E5D" w:rsidP="00C75E5D">
      <w:pPr>
        <w:pStyle w:val="Letterbody"/>
        <w:rPr>
          <w:rFonts w:cs="Arial"/>
          <w:sz w:val="22"/>
          <w:szCs w:val="22"/>
        </w:rPr>
      </w:pPr>
      <w:r>
        <w:rPr>
          <w:rFonts w:cs="Arial"/>
          <w:sz w:val="22"/>
          <w:szCs w:val="22"/>
        </w:rPr>
        <w:t xml:space="preserve">The NPPF defines significance as the “value of a heritage asset to this and future generations because of its heritage interest. The interest may be, </w:t>
      </w:r>
      <w:r>
        <w:rPr>
          <w:rFonts w:cs="Arial"/>
          <w:b/>
          <w:bCs/>
          <w:sz w:val="22"/>
          <w:szCs w:val="22"/>
        </w:rPr>
        <w:t>architectural</w:t>
      </w:r>
      <w:r>
        <w:rPr>
          <w:rFonts w:cs="Arial"/>
          <w:sz w:val="22"/>
          <w:szCs w:val="22"/>
        </w:rPr>
        <w:t xml:space="preserve">, or </w:t>
      </w:r>
      <w:r>
        <w:rPr>
          <w:rFonts w:cs="Arial"/>
          <w:b/>
          <w:bCs/>
          <w:sz w:val="22"/>
          <w:szCs w:val="22"/>
        </w:rPr>
        <w:t>historic</w:t>
      </w:r>
      <w:r>
        <w:rPr>
          <w:rFonts w:cs="Arial"/>
          <w:sz w:val="22"/>
          <w:szCs w:val="22"/>
        </w:rPr>
        <w:t xml:space="preserve">. Significance derives not only from a heritage asset’s physical presence, but also from its setting.” Historic England assesses significance in a similar manner, referring to evidential, historic, aesthetic, and communal values of a place. </w:t>
      </w:r>
    </w:p>
    <w:p w14:paraId="7AC905D1" w14:textId="77777777" w:rsidR="00C75E5D" w:rsidRDefault="00C75E5D" w:rsidP="00C75E5D">
      <w:pPr>
        <w:pStyle w:val="Letterbody"/>
        <w:rPr>
          <w:rFonts w:cs="Arial"/>
          <w:sz w:val="22"/>
          <w:szCs w:val="22"/>
        </w:rPr>
      </w:pPr>
    </w:p>
    <w:p w14:paraId="55F3CE5A" w14:textId="20A946DA" w:rsidR="00C75E5D" w:rsidRDefault="00C75E5D" w:rsidP="00C75E5D">
      <w:pPr>
        <w:pStyle w:val="Letterbody"/>
        <w:rPr>
          <w:rFonts w:cs="Arial"/>
          <w:sz w:val="22"/>
          <w:szCs w:val="22"/>
        </w:rPr>
      </w:pPr>
      <w:r>
        <w:rPr>
          <w:rFonts w:cs="Arial"/>
          <w:sz w:val="22"/>
          <w:szCs w:val="22"/>
        </w:rPr>
        <w:t xml:space="preserve">In this case the significance </w:t>
      </w:r>
      <w:r>
        <w:rPr>
          <w:rFonts w:cs="Arial"/>
          <w:sz w:val="22"/>
          <w:szCs w:val="22"/>
        </w:rPr>
        <w:t>of St Mary</w:t>
      </w:r>
      <w:r w:rsidR="00D447CB">
        <w:rPr>
          <w:rFonts w:cs="Arial"/>
          <w:sz w:val="22"/>
          <w:szCs w:val="22"/>
        </w:rPr>
        <w:t xml:space="preserve"> the Virgin </w:t>
      </w:r>
      <w:r>
        <w:rPr>
          <w:rFonts w:cs="Arial"/>
          <w:sz w:val="22"/>
          <w:szCs w:val="22"/>
        </w:rPr>
        <w:t xml:space="preserve">Church </w:t>
      </w:r>
      <w:r>
        <w:rPr>
          <w:rFonts w:cs="Arial"/>
          <w:sz w:val="22"/>
          <w:szCs w:val="22"/>
        </w:rPr>
        <w:t>lies with the</w:t>
      </w:r>
      <w:r w:rsidR="00421FB9">
        <w:rPr>
          <w:rFonts w:cs="Arial"/>
          <w:sz w:val="22"/>
          <w:szCs w:val="22"/>
        </w:rPr>
        <w:t xml:space="preserve"> </w:t>
      </w:r>
      <w:r w:rsidR="00A00870">
        <w:rPr>
          <w:rFonts w:cs="Arial"/>
          <w:sz w:val="22"/>
          <w:szCs w:val="22"/>
        </w:rPr>
        <w:t>Victorian Early English style a</w:t>
      </w:r>
      <w:r w:rsidR="00421FB9">
        <w:rPr>
          <w:rFonts w:cs="Arial"/>
          <w:sz w:val="22"/>
          <w:szCs w:val="22"/>
        </w:rPr>
        <w:t>rchitectur</w:t>
      </w:r>
      <w:r w:rsidR="00A00870">
        <w:rPr>
          <w:rFonts w:cs="Arial"/>
          <w:sz w:val="22"/>
          <w:szCs w:val="22"/>
        </w:rPr>
        <w:t xml:space="preserve">e </w:t>
      </w:r>
      <w:r>
        <w:rPr>
          <w:rFonts w:cs="Arial"/>
          <w:sz w:val="22"/>
          <w:szCs w:val="22"/>
        </w:rPr>
        <w:t xml:space="preserve">form, layout and architectural expression/detailing and use of local design approaches and materials </w:t>
      </w:r>
      <w:r w:rsidR="00050240">
        <w:rPr>
          <w:rFonts w:cs="Arial"/>
          <w:sz w:val="22"/>
          <w:szCs w:val="22"/>
        </w:rPr>
        <w:t>and includes historic interior features reused form the earlier 12</w:t>
      </w:r>
      <w:r w:rsidR="00050240" w:rsidRPr="00050240">
        <w:rPr>
          <w:rFonts w:cs="Arial"/>
          <w:sz w:val="22"/>
          <w:szCs w:val="22"/>
          <w:vertAlign w:val="superscript"/>
        </w:rPr>
        <w:t>th</w:t>
      </w:r>
      <w:r w:rsidR="00050240">
        <w:rPr>
          <w:rFonts w:cs="Arial"/>
          <w:sz w:val="22"/>
          <w:szCs w:val="22"/>
        </w:rPr>
        <w:t xml:space="preserve"> century Church</w:t>
      </w:r>
      <w:r w:rsidR="00CB7501">
        <w:rPr>
          <w:rFonts w:cs="Arial"/>
          <w:sz w:val="22"/>
          <w:szCs w:val="22"/>
        </w:rPr>
        <w:t xml:space="preserve">. It </w:t>
      </w:r>
      <w:r>
        <w:rPr>
          <w:rFonts w:cs="Arial"/>
          <w:sz w:val="22"/>
          <w:szCs w:val="22"/>
        </w:rPr>
        <w:t>ha</w:t>
      </w:r>
      <w:r w:rsidR="00050240">
        <w:rPr>
          <w:rFonts w:cs="Arial"/>
          <w:sz w:val="22"/>
          <w:szCs w:val="22"/>
        </w:rPr>
        <w:t>s</w:t>
      </w:r>
      <w:r>
        <w:rPr>
          <w:rFonts w:cs="Arial"/>
          <w:sz w:val="22"/>
          <w:szCs w:val="22"/>
        </w:rPr>
        <w:t xml:space="preserve"> significant aesthetic and architectural interest</w:t>
      </w:r>
      <w:r>
        <w:rPr>
          <w:rFonts w:cs="Arial"/>
          <w:sz w:val="22"/>
          <w:szCs w:val="22"/>
        </w:rPr>
        <w:t>.</w:t>
      </w:r>
    </w:p>
    <w:p w14:paraId="092A5EC2" w14:textId="77777777" w:rsidR="00C75E5D" w:rsidRDefault="00C75E5D" w:rsidP="00C75E5D">
      <w:pPr>
        <w:pStyle w:val="Letterbody"/>
        <w:rPr>
          <w:rFonts w:cs="Arial"/>
          <w:sz w:val="22"/>
          <w:szCs w:val="22"/>
        </w:rPr>
      </w:pPr>
    </w:p>
    <w:p w14:paraId="1B8127DB" w14:textId="0F90230E" w:rsidR="00C75E5D" w:rsidRDefault="00C75E5D" w:rsidP="00C75E5D">
      <w:pPr>
        <w:pStyle w:val="Letterbody"/>
        <w:rPr>
          <w:rFonts w:cs="Arial"/>
          <w:sz w:val="22"/>
          <w:szCs w:val="22"/>
        </w:rPr>
      </w:pPr>
      <w:r>
        <w:rPr>
          <w:rFonts w:cs="Arial"/>
          <w:sz w:val="22"/>
          <w:szCs w:val="22"/>
        </w:rPr>
        <w:lastRenderedPageBreak/>
        <w:t xml:space="preserve">The </w:t>
      </w:r>
      <w:r w:rsidR="00CB7501">
        <w:rPr>
          <w:rFonts w:cs="Arial"/>
          <w:sz w:val="22"/>
          <w:szCs w:val="22"/>
        </w:rPr>
        <w:t xml:space="preserve">significance of the </w:t>
      </w:r>
      <w:r>
        <w:rPr>
          <w:rFonts w:cs="Arial"/>
          <w:sz w:val="22"/>
          <w:szCs w:val="22"/>
        </w:rPr>
        <w:t>Tithe Barn</w:t>
      </w:r>
      <w:r w:rsidR="00CB7501">
        <w:rPr>
          <w:rFonts w:cs="Arial"/>
          <w:sz w:val="22"/>
          <w:szCs w:val="22"/>
        </w:rPr>
        <w:t xml:space="preserve"> is its 15</w:t>
      </w:r>
      <w:r w:rsidR="00CB7501" w:rsidRPr="00CB7501">
        <w:rPr>
          <w:rFonts w:cs="Arial"/>
          <w:sz w:val="22"/>
          <w:szCs w:val="22"/>
          <w:vertAlign w:val="superscript"/>
        </w:rPr>
        <w:t>th</w:t>
      </w:r>
      <w:r w:rsidR="00CB7501">
        <w:rPr>
          <w:rFonts w:cs="Arial"/>
          <w:sz w:val="22"/>
          <w:szCs w:val="22"/>
        </w:rPr>
        <w:t xml:space="preserve"> century </w:t>
      </w:r>
      <w:r>
        <w:rPr>
          <w:rFonts w:cs="Arial"/>
          <w:sz w:val="22"/>
          <w:szCs w:val="22"/>
        </w:rPr>
        <w:t>historic fabric and vernacular architecture their form, layout and architectural expression/detailing and use of local design approaches and materials have some significant aesthetic and architectural interest.</w:t>
      </w:r>
    </w:p>
    <w:p w14:paraId="0A897B90" w14:textId="77777777" w:rsidR="00C75E5D" w:rsidRDefault="00C75E5D" w:rsidP="00C75E5D">
      <w:pPr>
        <w:pStyle w:val="Letterbody"/>
        <w:rPr>
          <w:rFonts w:cs="Arial"/>
          <w:sz w:val="22"/>
          <w:szCs w:val="22"/>
        </w:rPr>
      </w:pPr>
    </w:p>
    <w:p w14:paraId="1ADD730B" w14:textId="02A2D7B8" w:rsidR="00C75E5D" w:rsidRDefault="00C75E5D" w:rsidP="00C75E5D">
      <w:pPr>
        <w:pStyle w:val="Letterbody"/>
        <w:rPr>
          <w:rFonts w:cs="Arial"/>
          <w:sz w:val="22"/>
          <w:szCs w:val="22"/>
        </w:rPr>
      </w:pPr>
      <w:r>
        <w:rPr>
          <w:rFonts w:cs="Arial"/>
          <w:sz w:val="22"/>
          <w:szCs w:val="22"/>
        </w:rPr>
        <w:t xml:space="preserve">The </w:t>
      </w:r>
      <w:r w:rsidR="00A052C8">
        <w:rPr>
          <w:rFonts w:cs="Arial"/>
          <w:sz w:val="22"/>
          <w:szCs w:val="22"/>
        </w:rPr>
        <w:t xml:space="preserve">cumulative </w:t>
      </w:r>
      <w:r>
        <w:rPr>
          <w:rFonts w:cs="Arial"/>
          <w:sz w:val="22"/>
          <w:szCs w:val="22"/>
        </w:rPr>
        <w:t xml:space="preserve">setting </w:t>
      </w:r>
      <w:r w:rsidR="00A052C8">
        <w:rPr>
          <w:rFonts w:cs="Arial"/>
          <w:sz w:val="22"/>
          <w:szCs w:val="22"/>
        </w:rPr>
        <w:t xml:space="preserve">of these two listed buildings that are is also significant </w:t>
      </w:r>
      <w:r>
        <w:rPr>
          <w:rFonts w:cs="Arial"/>
          <w:sz w:val="22"/>
          <w:szCs w:val="22"/>
        </w:rPr>
        <w:t xml:space="preserve">and the proposed dwelling site is in their immediate setting. </w:t>
      </w:r>
    </w:p>
    <w:p w14:paraId="778D42DF" w14:textId="77777777" w:rsidR="00C75E5D" w:rsidRDefault="00C75E5D" w:rsidP="00C75E5D">
      <w:pPr>
        <w:pStyle w:val="Letterbody"/>
        <w:rPr>
          <w:rFonts w:cs="Arial"/>
          <w:sz w:val="22"/>
          <w:szCs w:val="22"/>
        </w:rPr>
      </w:pPr>
    </w:p>
    <w:p w14:paraId="44E2C2B1" w14:textId="77777777" w:rsidR="00C75E5D" w:rsidRDefault="00C75E5D" w:rsidP="00C75E5D">
      <w:pPr>
        <w:pStyle w:val="Letterbody"/>
        <w:rPr>
          <w:rFonts w:cs="Arial"/>
          <w:bCs/>
          <w:sz w:val="22"/>
          <w:szCs w:val="22"/>
        </w:rPr>
      </w:pPr>
      <w:r>
        <w:rPr>
          <w:rFonts w:cs="Arial"/>
          <w:b/>
          <w:sz w:val="22"/>
          <w:szCs w:val="22"/>
        </w:rPr>
        <w:t>Assessment</w:t>
      </w:r>
      <w:r>
        <w:rPr>
          <w:rFonts w:cs="Arial"/>
          <w:bCs/>
          <w:sz w:val="22"/>
          <w:szCs w:val="22"/>
        </w:rPr>
        <w:t xml:space="preserve">: </w:t>
      </w:r>
    </w:p>
    <w:p w14:paraId="4A53DABD" w14:textId="77777777" w:rsidR="00C75E5D" w:rsidRPr="00952D4B" w:rsidRDefault="00C75E5D" w:rsidP="00C75E5D">
      <w:pPr>
        <w:tabs>
          <w:tab w:val="left" w:pos="1701"/>
        </w:tabs>
        <w:spacing w:after="0"/>
        <w:jc w:val="both"/>
        <w:rPr>
          <w:rFonts w:eastAsia="Times New Roman" w:cs="Arial"/>
          <w:lang w:eastAsia="en-GB"/>
        </w:rPr>
      </w:pPr>
      <w:r>
        <w:rPr>
          <w:rFonts w:eastAsia="Times New Roman" w:cs="Arial"/>
          <w:lang w:eastAsia="en-GB"/>
        </w:rPr>
        <w:t xml:space="preserve">The NPPF defines significance as the “value of a heritage asset to this and future generations because of its heritage interest. The interest may be, </w:t>
      </w:r>
      <w:r>
        <w:rPr>
          <w:rFonts w:eastAsia="Times New Roman" w:cs="Arial"/>
          <w:b/>
          <w:bCs/>
          <w:lang w:eastAsia="en-GB"/>
        </w:rPr>
        <w:t>architectural</w:t>
      </w:r>
      <w:r>
        <w:rPr>
          <w:rFonts w:eastAsia="Times New Roman" w:cs="Arial"/>
          <w:lang w:eastAsia="en-GB"/>
        </w:rPr>
        <w:t xml:space="preserve">, or </w:t>
      </w:r>
      <w:r>
        <w:rPr>
          <w:rFonts w:eastAsia="Times New Roman" w:cs="Arial"/>
          <w:b/>
          <w:bCs/>
          <w:lang w:eastAsia="en-GB"/>
        </w:rPr>
        <w:t>historic</w:t>
      </w:r>
      <w:r>
        <w:rPr>
          <w:rFonts w:eastAsia="Times New Roman" w:cs="Arial"/>
          <w:lang w:eastAsia="en-GB"/>
        </w:rPr>
        <w:t xml:space="preserve">. Significance derives not only from a heritage asset’s physical presence, but also from its setting.” Historic England assesses significance in a similar manner, referring to evidential, historic, aesthetic, and communal values of a place. </w:t>
      </w:r>
    </w:p>
    <w:p w14:paraId="28DF1F81" w14:textId="77777777" w:rsidR="00A052C8" w:rsidRDefault="00A052C8" w:rsidP="00784E27">
      <w:pPr>
        <w:pStyle w:val="Letterbody"/>
        <w:rPr>
          <w:rFonts w:cs="Arial"/>
        </w:rPr>
      </w:pPr>
    </w:p>
    <w:p w14:paraId="67988641" w14:textId="3C3A6FC8" w:rsidR="00784E27" w:rsidRDefault="00166CFA" w:rsidP="00784E27">
      <w:pPr>
        <w:pStyle w:val="Letterbody"/>
        <w:rPr>
          <w:rFonts w:cs="Arial"/>
        </w:rPr>
      </w:pPr>
      <w:r>
        <w:rPr>
          <w:rFonts w:cs="Arial"/>
        </w:rPr>
        <w:t>Conservation Offic</w:t>
      </w:r>
      <w:r w:rsidR="00784E27">
        <w:rPr>
          <w:rFonts w:cs="Arial"/>
        </w:rPr>
        <w:t>e</w:t>
      </w:r>
      <w:r>
        <w:rPr>
          <w:rFonts w:cs="Arial"/>
        </w:rPr>
        <w:t xml:space="preserve">r comments on Part Q </w:t>
      </w:r>
    </w:p>
    <w:p w14:paraId="3AE7883B" w14:textId="77777777" w:rsidR="00784E27" w:rsidRDefault="00784E27" w:rsidP="00784E27">
      <w:pPr>
        <w:pStyle w:val="Letterbody"/>
        <w:rPr>
          <w:rFonts w:cs="Arial"/>
        </w:rPr>
      </w:pPr>
    </w:p>
    <w:p w14:paraId="678A630A" w14:textId="14AB9AF4" w:rsidR="00784E27" w:rsidRPr="00784E27" w:rsidRDefault="00784E27" w:rsidP="00784E27">
      <w:pPr>
        <w:pStyle w:val="Letterbody"/>
        <w:rPr>
          <w:rFonts w:cs="Arial"/>
          <w:i/>
          <w:iCs/>
          <w:sz w:val="22"/>
          <w:szCs w:val="22"/>
        </w:rPr>
      </w:pPr>
      <w:r>
        <w:rPr>
          <w:rFonts w:cs="Arial"/>
          <w:i/>
          <w:iCs/>
          <w:sz w:val="22"/>
          <w:szCs w:val="22"/>
        </w:rPr>
        <w:t>‘</w:t>
      </w:r>
      <w:r w:rsidRPr="00784E27">
        <w:rPr>
          <w:rFonts w:cs="Arial"/>
          <w:i/>
          <w:iCs/>
          <w:sz w:val="22"/>
          <w:szCs w:val="22"/>
        </w:rPr>
        <w:t>Given the development would be confined to the shell of the existing buildings I observe that there would be not significance change to the setting of either the Tithe Barn or Church. There the significance of these assets would not affected provided the works do not protrude beyond the existing built envelop.</w:t>
      </w:r>
    </w:p>
    <w:p w14:paraId="43066501" w14:textId="77777777" w:rsidR="00784E27" w:rsidRPr="00784E27" w:rsidRDefault="00784E27" w:rsidP="00784E27">
      <w:pPr>
        <w:pStyle w:val="Letterbody"/>
        <w:rPr>
          <w:rFonts w:cs="Arial"/>
          <w:i/>
          <w:iCs/>
          <w:sz w:val="22"/>
          <w:szCs w:val="22"/>
        </w:rPr>
      </w:pPr>
      <w:r w:rsidRPr="00784E27">
        <w:rPr>
          <w:rFonts w:cs="Arial"/>
          <w:i/>
          <w:iCs/>
          <w:sz w:val="22"/>
          <w:szCs w:val="22"/>
        </w:rPr>
        <w:t xml:space="preserve"> </w:t>
      </w:r>
    </w:p>
    <w:p w14:paraId="675DA031" w14:textId="140BF3EE" w:rsidR="00784E27" w:rsidRPr="00784E27" w:rsidRDefault="00784E27" w:rsidP="00784E27">
      <w:pPr>
        <w:pStyle w:val="Default"/>
        <w:jc w:val="both"/>
        <w:rPr>
          <w:i/>
          <w:iCs/>
          <w:sz w:val="22"/>
          <w:szCs w:val="22"/>
        </w:rPr>
      </w:pPr>
      <w:r w:rsidRPr="00784E27">
        <w:rPr>
          <w:i/>
          <w:iCs/>
          <w:sz w:val="22"/>
          <w:szCs w:val="22"/>
        </w:rPr>
        <w:t>The impact of the proposals on heritage assets will be neutral and the requirements of current conservation legislation, policy or guidance are considered to be met and there is therefore no objection to the approval of the application.</w:t>
      </w:r>
      <w:r>
        <w:rPr>
          <w:i/>
          <w:iCs/>
          <w:sz w:val="22"/>
          <w:szCs w:val="22"/>
        </w:rPr>
        <w:t>’</w:t>
      </w:r>
      <w:r w:rsidRPr="00784E27">
        <w:rPr>
          <w:i/>
          <w:iCs/>
          <w:sz w:val="22"/>
          <w:szCs w:val="22"/>
        </w:rPr>
        <w:t xml:space="preserve"> </w:t>
      </w:r>
    </w:p>
    <w:p w14:paraId="0DFB67B8" w14:textId="0DD766EC" w:rsidR="00C75E5D" w:rsidRPr="00EA29DB" w:rsidRDefault="00C75E5D" w:rsidP="00C75E5D">
      <w:pPr>
        <w:tabs>
          <w:tab w:val="left" w:pos="1701"/>
        </w:tabs>
        <w:spacing w:after="0"/>
        <w:jc w:val="both"/>
        <w:rPr>
          <w:rFonts w:eastAsia="Times New Roman" w:cs="Arial"/>
          <w:lang w:eastAsia="en-GB"/>
        </w:rPr>
      </w:pPr>
    </w:p>
    <w:p w14:paraId="21400F79" w14:textId="17386749" w:rsidR="00C75E5D" w:rsidRDefault="00544E52" w:rsidP="00C75E5D">
      <w:pPr>
        <w:tabs>
          <w:tab w:val="left" w:pos="1701"/>
        </w:tabs>
        <w:spacing w:after="0"/>
        <w:jc w:val="both"/>
      </w:pPr>
      <w:r>
        <w:t xml:space="preserve">This </w:t>
      </w:r>
      <w:r>
        <w:t xml:space="preserve">application is </w:t>
      </w:r>
      <w:r>
        <w:t>for the conversion of a Class Q</w:t>
      </w:r>
      <w:r>
        <w:t xml:space="preserve"> conversion granted in</w:t>
      </w:r>
      <w:r>
        <w:t xml:space="preserve"> (Ref. PL/2023/10825) into a full permission for a single self-build dwelling, including conversion of outbuilding to ancillary domestic uses (such as office, workshop, gym, garage, hobby space etc). </w:t>
      </w:r>
    </w:p>
    <w:p w14:paraId="183415A8" w14:textId="77777777" w:rsidR="00544E52" w:rsidRDefault="00544E52" w:rsidP="00C75E5D">
      <w:pPr>
        <w:tabs>
          <w:tab w:val="left" w:pos="1701"/>
        </w:tabs>
        <w:spacing w:after="0"/>
        <w:jc w:val="both"/>
      </w:pPr>
    </w:p>
    <w:p w14:paraId="694A7C6C" w14:textId="71022458" w:rsidR="00D07AAE" w:rsidRDefault="00E9681D" w:rsidP="00C75E5D">
      <w:pPr>
        <w:tabs>
          <w:tab w:val="left" w:pos="1701"/>
        </w:tabs>
        <w:spacing w:after="0"/>
        <w:jc w:val="both"/>
      </w:pPr>
      <w:r>
        <w:t xml:space="preserve">The applicant advises that the </w:t>
      </w:r>
      <w:r w:rsidR="003D1509">
        <w:t xml:space="preserve">proposal </w:t>
      </w:r>
      <w:r>
        <w:t>provides betterment in terms of design, amenity and heritage.</w:t>
      </w:r>
      <w:r w:rsidR="00923A61">
        <w:t xml:space="preserve"> The approved Part Q building conversio</w:t>
      </w:r>
      <w:r w:rsidR="00EE7BF4">
        <w:t xml:space="preserve">n </w:t>
      </w:r>
      <w:r w:rsidR="007E5998">
        <w:t xml:space="preserve">is to be converted to a planning permission for a single dwelling. This </w:t>
      </w:r>
      <w:r w:rsidR="00AB0940">
        <w:t>planning proposal</w:t>
      </w:r>
      <w:r w:rsidR="007E5998">
        <w:t xml:space="preserve"> will have very similar layout and design.</w:t>
      </w:r>
    </w:p>
    <w:p w14:paraId="72D955F9" w14:textId="77777777" w:rsidR="00D07AAE" w:rsidRDefault="00D07AAE" w:rsidP="00C75E5D">
      <w:pPr>
        <w:tabs>
          <w:tab w:val="left" w:pos="1701"/>
        </w:tabs>
        <w:spacing w:after="0"/>
        <w:jc w:val="both"/>
      </w:pPr>
    </w:p>
    <w:p w14:paraId="0B1B52C8" w14:textId="1B6EE613" w:rsidR="001B39D5" w:rsidRDefault="00D07AAE" w:rsidP="00C75E5D">
      <w:pPr>
        <w:tabs>
          <w:tab w:val="left" w:pos="1701"/>
        </w:tabs>
        <w:spacing w:after="0"/>
        <w:jc w:val="both"/>
      </w:pPr>
      <w:r>
        <w:t xml:space="preserve">The </w:t>
      </w:r>
      <w:r w:rsidR="001B39D5">
        <w:t xml:space="preserve">main </w:t>
      </w:r>
      <w:r w:rsidR="00540079">
        <w:t>alteration</w:t>
      </w:r>
      <w:r w:rsidR="004662D0">
        <w:t>s</w:t>
      </w:r>
      <w:r w:rsidR="001B39D5">
        <w:t xml:space="preserve"> from </w:t>
      </w:r>
      <w:r w:rsidR="004662D0">
        <w:t xml:space="preserve">theh </w:t>
      </w:r>
      <w:r w:rsidR="001B39D5">
        <w:t>Part Q permission</w:t>
      </w:r>
      <w:r w:rsidR="004662D0">
        <w:t xml:space="preserve"> are</w:t>
      </w:r>
      <w:r w:rsidR="001B39D5">
        <w:t xml:space="preserve"> </w:t>
      </w:r>
      <w:r w:rsidR="00540079">
        <w:t>for</w:t>
      </w:r>
      <w:r w:rsidR="001B39D5">
        <w:t xml:space="preserve"> an:</w:t>
      </w:r>
    </w:p>
    <w:p w14:paraId="54D42C1D" w14:textId="77777777" w:rsidR="00540079" w:rsidRDefault="001B39D5" w:rsidP="001B39D5">
      <w:pPr>
        <w:pStyle w:val="ListParagraph"/>
        <w:numPr>
          <w:ilvl w:val="0"/>
          <w:numId w:val="2"/>
        </w:numPr>
        <w:tabs>
          <w:tab w:val="left" w:pos="1701"/>
        </w:tabs>
        <w:spacing w:after="0"/>
        <w:jc w:val="both"/>
      </w:pPr>
      <w:r>
        <w:t xml:space="preserve">Air Source Heated </w:t>
      </w:r>
      <w:r w:rsidR="00540079">
        <w:t xml:space="preserve">Pump </w:t>
      </w:r>
    </w:p>
    <w:p w14:paraId="4FE8D6B1" w14:textId="77777777" w:rsidR="007B2124" w:rsidRDefault="00EE7461" w:rsidP="001B39D5">
      <w:pPr>
        <w:pStyle w:val="ListParagraph"/>
        <w:numPr>
          <w:ilvl w:val="0"/>
          <w:numId w:val="2"/>
        </w:numPr>
        <w:tabs>
          <w:tab w:val="left" w:pos="1701"/>
        </w:tabs>
        <w:spacing w:after="0"/>
        <w:jc w:val="both"/>
      </w:pPr>
      <w:r>
        <w:t>On Site Battery</w:t>
      </w:r>
    </w:p>
    <w:p w14:paraId="2E61373E" w14:textId="0DBCE6E4" w:rsidR="007B2124" w:rsidRDefault="007B2124" w:rsidP="001B39D5">
      <w:pPr>
        <w:pStyle w:val="ListParagraph"/>
        <w:numPr>
          <w:ilvl w:val="0"/>
          <w:numId w:val="2"/>
        </w:numPr>
        <w:tabs>
          <w:tab w:val="left" w:pos="1701"/>
        </w:tabs>
        <w:spacing w:after="0"/>
        <w:jc w:val="both"/>
      </w:pPr>
      <w:r>
        <w:t xml:space="preserve">Small </w:t>
      </w:r>
      <w:r w:rsidR="00A103E1">
        <w:t>f</w:t>
      </w:r>
      <w:r>
        <w:t>lue to woodburner</w:t>
      </w:r>
    </w:p>
    <w:p w14:paraId="6B3F5D3D" w14:textId="48A74BEE" w:rsidR="00F65ADA" w:rsidRDefault="007B2124" w:rsidP="001B39D5">
      <w:pPr>
        <w:pStyle w:val="ListParagraph"/>
        <w:numPr>
          <w:ilvl w:val="0"/>
          <w:numId w:val="2"/>
        </w:numPr>
        <w:tabs>
          <w:tab w:val="left" w:pos="1701"/>
        </w:tabs>
        <w:spacing w:after="0"/>
        <w:jc w:val="both"/>
      </w:pPr>
      <w:r>
        <w:t xml:space="preserve">A defined garden </w:t>
      </w:r>
      <w:r w:rsidR="00F65ADA">
        <w:t xml:space="preserve">and patio </w:t>
      </w:r>
      <w:r w:rsidR="00A103E1">
        <w:t xml:space="preserve">not </w:t>
      </w:r>
      <w:r w:rsidR="00F65ADA">
        <w:t>covered by prior approval.</w:t>
      </w:r>
    </w:p>
    <w:p w14:paraId="3F499359" w14:textId="271333F0" w:rsidR="00E9681D" w:rsidRDefault="008916E6" w:rsidP="001B39D5">
      <w:pPr>
        <w:pStyle w:val="ListParagraph"/>
        <w:numPr>
          <w:ilvl w:val="0"/>
          <w:numId w:val="2"/>
        </w:numPr>
        <w:tabs>
          <w:tab w:val="left" w:pos="1701"/>
        </w:tabs>
        <w:spacing w:after="0"/>
        <w:jc w:val="both"/>
      </w:pPr>
      <w:r>
        <w:t xml:space="preserve">New </w:t>
      </w:r>
      <w:r w:rsidR="00F94960">
        <w:t xml:space="preserve">windows </w:t>
      </w:r>
      <w:r>
        <w:t xml:space="preserve">openings to east facing elevation. </w:t>
      </w:r>
    </w:p>
    <w:p w14:paraId="37FAF937" w14:textId="77777777" w:rsidR="00544E52" w:rsidRDefault="00544E52" w:rsidP="00C75E5D">
      <w:pPr>
        <w:tabs>
          <w:tab w:val="left" w:pos="1701"/>
        </w:tabs>
        <w:spacing w:after="0"/>
        <w:jc w:val="both"/>
        <w:rPr>
          <w:rFonts w:cs="Arial"/>
          <w:b/>
          <w:bCs/>
        </w:rPr>
      </w:pPr>
    </w:p>
    <w:p w14:paraId="13E1E256" w14:textId="38FFAC45" w:rsidR="00F6401D" w:rsidRDefault="00AB0940" w:rsidP="00C75E5D">
      <w:pPr>
        <w:tabs>
          <w:tab w:val="left" w:pos="1701"/>
        </w:tabs>
        <w:spacing w:after="0"/>
        <w:jc w:val="both"/>
        <w:rPr>
          <w:rFonts w:cs="Arial"/>
        </w:rPr>
      </w:pPr>
      <w:r w:rsidRPr="00AB0940">
        <w:rPr>
          <w:rFonts w:cs="Arial"/>
        </w:rPr>
        <w:t xml:space="preserve">Based on the very limited </w:t>
      </w:r>
      <w:r w:rsidR="008273C1">
        <w:rPr>
          <w:rFonts w:cs="Arial"/>
        </w:rPr>
        <w:t xml:space="preserve">changes to the external appearance of the </w:t>
      </w:r>
      <w:r w:rsidR="00EB177F">
        <w:rPr>
          <w:rFonts w:cs="Arial"/>
        </w:rPr>
        <w:t xml:space="preserve">Barn it is considered the impact on what is a sensitive </w:t>
      </w:r>
      <w:r w:rsidR="006925BD">
        <w:rPr>
          <w:rFonts w:cs="Arial"/>
        </w:rPr>
        <w:t>historic</w:t>
      </w:r>
      <w:r w:rsidR="00EB177F">
        <w:rPr>
          <w:rFonts w:cs="Arial"/>
        </w:rPr>
        <w:t xml:space="preserve"> setting of</w:t>
      </w:r>
      <w:r w:rsidR="006925BD">
        <w:rPr>
          <w:rFonts w:cs="Arial"/>
        </w:rPr>
        <w:t xml:space="preserve"> </w:t>
      </w:r>
      <w:r w:rsidR="00EB177F">
        <w:rPr>
          <w:rFonts w:cs="Arial"/>
        </w:rPr>
        <w:t>th</w:t>
      </w:r>
      <w:r w:rsidR="006925BD">
        <w:rPr>
          <w:rFonts w:cs="Arial"/>
        </w:rPr>
        <w:t>e</w:t>
      </w:r>
      <w:r w:rsidR="00EB177F">
        <w:rPr>
          <w:rFonts w:cs="Arial"/>
        </w:rPr>
        <w:t xml:space="preserve"> </w:t>
      </w:r>
      <w:r w:rsidR="006925BD">
        <w:rPr>
          <w:rFonts w:cs="Arial"/>
        </w:rPr>
        <w:t>medi</w:t>
      </w:r>
      <w:r w:rsidR="00037690">
        <w:rPr>
          <w:rFonts w:cs="Arial"/>
        </w:rPr>
        <w:t>ev</w:t>
      </w:r>
      <w:r w:rsidR="006925BD">
        <w:rPr>
          <w:rFonts w:cs="Arial"/>
        </w:rPr>
        <w:t>al</w:t>
      </w:r>
      <w:r w:rsidR="00EB177F">
        <w:rPr>
          <w:rFonts w:cs="Arial"/>
        </w:rPr>
        <w:t xml:space="preserve"> based C</w:t>
      </w:r>
      <w:r w:rsidR="006925BD">
        <w:rPr>
          <w:rFonts w:cs="Arial"/>
        </w:rPr>
        <w:t xml:space="preserve">hurch yard </w:t>
      </w:r>
      <w:r w:rsidR="002A2D39">
        <w:rPr>
          <w:rFonts w:cs="Arial"/>
        </w:rPr>
        <w:t xml:space="preserve">and the Church </w:t>
      </w:r>
      <w:r w:rsidR="006925BD">
        <w:rPr>
          <w:rFonts w:cs="Arial"/>
        </w:rPr>
        <w:t xml:space="preserve">rebuilt </w:t>
      </w:r>
      <w:r w:rsidR="00F6401D">
        <w:rPr>
          <w:rFonts w:cs="Arial"/>
        </w:rPr>
        <w:t xml:space="preserve">by an Architect </w:t>
      </w:r>
      <w:r w:rsidR="006925BD">
        <w:rPr>
          <w:rFonts w:cs="Arial"/>
        </w:rPr>
        <w:t>in the mid-19</w:t>
      </w:r>
      <w:r w:rsidR="006925BD" w:rsidRPr="006925BD">
        <w:rPr>
          <w:rFonts w:cs="Arial"/>
          <w:vertAlign w:val="superscript"/>
        </w:rPr>
        <w:t>th</w:t>
      </w:r>
      <w:r w:rsidR="006925BD">
        <w:rPr>
          <w:rFonts w:cs="Arial"/>
        </w:rPr>
        <w:t xml:space="preserve"> century</w:t>
      </w:r>
      <w:r w:rsidR="00480711">
        <w:rPr>
          <w:rFonts w:cs="Arial"/>
        </w:rPr>
        <w:t xml:space="preserve"> and </w:t>
      </w:r>
      <w:r w:rsidR="00F6401D">
        <w:rPr>
          <w:rFonts w:cs="Arial"/>
        </w:rPr>
        <w:t>a 15</w:t>
      </w:r>
      <w:r w:rsidR="00F6401D" w:rsidRPr="00F6401D">
        <w:rPr>
          <w:rFonts w:cs="Arial"/>
          <w:vertAlign w:val="superscript"/>
        </w:rPr>
        <w:t>th</w:t>
      </w:r>
      <w:r w:rsidR="00F6401D">
        <w:rPr>
          <w:rFonts w:cs="Arial"/>
        </w:rPr>
        <w:t xml:space="preserve"> century Tithe Barn is neutral in respect the building already has a Part Q permission.</w:t>
      </w:r>
    </w:p>
    <w:p w14:paraId="3759D5C7" w14:textId="77777777" w:rsidR="002A2D39" w:rsidRDefault="002A2D39" w:rsidP="00C75E5D">
      <w:pPr>
        <w:tabs>
          <w:tab w:val="left" w:pos="1701"/>
        </w:tabs>
        <w:spacing w:after="0"/>
        <w:jc w:val="both"/>
        <w:rPr>
          <w:rFonts w:cs="Arial"/>
        </w:rPr>
      </w:pPr>
    </w:p>
    <w:p w14:paraId="16F4C9AC" w14:textId="49D1FB7C" w:rsidR="00F15EBF" w:rsidRPr="00784E27" w:rsidRDefault="002A2D39" w:rsidP="00F15EBF">
      <w:pPr>
        <w:pStyle w:val="Default"/>
        <w:jc w:val="both"/>
        <w:rPr>
          <w:i/>
          <w:iCs/>
          <w:sz w:val="22"/>
          <w:szCs w:val="22"/>
        </w:rPr>
      </w:pPr>
      <w:r w:rsidRPr="00F15EBF">
        <w:rPr>
          <w:sz w:val="22"/>
          <w:szCs w:val="22"/>
        </w:rPr>
        <w:t xml:space="preserve">I therefore </w:t>
      </w:r>
      <w:r w:rsidR="00F15EBF" w:rsidRPr="00F15EBF">
        <w:rPr>
          <w:sz w:val="22"/>
          <w:szCs w:val="22"/>
        </w:rPr>
        <w:t xml:space="preserve">would confirm the previous Conservation comments on the Part Q </w:t>
      </w:r>
      <w:r w:rsidR="00F15EBF">
        <w:rPr>
          <w:sz w:val="22"/>
          <w:szCs w:val="22"/>
        </w:rPr>
        <w:t>‘</w:t>
      </w:r>
      <w:r w:rsidR="00F15EBF" w:rsidRPr="00784E27">
        <w:rPr>
          <w:i/>
          <w:iCs/>
          <w:sz w:val="22"/>
          <w:szCs w:val="22"/>
        </w:rPr>
        <w:t>The impact of the proposals on heritage assets will be neutral and the requirements of current conservation legislation, policy or guidance are considered to be met and there is therefore no objection to the approval of the application.</w:t>
      </w:r>
      <w:r w:rsidR="00F15EBF">
        <w:rPr>
          <w:i/>
          <w:iCs/>
          <w:sz w:val="22"/>
          <w:szCs w:val="22"/>
        </w:rPr>
        <w:t>’</w:t>
      </w:r>
      <w:r w:rsidR="00F15EBF" w:rsidRPr="00784E27">
        <w:rPr>
          <w:i/>
          <w:iCs/>
          <w:sz w:val="22"/>
          <w:szCs w:val="22"/>
        </w:rPr>
        <w:t xml:space="preserve"> </w:t>
      </w:r>
    </w:p>
    <w:p w14:paraId="006B13F8" w14:textId="47E99C68" w:rsidR="002A2D39" w:rsidRDefault="002A2D39" w:rsidP="00C75E5D">
      <w:pPr>
        <w:tabs>
          <w:tab w:val="left" w:pos="1701"/>
        </w:tabs>
        <w:spacing w:after="0"/>
        <w:jc w:val="both"/>
        <w:rPr>
          <w:rFonts w:cs="Arial"/>
        </w:rPr>
      </w:pPr>
    </w:p>
    <w:p w14:paraId="3F3F8541" w14:textId="77777777" w:rsidR="00F6401D" w:rsidRDefault="00F6401D" w:rsidP="00C75E5D">
      <w:pPr>
        <w:tabs>
          <w:tab w:val="left" w:pos="1701"/>
        </w:tabs>
        <w:spacing w:after="0"/>
        <w:jc w:val="both"/>
        <w:rPr>
          <w:rFonts w:cs="Arial"/>
        </w:rPr>
      </w:pPr>
    </w:p>
    <w:p w14:paraId="3F29488F" w14:textId="5BB4B98F" w:rsidR="00E9681D" w:rsidRPr="00AB0940" w:rsidRDefault="006925BD" w:rsidP="00C75E5D">
      <w:pPr>
        <w:tabs>
          <w:tab w:val="left" w:pos="1701"/>
        </w:tabs>
        <w:spacing w:after="0"/>
        <w:jc w:val="both"/>
        <w:rPr>
          <w:rFonts w:cs="Arial"/>
        </w:rPr>
      </w:pPr>
      <w:r>
        <w:rPr>
          <w:rFonts w:cs="Arial"/>
        </w:rPr>
        <w:t xml:space="preserve"> </w:t>
      </w:r>
      <w:r w:rsidR="00EB177F">
        <w:rPr>
          <w:rFonts w:cs="Arial"/>
        </w:rPr>
        <w:t xml:space="preserve"> </w:t>
      </w:r>
    </w:p>
    <w:p w14:paraId="1655726D" w14:textId="77777777" w:rsidR="00AB0940" w:rsidRDefault="00AB0940" w:rsidP="00C75E5D">
      <w:pPr>
        <w:tabs>
          <w:tab w:val="left" w:pos="1701"/>
        </w:tabs>
        <w:spacing w:after="0"/>
        <w:jc w:val="both"/>
        <w:rPr>
          <w:rFonts w:cs="Arial"/>
          <w:b/>
          <w:bCs/>
        </w:rPr>
      </w:pPr>
    </w:p>
    <w:p w14:paraId="736E4C53" w14:textId="77777777" w:rsidR="00AB0940" w:rsidRDefault="00AB0940" w:rsidP="00C75E5D">
      <w:pPr>
        <w:tabs>
          <w:tab w:val="left" w:pos="1701"/>
        </w:tabs>
        <w:spacing w:after="0"/>
        <w:jc w:val="both"/>
        <w:rPr>
          <w:rFonts w:cs="Arial"/>
          <w:b/>
          <w:bCs/>
        </w:rPr>
      </w:pPr>
    </w:p>
    <w:p w14:paraId="7DF88D70" w14:textId="77777777" w:rsidR="00AB0940" w:rsidRPr="000E311E" w:rsidRDefault="00AB0940" w:rsidP="00C75E5D">
      <w:pPr>
        <w:tabs>
          <w:tab w:val="left" w:pos="1701"/>
        </w:tabs>
        <w:spacing w:after="0"/>
        <w:jc w:val="both"/>
        <w:rPr>
          <w:rFonts w:cs="Arial"/>
          <w:b/>
          <w:bCs/>
        </w:rPr>
      </w:pPr>
    </w:p>
    <w:p w14:paraId="319E5B2B" w14:textId="77777777" w:rsidR="00C75E5D" w:rsidRDefault="00C75E5D" w:rsidP="00C75E5D">
      <w:pPr>
        <w:spacing w:before="100" w:beforeAutospacing="1" w:after="100" w:afterAutospacing="1"/>
        <w:rPr>
          <w:rFonts w:cs="Arial"/>
        </w:rPr>
      </w:pPr>
      <w:r>
        <w:rPr>
          <w:rFonts w:cs="Arial"/>
          <w:b/>
        </w:rPr>
        <w:t>Heritage Conclusion and Balancing</w:t>
      </w:r>
      <w:r>
        <w:rPr>
          <w:rFonts w:cs="Arial"/>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231C3BAB" w14:textId="77777777" w:rsidR="00C75E5D" w:rsidRDefault="00C75E5D" w:rsidP="00C75E5D"/>
    <w:p w14:paraId="001E0BF1" w14:textId="2F56EADB" w:rsidR="00F15EBF" w:rsidRPr="00F15EBF" w:rsidRDefault="00F15EBF" w:rsidP="00F15EBF">
      <w:pPr>
        <w:pStyle w:val="Default"/>
        <w:jc w:val="both"/>
        <w:rPr>
          <w:sz w:val="22"/>
          <w:szCs w:val="22"/>
        </w:rPr>
      </w:pPr>
      <w:r w:rsidRPr="00F15EBF">
        <w:rPr>
          <w:sz w:val="22"/>
          <w:szCs w:val="22"/>
        </w:rPr>
        <w:t xml:space="preserve">The impact of the proposals on heritage assets will be neutral and the requirements of current conservation legislation, policy or guidance are considered to be met and there is therefore no objection to the approval of the application. </w:t>
      </w:r>
    </w:p>
    <w:p w14:paraId="1BBCD8DF" w14:textId="77777777" w:rsidR="00F15EBF" w:rsidRDefault="00F15EBF" w:rsidP="00F15EBF">
      <w:pPr>
        <w:tabs>
          <w:tab w:val="left" w:pos="1701"/>
        </w:tabs>
        <w:spacing w:after="0"/>
        <w:jc w:val="both"/>
        <w:rPr>
          <w:rFonts w:cs="Arial"/>
        </w:rPr>
      </w:pPr>
    </w:p>
    <w:p w14:paraId="6710F1B3" w14:textId="77777777" w:rsidR="00C75E5D" w:rsidRDefault="00C75E5D" w:rsidP="00C75E5D"/>
    <w:p w14:paraId="59E7C5F3" w14:textId="77777777" w:rsidR="00614A53" w:rsidRDefault="00614A53"/>
    <w:sectPr w:rsidR="00614A53" w:rsidSect="00C75E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374FC9"/>
    <w:multiLevelType w:val="hybridMultilevel"/>
    <w:tmpl w:val="F7727AF6"/>
    <w:lvl w:ilvl="0" w:tplc="A7EC9A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6F33385"/>
    <w:multiLevelType w:val="hybridMultilevel"/>
    <w:tmpl w:val="828A7C0C"/>
    <w:lvl w:ilvl="0" w:tplc="3A2C02E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8489623">
    <w:abstractNumId w:val="1"/>
  </w:num>
  <w:num w:numId="2" w16cid:durableId="1615868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E5D"/>
    <w:rsid w:val="000337AB"/>
    <w:rsid w:val="00037690"/>
    <w:rsid w:val="00050240"/>
    <w:rsid w:val="000D48EC"/>
    <w:rsid w:val="000D5DAC"/>
    <w:rsid w:val="0013621F"/>
    <w:rsid w:val="00166CFA"/>
    <w:rsid w:val="001A02EB"/>
    <w:rsid w:val="001B39D5"/>
    <w:rsid w:val="002A2D39"/>
    <w:rsid w:val="002A3EB5"/>
    <w:rsid w:val="002D13E2"/>
    <w:rsid w:val="00302159"/>
    <w:rsid w:val="003947D4"/>
    <w:rsid w:val="003C36B0"/>
    <w:rsid w:val="003D1509"/>
    <w:rsid w:val="00421FB9"/>
    <w:rsid w:val="00424CA7"/>
    <w:rsid w:val="0044404A"/>
    <w:rsid w:val="004662D0"/>
    <w:rsid w:val="00480711"/>
    <w:rsid w:val="00540079"/>
    <w:rsid w:val="00544E52"/>
    <w:rsid w:val="0055626B"/>
    <w:rsid w:val="005715D3"/>
    <w:rsid w:val="00614A53"/>
    <w:rsid w:val="00670F1A"/>
    <w:rsid w:val="006925BD"/>
    <w:rsid w:val="006D080E"/>
    <w:rsid w:val="006D41E1"/>
    <w:rsid w:val="006D7A2F"/>
    <w:rsid w:val="00784E27"/>
    <w:rsid w:val="007B2124"/>
    <w:rsid w:val="007B3C06"/>
    <w:rsid w:val="007E0AE4"/>
    <w:rsid w:val="007E5998"/>
    <w:rsid w:val="008273C1"/>
    <w:rsid w:val="008916E6"/>
    <w:rsid w:val="00923A61"/>
    <w:rsid w:val="009F1ACF"/>
    <w:rsid w:val="00A00870"/>
    <w:rsid w:val="00A052C8"/>
    <w:rsid w:val="00A103E1"/>
    <w:rsid w:val="00A50A33"/>
    <w:rsid w:val="00AB0940"/>
    <w:rsid w:val="00B116B4"/>
    <w:rsid w:val="00BA5150"/>
    <w:rsid w:val="00C75E5D"/>
    <w:rsid w:val="00C94E79"/>
    <w:rsid w:val="00CB7501"/>
    <w:rsid w:val="00D07AAE"/>
    <w:rsid w:val="00D447CB"/>
    <w:rsid w:val="00DA5202"/>
    <w:rsid w:val="00E9681D"/>
    <w:rsid w:val="00EB177F"/>
    <w:rsid w:val="00EB7568"/>
    <w:rsid w:val="00EC1D49"/>
    <w:rsid w:val="00EE7461"/>
    <w:rsid w:val="00EE7BF4"/>
    <w:rsid w:val="00F15EBF"/>
    <w:rsid w:val="00F204D0"/>
    <w:rsid w:val="00F25C1C"/>
    <w:rsid w:val="00F5289F"/>
    <w:rsid w:val="00F6401D"/>
    <w:rsid w:val="00F65ADA"/>
    <w:rsid w:val="00F94960"/>
    <w:rsid w:val="00F962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BDB00"/>
  <w15:chartTrackingRefBased/>
  <w15:docId w15:val="{836199C3-DCE4-4E45-8FD9-266E2AB21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E5D"/>
    <w:pPr>
      <w:spacing w:after="200" w:line="240" w:lineRule="auto"/>
      <w:contextualSpacing/>
    </w:pPr>
    <w:rPr>
      <w:rFonts w:ascii="Arial" w:hAnsi="Arial"/>
      <w:kern w:val="0"/>
      <w:sz w:val="22"/>
      <w:szCs w:val="22"/>
      <w14:ligatures w14:val="none"/>
    </w:rPr>
  </w:style>
  <w:style w:type="paragraph" w:styleId="Heading1">
    <w:name w:val="heading 1"/>
    <w:basedOn w:val="Normal"/>
    <w:next w:val="Normal"/>
    <w:link w:val="Heading1Char"/>
    <w:uiPriority w:val="9"/>
    <w:qFormat/>
    <w:rsid w:val="00C75E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5E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5E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5E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5E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5E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5E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5E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5E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5E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5E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5E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5E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5E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5E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5E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5E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5E5D"/>
    <w:rPr>
      <w:rFonts w:eastAsiaTheme="majorEastAsia" w:cstheme="majorBidi"/>
      <w:color w:val="272727" w:themeColor="text1" w:themeTint="D8"/>
    </w:rPr>
  </w:style>
  <w:style w:type="paragraph" w:styleId="Title">
    <w:name w:val="Title"/>
    <w:basedOn w:val="Normal"/>
    <w:next w:val="Normal"/>
    <w:link w:val="TitleChar"/>
    <w:uiPriority w:val="10"/>
    <w:qFormat/>
    <w:rsid w:val="00C75E5D"/>
    <w:pPr>
      <w:spacing w:after="8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5E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5E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5E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5E5D"/>
    <w:pPr>
      <w:spacing w:before="160"/>
      <w:jc w:val="center"/>
    </w:pPr>
    <w:rPr>
      <w:i/>
      <w:iCs/>
      <w:color w:val="404040" w:themeColor="text1" w:themeTint="BF"/>
    </w:rPr>
  </w:style>
  <w:style w:type="character" w:customStyle="1" w:styleId="QuoteChar">
    <w:name w:val="Quote Char"/>
    <w:basedOn w:val="DefaultParagraphFont"/>
    <w:link w:val="Quote"/>
    <w:uiPriority w:val="29"/>
    <w:rsid w:val="00C75E5D"/>
    <w:rPr>
      <w:i/>
      <w:iCs/>
      <w:color w:val="404040" w:themeColor="text1" w:themeTint="BF"/>
    </w:rPr>
  </w:style>
  <w:style w:type="paragraph" w:styleId="ListParagraph">
    <w:name w:val="List Paragraph"/>
    <w:basedOn w:val="Normal"/>
    <w:uiPriority w:val="34"/>
    <w:qFormat/>
    <w:rsid w:val="00C75E5D"/>
    <w:pPr>
      <w:ind w:left="720"/>
    </w:pPr>
  </w:style>
  <w:style w:type="character" w:styleId="IntenseEmphasis">
    <w:name w:val="Intense Emphasis"/>
    <w:basedOn w:val="DefaultParagraphFont"/>
    <w:uiPriority w:val="21"/>
    <w:qFormat/>
    <w:rsid w:val="00C75E5D"/>
    <w:rPr>
      <w:i/>
      <w:iCs/>
      <w:color w:val="0F4761" w:themeColor="accent1" w:themeShade="BF"/>
    </w:rPr>
  </w:style>
  <w:style w:type="paragraph" w:styleId="IntenseQuote">
    <w:name w:val="Intense Quote"/>
    <w:basedOn w:val="Normal"/>
    <w:next w:val="Normal"/>
    <w:link w:val="IntenseQuoteChar"/>
    <w:uiPriority w:val="30"/>
    <w:qFormat/>
    <w:rsid w:val="00C75E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5E5D"/>
    <w:rPr>
      <w:i/>
      <w:iCs/>
      <w:color w:val="0F4761" w:themeColor="accent1" w:themeShade="BF"/>
    </w:rPr>
  </w:style>
  <w:style w:type="character" w:styleId="IntenseReference">
    <w:name w:val="Intense Reference"/>
    <w:basedOn w:val="DefaultParagraphFont"/>
    <w:uiPriority w:val="32"/>
    <w:qFormat/>
    <w:rsid w:val="00C75E5D"/>
    <w:rPr>
      <w:b/>
      <w:bCs/>
      <w:smallCaps/>
      <w:color w:val="0F4761" w:themeColor="accent1" w:themeShade="BF"/>
      <w:spacing w:val="5"/>
    </w:rPr>
  </w:style>
  <w:style w:type="paragraph" w:customStyle="1" w:styleId="Letterbody">
    <w:name w:val="Letter body"/>
    <w:basedOn w:val="Normal"/>
    <w:rsid w:val="00C75E5D"/>
    <w:pPr>
      <w:tabs>
        <w:tab w:val="left" w:pos="1701"/>
      </w:tabs>
      <w:spacing w:after="0"/>
      <w:contextualSpacing w:val="0"/>
      <w:jc w:val="both"/>
    </w:pPr>
    <w:rPr>
      <w:rFonts w:eastAsia="Times New Roman" w:cs="Times New Roman"/>
      <w:sz w:val="24"/>
      <w:szCs w:val="20"/>
      <w:lang w:eastAsia="en-GB"/>
    </w:rPr>
  </w:style>
  <w:style w:type="paragraph" w:customStyle="1" w:styleId="Default">
    <w:name w:val="Default"/>
    <w:rsid w:val="00784E27"/>
    <w:pPr>
      <w:autoSpaceDE w:val="0"/>
      <w:autoSpaceDN w:val="0"/>
      <w:adjustRightInd w:val="0"/>
      <w:spacing w:after="0" w:line="240" w:lineRule="auto"/>
    </w:pPr>
    <w:rPr>
      <w:rFonts w:ascii="Arial" w:eastAsia="Times New Roman" w:hAnsi="Arial" w:cs="Arial"/>
      <w:color w:val="000000"/>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271</TotalTime>
  <Pages>4</Pages>
  <Words>1496</Words>
  <Characters>7965</Characters>
  <Application>Microsoft Office Word</Application>
  <DocSecurity>0</DocSecurity>
  <Lines>165</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64</cp:revision>
  <dcterms:created xsi:type="dcterms:W3CDTF">2026-04-09T10:14:00Z</dcterms:created>
  <dcterms:modified xsi:type="dcterms:W3CDTF">2026-04-09T14:45:00Z</dcterms:modified>
</cp:coreProperties>
</file>